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823" w:rsidRPr="000E0823" w:rsidRDefault="000E0823" w:rsidP="000E0823">
      <w:pPr>
        <w:jc w:val="center"/>
        <w:rPr>
          <w:rFonts w:ascii="宋体" w:eastAsia="宋体" w:hAnsi="宋体"/>
          <w:b/>
          <w:sz w:val="48"/>
        </w:rPr>
      </w:pPr>
    </w:p>
    <w:p w:rsidR="000E0823" w:rsidRPr="000E0823" w:rsidRDefault="000E0823" w:rsidP="000E0823">
      <w:pPr>
        <w:jc w:val="center"/>
        <w:rPr>
          <w:rFonts w:ascii="宋体" w:eastAsia="宋体" w:hAnsi="宋体"/>
          <w:b/>
          <w:sz w:val="48"/>
        </w:rPr>
      </w:pPr>
    </w:p>
    <w:p w:rsidR="000E0823" w:rsidRPr="000E0823" w:rsidRDefault="000E0823" w:rsidP="000E0823">
      <w:pPr>
        <w:jc w:val="center"/>
        <w:rPr>
          <w:rFonts w:ascii="宋体" w:eastAsia="宋体" w:hAnsi="宋体"/>
          <w:b/>
          <w:sz w:val="48"/>
        </w:rPr>
      </w:pPr>
    </w:p>
    <w:p w:rsidR="000E0823" w:rsidRPr="000E0823" w:rsidRDefault="000E0823" w:rsidP="000E0823">
      <w:pPr>
        <w:jc w:val="center"/>
        <w:rPr>
          <w:rFonts w:ascii="宋体" w:eastAsia="宋体" w:hAnsi="宋体"/>
          <w:b/>
          <w:sz w:val="48"/>
        </w:rPr>
      </w:pPr>
      <w:r w:rsidRPr="000E0823">
        <w:rPr>
          <w:rFonts w:ascii="宋体" w:eastAsia="宋体" w:hAnsi="宋体" w:hint="eastAsia"/>
          <w:b/>
          <w:sz w:val="48"/>
        </w:rPr>
        <w:t>2022年度部门整体支出绩效自评报告</w:t>
      </w:r>
    </w:p>
    <w:p w:rsidR="000E0823" w:rsidRPr="000E0823" w:rsidRDefault="000E0823" w:rsidP="000E0823">
      <w:pPr>
        <w:jc w:val="center"/>
        <w:rPr>
          <w:rFonts w:ascii="宋体" w:eastAsia="宋体" w:hAnsi="宋体"/>
          <w:b/>
          <w:sz w:val="48"/>
        </w:rPr>
      </w:pPr>
    </w:p>
    <w:p w:rsidR="000E0823" w:rsidRPr="000E0823" w:rsidRDefault="000E0823" w:rsidP="000E0823">
      <w:pPr>
        <w:jc w:val="center"/>
        <w:rPr>
          <w:rFonts w:ascii="宋体" w:eastAsia="宋体" w:hAnsi="宋体"/>
          <w:b/>
          <w:sz w:val="48"/>
        </w:rPr>
      </w:pPr>
    </w:p>
    <w:p w:rsidR="000E0823" w:rsidRPr="000E0823" w:rsidRDefault="000E0823" w:rsidP="000E0823">
      <w:pPr>
        <w:jc w:val="center"/>
        <w:rPr>
          <w:rFonts w:ascii="宋体" w:eastAsia="宋体" w:hAnsi="宋体"/>
          <w:b/>
          <w:sz w:val="48"/>
        </w:rPr>
      </w:pPr>
    </w:p>
    <w:p w:rsidR="000E0823" w:rsidRPr="000E0823" w:rsidRDefault="000E0823" w:rsidP="000E0823">
      <w:pPr>
        <w:jc w:val="center"/>
        <w:rPr>
          <w:rFonts w:ascii="宋体" w:eastAsia="宋体" w:hAnsi="宋体"/>
          <w:b/>
          <w:sz w:val="48"/>
        </w:rPr>
      </w:pPr>
    </w:p>
    <w:p w:rsidR="000E0823" w:rsidRPr="000E0823" w:rsidRDefault="000E0823" w:rsidP="000E0823">
      <w:pPr>
        <w:jc w:val="center"/>
        <w:rPr>
          <w:rFonts w:ascii="宋体" w:eastAsia="宋体" w:hAnsi="宋体"/>
          <w:b/>
          <w:sz w:val="48"/>
        </w:rPr>
      </w:pPr>
    </w:p>
    <w:p w:rsidR="000E0823" w:rsidRPr="000E0823" w:rsidRDefault="000E0823" w:rsidP="000E0823">
      <w:pPr>
        <w:jc w:val="center"/>
        <w:rPr>
          <w:rFonts w:ascii="宋体" w:eastAsia="宋体" w:hAnsi="宋体"/>
          <w:b/>
          <w:sz w:val="48"/>
        </w:rPr>
      </w:pPr>
    </w:p>
    <w:p w:rsidR="000E0823" w:rsidRPr="000E0823" w:rsidRDefault="000E0823" w:rsidP="000E0823">
      <w:pPr>
        <w:jc w:val="center"/>
        <w:rPr>
          <w:rFonts w:ascii="宋体" w:eastAsia="宋体" w:hAnsi="宋体"/>
          <w:b/>
          <w:sz w:val="48"/>
        </w:rPr>
      </w:pPr>
    </w:p>
    <w:p w:rsidR="000E0823" w:rsidRPr="000E0823" w:rsidRDefault="000E0823" w:rsidP="000E0823">
      <w:pPr>
        <w:jc w:val="center"/>
        <w:rPr>
          <w:rFonts w:ascii="宋体" w:eastAsia="宋体" w:hAnsi="宋体"/>
          <w:b/>
          <w:sz w:val="48"/>
        </w:rPr>
      </w:pPr>
    </w:p>
    <w:p w:rsidR="000E0823" w:rsidRPr="000E0823" w:rsidRDefault="000E0823" w:rsidP="000E0823">
      <w:pPr>
        <w:jc w:val="center"/>
        <w:rPr>
          <w:rFonts w:ascii="宋体" w:eastAsia="宋体" w:hAnsi="宋体"/>
          <w:b/>
          <w:sz w:val="48"/>
        </w:rPr>
      </w:pPr>
    </w:p>
    <w:p w:rsidR="000E0823" w:rsidRPr="000E0823" w:rsidRDefault="000E0823" w:rsidP="000E0823">
      <w:pPr>
        <w:jc w:val="center"/>
        <w:rPr>
          <w:rFonts w:ascii="宋体" w:eastAsia="宋体" w:hAnsi="宋体"/>
          <w:b/>
          <w:sz w:val="48"/>
        </w:rPr>
      </w:pPr>
    </w:p>
    <w:p w:rsidR="000E0823" w:rsidRPr="000E0823" w:rsidRDefault="000E0823" w:rsidP="000E0823">
      <w:pPr>
        <w:jc w:val="center"/>
        <w:rPr>
          <w:rFonts w:ascii="宋体" w:eastAsia="宋体" w:hAnsi="宋体"/>
          <w:b/>
          <w:sz w:val="48"/>
        </w:rPr>
      </w:pPr>
    </w:p>
    <w:p w:rsidR="000E0823" w:rsidRPr="000E0823" w:rsidRDefault="000E0823" w:rsidP="000E0823">
      <w:pPr>
        <w:jc w:val="center"/>
        <w:rPr>
          <w:rFonts w:ascii="宋体" w:eastAsia="宋体" w:hAnsi="宋体"/>
          <w:b/>
          <w:sz w:val="48"/>
        </w:rPr>
      </w:pPr>
    </w:p>
    <w:p w:rsidR="000E0823" w:rsidRPr="000E0823" w:rsidRDefault="000E0823" w:rsidP="000E0823">
      <w:pPr>
        <w:jc w:val="center"/>
        <w:rPr>
          <w:rFonts w:ascii="宋体" w:eastAsia="宋体" w:hAnsi="宋体"/>
          <w:b/>
          <w:sz w:val="48"/>
        </w:rPr>
      </w:pPr>
      <w:r w:rsidRPr="000E0823">
        <w:rPr>
          <w:rFonts w:ascii="宋体" w:eastAsia="宋体" w:hAnsi="宋体" w:hint="eastAsia"/>
          <w:b/>
          <w:sz w:val="48"/>
        </w:rPr>
        <w:t>祁东县农业农村局</w:t>
      </w:r>
    </w:p>
    <w:p w:rsidR="000E0823" w:rsidRPr="000E0823" w:rsidRDefault="000E0823" w:rsidP="000E0823">
      <w:pPr>
        <w:jc w:val="center"/>
        <w:rPr>
          <w:rFonts w:ascii="宋体" w:eastAsia="宋体" w:hAnsi="宋体"/>
          <w:b/>
          <w:sz w:val="48"/>
        </w:rPr>
      </w:pPr>
    </w:p>
    <w:p w:rsidR="000E0823" w:rsidRPr="000E0823" w:rsidRDefault="000E0823" w:rsidP="000E0823">
      <w:pPr>
        <w:jc w:val="center"/>
        <w:rPr>
          <w:rFonts w:ascii="宋体" w:eastAsia="宋体" w:hAnsi="宋体"/>
          <w:b/>
          <w:sz w:val="48"/>
        </w:rPr>
      </w:pPr>
    </w:p>
    <w:p w:rsidR="000E0823" w:rsidRPr="000E0823" w:rsidRDefault="000E0823" w:rsidP="000E0823">
      <w:pPr>
        <w:jc w:val="center"/>
        <w:rPr>
          <w:rFonts w:ascii="宋体" w:eastAsia="宋体" w:hAnsi="宋体"/>
          <w:b/>
          <w:sz w:val="48"/>
        </w:rPr>
      </w:pPr>
    </w:p>
    <w:p w:rsidR="000E0823" w:rsidRPr="000E0823" w:rsidRDefault="000E0823" w:rsidP="000E0823">
      <w:pPr>
        <w:spacing w:line="480" w:lineRule="auto"/>
        <w:ind w:firstLineChars="200" w:firstLine="562"/>
        <w:jc w:val="center"/>
        <w:rPr>
          <w:rFonts w:ascii="宋体" w:eastAsia="宋体" w:hAnsi="宋体"/>
          <w:b/>
          <w:sz w:val="28"/>
        </w:rPr>
      </w:pPr>
    </w:p>
    <w:p w:rsidR="000E0823" w:rsidRPr="000E0823" w:rsidRDefault="000E0823" w:rsidP="000E0823">
      <w:pPr>
        <w:spacing w:line="480" w:lineRule="auto"/>
        <w:ind w:firstLineChars="200" w:firstLine="560"/>
        <w:rPr>
          <w:rFonts w:ascii="宋体" w:eastAsia="宋体" w:hAnsi="宋体"/>
          <w:sz w:val="28"/>
        </w:rPr>
      </w:pPr>
    </w:p>
    <w:p w:rsidR="000E0823" w:rsidRPr="000E0823" w:rsidRDefault="000E0823" w:rsidP="000E0823">
      <w:pPr>
        <w:spacing w:line="480" w:lineRule="auto"/>
        <w:ind w:firstLineChars="200" w:firstLine="562"/>
        <w:rPr>
          <w:rFonts w:ascii="宋体" w:eastAsia="宋体" w:hAnsi="宋体"/>
          <w:b/>
          <w:sz w:val="28"/>
        </w:rPr>
      </w:pPr>
      <w:r w:rsidRPr="000E0823">
        <w:rPr>
          <w:rFonts w:ascii="宋体" w:eastAsia="宋体" w:hAnsi="宋体" w:hint="eastAsia"/>
          <w:b/>
          <w:sz w:val="28"/>
        </w:rPr>
        <w:lastRenderedPageBreak/>
        <w:t>一、部门基本情况</w:t>
      </w:r>
    </w:p>
    <w:p w:rsidR="000E0823" w:rsidRPr="000E0823" w:rsidRDefault="000E0823" w:rsidP="000E0823">
      <w:pPr>
        <w:spacing w:line="480" w:lineRule="auto"/>
        <w:ind w:firstLineChars="200" w:firstLine="560"/>
        <w:rPr>
          <w:rFonts w:ascii="宋体" w:eastAsia="宋体" w:hAnsi="宋体"/>
          <w:sz w:val="28"/>
        </w:rPr>
      </w:pPr>
      <w:r w:rsidRPr="000E0823">
        <w:rPr>
          <w:rFonts w:ascii="宋体" w:eastAsia="宋体" w:hAnsi="宋体" w:hint="eastAsia"/>
          <w:sz w:val="28"/>
        </w:rPr>
        <w:t>（一）、部门职责</w:t>
      </w:r>
    </w:p>
    <w:p w:rsidR="000E0823" w:rsidRPr="000E0823" w:rsidRDefault="000E0823" w:rsidP="000E0823">
      <w:pPr>
        <w:spacing w:line="480" w:lineRule="auto"/>
        <w:ind w:firstLineChars="200" w:firstLine="560"/>
        <w:rPr>
          <w:rFonts w:ascii="宋体" w:eastAsia="宋体" w:hAnsi="宋体"/>
          <w:sz w:val="28"/>
        </w:rPr>
      </w:pPr>
      <w:r w:rsidRPr="000E0823">
        <w:rPr>
          <w:rFonts w:ascii="宋体" w:eastAsia="宋体" w:hAnsi="宋体" w:hint="eastAsia"/>
          <w:sz w:val="28"/>
        </w:rPr>
        <w:t>1、统筹研究和组织实施“三农”工作的发展中长期规划、重大政策。组织起草农业农村有关地方性法规和县政府规章草案，指导农业综合执法。参与涉农的价格、收储、金融保险、进出口等政策制定。</w:t>
      </w:r>
    </w:p>
    <w:p w:rsidR="000E0823" w:rsidRPr="000E0823" w:rsidRDefault="000E0823" w:rsidP="000E0823">
      <w:pPr>
        <w:spacing w:line="480" w:lineRule="auto"/>
        <w:ind w:firstLineChars="200" w:firstLine="560"/>
        <w:rPr>
          <w:rFonts w:ascii="宋体" w:eastAsia="宋体" w:hAnsi="宋体"/>
          <w:sz w:val="28"/>
        </w:rPr>
      </w:pPr>
      <w:r w:rsidRPr="000E0823">
        <w:rPr>
          <w:rFonts w:ascii="宋体" w:eastAsia="宋体" w:hAnsi="宋体" w:hint="eastAsia"/>
          <w:sz w:val="28"/>
        </w:rPr>
        <w:t>2、统筹推动发展全县农村社会事业、农村公共服务、农村文化、农村基础设施和乡村治理。牵头组织改善农村人居环境。指导农村精神文明和优秀农耕文化建设。指导农业行业安全生产工作，配合有关部门做好农业劳动模范管理工作</w:t>
      </w:r>
    </w:p>
    <w:p w:rsidR="000E0823" w:rsidRPr="000E0823" w:rsidRDefault="000E0823" w:rsidP="000E0823">
      <w:pPr>
        <w:spacing w:line="480" w:lineRule="auto"/>
        <w:ind w:firstLineChars="200" w:firstLine="560"/>
        <w:rPr>
          <w:rFonts w:ascii="宋体" w:eastAsia="宋体" w:hAnsi="宋体"/>
          <w:sz w:val="28"/>
        </w:rPr>
      </w:pPr>
      <w:r w:rsidRPr="000E0823">
        <w:rPr>
          <w:rFonts w:ascii="宋体" w:eastAsia="宋体" w:hAnsi="宋体" w:hint="eastAsia"/>
          <w:sz w:val="28"/>
        </w:rPr>
        <w:t>3、贯彻落实国家关于深化农村经济体制改革和巩固完善农村基本经营制度的政策。负责农民承包地、农村宅基地改革和管理有关工作。负责农村集体产权制度改革，指导农村集体经济组织发展和集体资产管理工作。指导农民合作经济组织、农业社会化服务体系、新型农业经营主体建设与发展。</w:t>
      </w:r>
    </w:p>
    <w:p w:rsidR="000E0823" w:rsidRPr="000E0823" w:rsidRDefault="000E0823" w:rsidP="000E0823">
      <w:pPr>
        <w:spacing w:line="480" w:lineRule="auto"/>
        <w:ind w:firstLineChars="200" w:firstLine="560"/>
        <w:rPr>
          <w:rFonts w:ascii="宋体" w:eastAsia="宋体" w:hAnsi="宋体"/>
          <w:sz w:val="28"/>
        </w:rPr>
      </w:pPr>
      <w:r w:rsidRPr="000E0823">
        <w:rPr>
          <w:rFonts w:ascii="宋体" w:eastAsia="宋体" w:hAnsi="宋体" w:hint="eastAsia"/>
          <w:sz w:val="28"/>
        </w:rPr>
        <w:t>4、指导全县乡村特色产业、农产品加工业、休闲农业和乡镇企业发展工作。提出促进大宗农产品流通的建议，培育、保护农业品牌。发布农业农村经济信息，监测分析农业农村经济运行。承担农业统计和农业农村信息化有关工作。</w:t>
      </w:r>
    </w:p>
    <w:p w:rsidR="000E0823" w:rsidRPr="000E0823" w:rsidRDefault="000E0823" w:rsidP="000E0823">
      <w:pPr>
        <w:spacing w:line="480" w:lineRule="auto"/>
        <w:ind w:firstLineChars="200" w:firstLine="560"/>
        <w:rPr>
          <w:rFonts w:ascii="宋体" w:eastAsia="宋体" w:hAnsi="宋体"/>
          <w:sz w:val="28"/>
        </w:rPr>
      </w:pPr>
      <w:r w:rsidRPr="000E0823">
        <w:rPr>
          <w:rFonts w:ascii="宋体" w:eastAsia="宋体" w:hAnsi="宋体" w:hint="eastAsia"/>
          <w:sz w:val="28"/>
        </w:rPr>
        <w:t>5、负责种植业、畜牧业、渔业、农垦、农业机械化等农业各产业的监督管理， 指导粮食等农产品生产。组织构建现代农业产业体系、生产体系、经营体系，指导农业标准化生产，负</w:t>
      </w:r>
      <w:r w:rsidRPr="000E0823">
        <w:rPr>
          <w:rFonts w:ascii="宋体" w:eastAsia="宋体" w:hAnsi="宋体" w:hint="eastAsia"/>
          <w:sz w:val="28"/>
        </w:rPr>
        <w:lastRenderedPageBreak/>
        <w:t>责全县渔业、渔民和渔船监督管理和渔船检验工作。</w:t>
      </w:r>
    </w:p>
    <w:p w:rsidR="000E0823" w:rsidRPr="000E0823" w:rsidRDefault="000E0823" w:rsidP="000E0823">
      <w:pPr>
        <w:spacing w:line="480" w:lineRule="auto"/>
        <w:ind w:firstLineChars="200" w:firstLine="560"/>
        <w:rPr>
          <w:rFonts w:ascii="宋体" w:eastAsia="宋体" w:hAnsi="宋体"/>
          <w:sz w:val="28"/>
        </w:rPr>
      </w:pPr>
      <w:r w:rsidRPr="000E0823">
        <w:rPr>
          <w:rFonts w:ascii="宋体" w:eastAsia="宋体" w:hAnsi="宋体" w:hint="eastAsia"/>
          <w:sz w:val="28"/>
        </w:rPr>
        <w:t>6、负责农产品质量安全监督管理。组织开展农产品质量安全监测、追溯、风险评估，发布农产品质量安全信息。贯彻执行农产品质量安全国家标准，参与制定农产品质量安全地方标准并会同有关部门组织实施。指导农业检验检测体系建设。负责食用农产品从种植养殖环节 到进入批发、零售市场或生产加工企业前的质量安全监督管理；负责动植物疫病防控、畜禽屠宰环节、生鲜乳收购环境质量安全的监督管理。依法实施符合安全标准的农产品认证和监督管理。</w:t>
      </w:r>
    </w:p>
    <w:p w:rsidR="000E0823" w:rsidRPr="000E0823" w:rsidRDefault="000E0823" w:rsidP="000E0823">
      <w:pPr>
        <w:spacing w:line="480" w:lineRule="auto"/>
        <w:ind w:firstLineChars="200" w:firstLine="560"/>
        <w:rPr>
          <w:rFonts w:ascii="宋体" w:eastAsia="宋体" w:hAnsi="宋体"/>
          <w:sz w:val="28"/>
        </w:rPr>
      </w:pPr>
      <w:r w:rsidRPr="000E0823">
        <w:rPr>
          <w:rFonts w:ascii="宋体" w:eastAsia="宋体" w:hAnsi="宋体" w:hint="eastAsia"/>
          <w:sz w:val="28"/>
        </w:rPr>
        <w:t>7、组织农业资源区划工作。指导农用地、渔业水域以及农业生物物种资源的保护和管理，负责水生野生动植物保护、耕地及永久基本农田质量保护工作。指导农产品产地环境管理和农业清洁生产，指导设施农业、生态循环农业、节水农业发展以及农村可再生能源综合开发利用、农业生物质产业发展。牵头管理外来物种。</w:t>
      </w:r>
    </w:p>
    <w:p w:rsidR="000E0823" w:rsidRPr="000E0823" w:rsidRDefault="000E0823" w:rsidP="000E0823">
      <w:pPr>
        <w:spacing w:line="480" w:lineRule="auto"/>
        <w:ind w:firstLineChars="200" w:firstLine="560"/>
        <w:rPr>
          <w:rFonts w:ascii="宋体" w:eastAsia="宋体" w:hAnsi="宋体"/>
          <w:sz w:val="28"/>
        </w:rPr>
      </w:pPr>
      <w:r w:rsidRPr="000E0823">
        <w:rPr>
          <w:rFonts w:ascii="宋体" w:eastAsia="宋体" w:hAnsi="宋体" w:hint="eastAsia"/>
          <w:sz w:val="28"/>
        </w:rPr>
        <w:t>8、负责有关农业生产资料和农业投入品的监督管理。贯彻执行农业生产资料、兽药质量、兽药残留限量和残留检测方法国家标准  并监督实施。组织兽医医政、兽药药政药检工作，负责执业兽医和畜禽屠宰行业管理。</w:t>
      </w:r>
    </w:p>
    <w:p w:rsidR="000E0823" w:rsidRPr="000E0823" w:rsidRDefault="000E0823" w:rsidP="000E0823">
      <w:pPr>
        <w:spacing w:line="480" w:lineRule="auto"/>
        <w:ind w:firstLineChars="200" w:firstLine="560"/>
        <w:rPr>
          <w:rFonts w:ascii="宋体" w:eastAsia="宋体" w:hAnsi="宋体"/>
          <w:sz w:val="28"/>
        </w:rPr>
      </w:pPr>
      <w:r w:rsidRPr="000E0823">
        <w:rPr>
          <w:rFonts w:ascii="宋体" w:eastAsia="宋体" w:hAnsi="宋体" w:hint="eastAsia"/>
          <w:sz w:val="28"/>
        </w:rPr>
        <w:t>9、负责农业防灾减灾、农作物重大病虫害防治工作。指导动植物防疫检疫体系建设，组织、监督县内动植物的防疫检疫工作，发布疫情并组织扑灭。配合有关部门制定血吸虫病防治</w:t>
      </w:r>
      <w:r w:rsidRPr="000E0823">
        <w:rPr>
          <w:rFonts w:ascii="宋体" w:eastAsia="宋体" w:hAnsi="宋体" w:hint="eastAsia"/>
          <w:sz w:val="28"/>
        </w:rPr>
        <w:lastRenderedPageBreak/>
        <w:t>工作计划并组织实施。组织救灾物资储备和调拨，提出生产救灾资金安排建议，指导紧急救灾和灾后生产恢复。</w:t>
      </w:r>
    </w:p>
    <w:p w:rsidR="000E0823" w:rsidRPr="000E0823" w:rsidRDefault="000E0823" w:rsidP="000E0823">
      <w:pPr>
        <w:spacing w:line="480" w:lineRule="auto"/>
        <w:ind w:firstLineChars="200" w:firstLine="560"/>
        <w:rPr>
          <w:rFonts w:ascii="宋体" w:eastAsia="宋体" w:hAnsi="宋体"/>
          <w:sz w:val="28"/>
        </w:rPr>
      </w:pPr>
      <w:r w:rsidRPr="000E0823">
        <w:rPr>
          <w:rFonts w:ascii="宋体" w:eastAsia="宋体" w:hAnsi="宋体" w:hint="eastAsia"/>
          <w:sz w:val="28"/>
        </w:rPr>
        <w:t>10、负责农业投资管理。编制农业投资项目建设规划，提出农业投资规模和方向、扶持农业农村发展财政项目的建设，按规定权限审批农业投资项目；负责农业投资项目资金安排和监督管理。</w:t>
      </w:r>
    </w:p>
    <w:p w:rsidR="000E0823" w:rsidRPr="000E0823" w:rsidRDefault="000E0823" w:rsidP="000E0823">
      <w:pPr>
        <w:spacing w:line="480" w:lineRule="auto"/>
        <w:ind w:firstLineChars="200" w:firstLine="560"/>
        <w:rPr>
          <w:rFonts w:ascii="宋体" w:eastAsia="宋体" w:hAnsi="宋体"/>
          <w:sz w:val="28"/>
        </w:rPr>
      </w:pPr>
      <w:r w:rsidRPr="000E0823">
        <w:rPr>
          <w:rFonts w:ascii="宋体" w:eastAsia="宋体" w:hAnsi="宋体" w:hint="eastAsia"/>
          <w:sz w:val="28"/>
        </w:rPr>
        <w:t>11、推动农业科技体系改革和农业科技创新体系建设。指导农业产业技术体系和农技推广体系建设，组织开展农业领域的高新技术和应用技术研究、农业科技成果转化和技术推广。负责农业植物新品种保护及农业转基因生物安全监督管理。</w:t>
      </w:r>
    </w:p>
    <w:p w:rsidR="000E0823" w:rsidRPr="000E0823" w:rsidRDefault="000E0823" w:rsidP="000E0823">
      <w:pPr>
        <w:spacing w:line="480" w:lineRule="auto"/>
        <w:ind w:firstLineChars="200" w:firstLine="560"/>
        <w:rPr>
          <w:rFonts w:ascii="宋体" w:eastAsia="宋体" w:hAnsi="宋体"/>
          <w:sz w:val="28"/>
        </w:rPr>
      </w:pPr>
      <w:r w:rsidRPr="000E0823">
        <w:rPr>
          <w:rFonts w:ascii="宋体" w:eastAsia="宋体" w:hAnsi="宋体" w:hint="eastAsia"/>
          <w:sz w:val="28"/>
        </w:rPr>
        <w:t>12、指导农业农村人才工作。拟订全县农业农村人才队伍建设规划并组织实施，指导农业教育和农业职业技能开发，指导新型职业农民培育、农业科技人才培养和农村实用人才培训工作，承担农村劳动力就地就近就业培训工作，会同有关主管部门依法实施农业农村人才专业技术资格和从业资格管理。</w:t>
      </w:r>
    </w:p>
    <w:p w:rsidR="000E0823" w:rsidRPr="000E0823" w:rsidRDefault="000E0823" w:rsidP="000E0823">
      <w:pPr>
        <w:spacing w:line="480" w:lineRule="auto"/>
        <w:ind w:firstLineChars="200" w:firstLine="560"/>
        <w:rPr>
          <w:rFonts w:ascii="宋体" w:eastAsia="宋体" w:hAnsi="宋体"/>
          <w:sz w:val="28"/>
        </w:rPr>
      </w:pPr>
      <w:r w:rsidRPr="000E0823">
        <w:rPr>
          <w:rFonts w:ascii="宋体" w:eastAsia="宋体" w:hAnsi="宋体" w:hint="eastAsia"/>
          <w:sz w:val="28"/>
        </w:rPr>
        <w:t>13、组织参与农业对外合作工作，承办有关农业涉外事务，组织开展农业贸易促进和有关国际技术交流与合作，协助有关部门执行有关农业援外项目。</w:t>
      </w:r>
    </w:p>
    <w:p w:rsidR="000E0823" w:rsidRPr="000E0823" w:rsidRDefault="000E0823" w:rsidP="000E0823">
      <w:pPr>
        <w:spacing w:line="480" w:lineRule="auto"/>
        <w:ind w:firstLineChars="200" w:firstLine="560"/>
        <w:rPr>
          <w:rFonts w:ascii="宋体" w:eastAsia="宋体" w:hAnsi="宋体"/>
          <w:sz w:val="28"/>
        </w:rPr>
      </w:pPr>
      <w:r w:rsidRPr="000E0823">
        <w:rPr>
          <w:rFonts w:ascii="宋体" w:eastAsia="宋体" w:hAnsi="宋体" w:hint="eastAsia"/>
          <w:sz w:val="28"/>
        </w:rPr>
        <w:t>14、负责全县黄花菜产业中长期发展规划，区域布局，无公害生产监管，地理标志、绿色认证呈报，并指导加工、流通、网络营销。</w:t>
      </w:r>
    </w:p>
    <w:p w:rsidR="000E0823" w:rsidRPr="000E0823" w:rsidRDefault="000E0823" w:rsidP="000E0823">
      <w:pPr>
        <w:spacing w:line="480" w:lineRule="auto"/>
        <w:ind w:firstLineChars="200" w:firstLine="560"/>
        <w:rPr>
          <w:rFonts w:ascii="宋体" w:eastAsia="宋体" w:hAnsi="宋体"/>
          <w:sz w:val="28"/>
        </w:rPr>
      </w:pPr>
      <w:r w:rsidRPr="000E0823">
        <w:rPr>
          <w:rFonts w:ascii="宋体" w:eastAsia="宋体" w:hAnsi="宋体" w:hint="eastAsia"/>
          <w:sz w:val="28"/>
        </w:rPr>
        <w:t>15、完成县委、县政府和县委农村工作领导小组交办的其</w:t>
      </w:r>
      <w:r w:rsidRPr="000E0823">
        <w:rPr>
          <w:rFonts w:ascii="宋体" w:eastAsia="宋体" w:hAnsi="宋体" w:hint="eastAsia"/>
          <w:sz w:val="28"/>
        </w:rPr>
        <w:lastRenderedPageBreak/>
        <w:t>他任务。</w:t>
      </w:r>
    </w:p>
    <w:p w:rsidR="000E0823" w:rsidRPr="000E0823" w:rsidRDefault="000E0823" w:rsidP="000E0823">
      <w:pPr>
        <w:spacing w:line="480" w:lineRule="auto"/>
        <w:ind w:firstLineChars="200" w:firstLine="560"/>
        <w:rPr>
          <w:rFonts w:ascii="宋体" w:eastAsia="宋体" w:hAnsi="宋体"/>
          <w:sz w:val="28"/>
        </w:rPr>
      </w:pPr>
      <w:r w:rsidRPr="000E0823">
        <w:rPr>
          <w:rFonts w:ascii="宋体" w:eastAsia="宋体" w:hAnsi="宋体" w:hint="eastAsia"/>
          <w:sz w:val="28"/>
        </w:rPr>
        <w:t>16、职能转变。</w:t>
      </w:r>
    </w:p>
    <w:p w:rsidR="000E0823" w:rsidRPr="000E0823" w:rsidRDefault="000E0823" w:rsidP="000E0823">
      <w:pPr>
        <w:spacing w:line="480" w:lineRule="auto"/>
        <w:ind w:firstLineChars="200" w:firstLine="560"/>
        <w:rPr>
          <w:rFonts w:ascii="宋体" w:eastAsia="宋体" w:hAnsi="宋体"/>
          <w:sz w:val="28"/>
        </w:rPr>
      </w:pPr>
      <w:r w:rsidRPr="000E0823">
        <w:rPr>
          <w:rFonts w:ascii="宋体" w:eastAsia="宋体" w:hAnsi="宋体" w:hint="eastAsia"/>
          <w:sz w:val="28"/>
        </w:rPr>
        <w:t>（1）、统筹实施乡村振兴战略，深化农业供给侧结构性改革，提升农业发展质量，扎实推进美丽乡村建设，推动农业全面升级、农村全面进步、农民全面发展，加快实现农业农村现代化。</w:t>
      </w:r>
    </w:p>
    <w:p w:rsidR="000E0823" w:rsidRPr="000E0823" w:rsidRDefault="000E0823" w:rsidP="000E0823">
      <w:pPr>
        <w:spacing w:line="480" w:lineRule="auto"/>
        <w:ind w:firstLineChars="200" w:firstLine="560"/>
        <w:rPr>
          <w:rFonts w:ascii="宋体" w:eastAsia="宋体" w:hAnsi="宋体"/>
          <w:sz w:val="28"/>
        </w:rPr>
      </w:pPr>
      <w:r w:rsidRPr="000E0823">
        <w:rPr>
          <w:rFonts w:ascii="宋体" w:eastAsia="宋体" w:hAnsi="宋体" w:hint="eastAsia"/>
          <w:sz w:val="28"/>
        </w:rPr>
        <w:t>（2）、加强农产品质量安全和相关农业生产资料、农业投入品的监督管理，坚持最严谨的标准、最严格的监管、最严厉的处罚、最严肃的问责，严防、严管、严控质量安全风险，让人民群众吃得放心、安心。</w:t>
      </w:r>
    </w:p>
    <w:p w:rsidR="000E0823" w:rsidRPr="000E0823" w:rsidRDefault="000E0823" w:rsidP="000E0823">
      <w:pPr>
        <w:spacing w:line="480" w:lineRule="auto"/>
        <w:ind w:firstLineChars="200" w:firstLine="560"/>
        <w:rPr>
          <w:rFonts w:ascii="宋体" w:eastAsia="宋体" w:hAnsi="宋体"/>
          <w:sz w:val="28"/>
        </w:rPr>
      </w:pPr>
      <w:r w:rsidRPr="000E0823">
        <w:rPr>
          <w:rFonts w:ascii="宋体" w:eastAsia="宋体" w:hAnsi="宋体" w:hint="eastAsia"/>
          <w:sz w:val="28"/>
        </w:rPr>
        <w:t>（3）、深入推进简政放权，加强对行业内交叉重复以及性质相同、用途相近的农业投资项目的统筹整合，加强事中事后监管，切实提升国家支农政策效果和资金使用效益。</w:t>
      </w:r>
    </w:p>
    <w:p w:rsidR="000E0823" w:rsidRPr="000E0823" w:rsidRDefault="000E0823" w:rsidP="000E0823">
      <w:pPr>
        <w:spacing w:line="480" w:lineRule="auto"/>
        <w:ind w:firstLineChars="200" w:firstLine="560"/>
        <w:rPr>
          <w:rFonts w:ascii="宋体" w:eastAsia="宋体" w:hAnsi="宋体"/>
          <w:sz w:val="28"/>
        </w:rPr>
      </w:pPr>
      <w:r w:rsidRPr="000E0823">
        <w:rPr>
          <w:rFonts w:ascii="宋体" w:eastAsia="宋体" w:hAnsi="宋体" w:hint="eastAsia"/>
          <w:sz w:val="28"/>
        </w:rPr>
        <w:t>17、有关职责分工。</w:t>
      </w:r>
    </w:p>
    <w:p w:rsidR="000E0823" w:rsidRPr="000E0823" w:rsidRDefault="000E0823" w:rsidP="000E0823">
      <w:pPr>
        <w:spacing w:line="480" w:lineRule="auto"/>
        <w:ind w:firstLineChars="200" w:firstLine="560"/>
        <w:rPr>
          <w:rFonts w:ascii="宋体" w:eastAsia="宋体" w:hAnsi="宋体"/>
          <w:sz w:val="28"/>
        </w:rPr>
      </w:pPr>
      <w:r w:rsidRPr="000E0823">
        <w:rPr>
          <w:rFonts w:ascii="宋体" w:eastAsia="宋体" w:hAnsi="宋体" w:hint="eastAsia"/>
          <w:sz w:val="28"/>
        </w:rPr>
        <w:t>（1）、与县市场监督管理局有关职责分工。（1）县农业农村局负责食用农产品从种植养殖环节到进入批发、零售市场或生产加工企业前的质量安全监督管理。食用农产品进入批发、零售市场或生产加工企业后，由县市场监督管理局监督管理。（2）县农业农村局负责动植物疫病防控、畜禽屠宰环节、生鲜乳收购环节质量安全的监督管理。（3）两部门要建立食品安全地准出、市场准入和追溯机制，加强协调配合和工作衔接，形成监管合力。</w:t>
      </w:r>
    </w:p>
    <w:p w:rsidR="000E0823" w:rsidRPr="000E0823" w:rsidRDefault="000E0823" w:rsidP="000E0823">
      <w:pPr>
        <w:spacing w:line="480" w:lineRule="auto"/>
        <w:ind w:firstLineChars="200" w:firstLine="560"/>
        <w:rPr>
          <w:rFonts w:ascii="宋体" w:eastAsia="宋体" w:hAnsi="宋体"/>
          <w:sz w:val="28"/>
        </w:rPr>
      </w:pPr>
      <w:r w:rsidRPr="000E0823">
        <w:rPr>
          <w:rFonts w:ascii="宋体" w:eastAsia="宋体" w:hAnsi="宋体" w:hint="eastAsia"/>
          <w:sz w:val="28"/>
        </w:rPr>
        <w:lastRenderedPageBreak/>
        <w:t>（2）、与县商务和粮食局有关职责分工：县农业农村局负责粮食生产环节的质量安全监管，切实担负起粮食从生产环节到进入批发、零售市场或生产加工企业前的质量安全监管职责。县商务和粮食局负责粮食（含食用油）收购、储存、运输环节和政策性用粮购销活动中的粮食质量安全和原粮卫生的监督管理；</w:t>
      </w:r>
    </w:p>
    <w:p w:rsidR="000E0823" w:rsidRPr="000E0823" w:rsidRDefault="000E0823" w:rsidP="000E0823">
      <w:pPr>
        <w:spacing w:line="480" w:lineRule="auto"/>
        <w:ind w:firstLineChars="200" w:firstLine="560"/>
        <w:rPr>
          <w:rFonts w:ascii="宋体" w:eastAsia="宋体" w:hAnsi="宋体"/>
          <w:sz w:val="28"/>
        </w:rPr>
      </w:pPr>
      <w:r w:rsidRPr="000E0823">
        <w:rPr>
          <w:rFonts w:ascii="宋体" w:eastAsia="宋体" w:hAnsi="宋体" w:hint="eastAsia"/>
          <w:sz w:val="28"/>
        </w:rPr>
        <w:t>（二）、机构设置及决算单位构成</w:t>
      </w:r>
    </w:p>
    <w:p w:rsidR="000E0823" w:rsidRPr="000E0823" w:rsidRDefault="000E0823" w:rsidP="000E0823">
      <w:pPr>
        <w:spacing w:line="480" w:lineRule="auto"/>
        <w:ind w:firstLineChars="200" w:firstLine="560"/>
        <w:rPr>
          <w:rFonts w:ascii="宋体" w:eastAsia="宋体" w:hAnsi="宋体"/>
          <w:sz w:val="28"/>
        </w:rPr>
      </w:pPr>
      <w:r w:rsidRPr="000E0823">
        <w:rPr>
          <w:rFonts w:ascii="宋体" w:eastAsia="宋体" w:hAnsi="宋体" w:hint="eastAsia"/>
          <w:sz w:val="28"/>
        </w:rPr>
        <w:t>祁东县农业农村局机关是正科级全额拨款公务员单位，14个内设机构：办公室、人事股、计划财务股科技教育股（县农业转基因生物安全管理办公室）、行政审批服务股（政策法规股）、农村政策与合作经济改革股（农村改革与发展股）、乡村产业发展股、种植业管理股（农药管理股）、农产品质量安全监管股、市场信息与对外交流股、农村社会事业促进股、农业机械化管理股、农田建设与农垦股、畜牧水产管理股。</w:t>
      </w:r>
    </w:p>
    <w:p w:rsidR="000E0823" w:rsidRPr="000E0823" w:rsidRDefault="000E0823" w:rsidP="000E0823">
      <w:pPr>
        <w:spacing w:line="480" w:lineRule="auto"/>
        <w:ind w:firstLineChars="200" w:firstLine="560"/>
        <w:rPr>
          <w:rFonts w:ascii="宋体" w:eastAsia="宋体" w:hAnsi="宋体"/>
          <w:sz w:val="28"/>
        </w:rPr>
      </w:pPr>
      <w:r w:rsidRPr="000E0823">
        <w:rPr>
          <w:rFonts w:ascii="宋体" w:eastAsia="宋体" w:hAnsi="宋体" w:hint="eastAsia"/>
          <w:sz w:val="28"/>
        </w:rPr>
        <w:t>祁东县农业农村局机关行政编制23名。设局长1名，副局长3名，总农艺师1名；正股级职数14名。机关后勤服务财政全额拨款事业编制3名，人员只出不进。</w:t>
      </w:r>
    </w:p>
    <w:p w:rsidR="000E0823" w:rsidRPr="000E0823" w:rsidRDefault="000E0823" w:rsidP="000E0823">
      <w:pPr>
        <w:spacing w:line="480" w:lineRule="auto"/>
        <w:ind w:firstLineChars="200" w:firstLine="560"/>
        <w:rPr>
          <w:rFonts w:ascii="宋体" w:eastAsia="宋体" w:hAnsi="宋体"/>
          <w:sz w:val="28"/>
        </w:rPr>
      </w:pPr>
      <w:r w:rsidRPr="000E0823">
        <w:rPr>
          <w:rFonts w:ascii="宋体" w:eastAsia="宋体" w:hAnsi="宋体" w:hint="eastAsia"/>
          <w:sz w:val="28"/>
        </w:rPr>
        <w:t>（三）2022年度重点工作计划</w:t>
      </w:r>
    </w:p>
    <w:p w:rsidR="00490086" w:rsidRPr="00490086" w:rsidRDefault="00490086" w:rsidP="00490086">
      <w:pPr>
        <w:spacing w:line="480" w:lineRule="auto"/>
        <w:ind w:firstLineChars="200" w:firstLine="560"/>
        <w:rPr>
          <w:rFonts w:ascii="宋体" w:eastAsia="宋体" w:hAnsi="宋体"/>
          <w:sz w:val="28"/>
        </w:rPr>
      </w:pPr>
      <w:r w:rsidRPr="00490086">
        <w:rPr>
          <w:rFonts w:ascii="宋体" w:eastAsia="宋体" w:hAnsi="宋体" w:hint="eastAsia"/>
          <w:sz w:val="28"/>
        </w:rPr>
        <w:t>全年稳定粮食播面100万亩以上，产量稳定在45万吨以上，着力培育“五个十万”产业，全年农业增加值增长4%以上，村级集体经济可用收入年均增长10%以上，农村居民人均可支配收入增长10%以上，努力确保不发生重大农产品质量安全事件。</w:t>
      </w:r>
    </w:p>
    <w:p w:rsidR="000E0823" w:rsidRPr="000E0823" w:rsidRDefault="000E0823" w:rsidP="00490086">
      <w:pPr>
        <w:spacing w:line="480" w:lineRule="auto"/>
        <w:ind w:left="0" w:firstLineChars="350" w:firstLine="980"/>
        <w:rPr>
          <w:rFonts w:ascii="宋体" w:eastAsia="宋体" w:hAnsi="宋体"/>
          <w:sz w:val="28"/>
        </w:rPr>
      </w:pPr>
      <w:r w:rsidRPr="000E0823">
        <w:rPr>
          <w:rFonts w:ascii="宋体" w:eastAsia="宋体" w:hAnsi="宋体" w:hint="eastAsia"/>
          <w:sz w:val="28"/>
        </w:rPr>
        <w:lastRenderedPageBreak/>
        <w:t>（四）部门整体支出规模、使用方向、主要内容和涉及范围</w:t>
      </w:r>
    </w:p>
    <w:p w:rsidR="000E0823" w:rsidRPr="000E0823" w:rsidRDefault="000E0823" w:rsidP="000E0823">
      <w:pPr>
        <w:spacing w:line="480" w:lineRule="auto"/>
        <w:ind w:firstLineChars="200" w:firstLine="560"/>
        <w:rPr>
          <w:rFonts w:ascii="宋体" w:eastAsia="宋体" w:hAnsi="宋体"/>
          <w:sz w:val="28"/>
        </w:rPr>
      </w:pPr>
      <w:r w:rsidRPr="000E0823">
        <w:rPr>
          <w:rFonts w:ascii="宋体" w:eastAsia="宋体" w:hAnsi="宋体" w:hint="eastAsia"/>
          <w:sz w:val="28"/>
        </w:rPr>
        <w:t>本年收入合计31205.51万元，其中：一般公共预算财政拨款收入26209.97万元，占比83.99%；政府性基金预算财政拨款收入4900.36万元，占比15.70%；其他收入95.18万元，占比0.31%。本年支出合计31205.51万元，其中：基本支出2329.59万元，占比7.47%；项目支出28875.92万元，占比92.53%。</w:t>
      </w:r>
    </w:p>
    <w:p w:rsidR="000E0823" w:rsidRPr="000E0823" w:rsidRDefault="000E0823" w:rsidP="000E0823">
      <w:pPr>
        <w:spacing w:line="480" w:lineRule="auto"/>
        <w:ind w:firstLineChars="200" w:firstLine="560"/>
        <w:rPr>
          <w:rFonts w:ascii="宋体" w:eastAsia="宋体" w:hAnsi="宋体"/>
          <w:sz w:val="28"/>
        </w:rPr>
      </w:pPr>
      <w:r w:rsidRPr="000E0823">
        <w:rPr>
          <w:rFonts w:ascii="宋体" w:eastAsia="宋体" w:hAnsi="宋体" w:hint="eastAsia"/>
          <w:sz w:val="28"/>
        </w:rPr>
        <w:t>主要内容和涉及范围：人员经费包括基本工资、津贴补贴、奖金、社会保障缴费、退休费生活补助、住房公积金等；日常公用经费包括办公费、差旅费、培训费、公务接待费、劳务费、工会经费、福利费、公务用车运行维护费、其他交通费用、其他商品和服务支出等；项目支出主要包括办公费、印刷费、邮电费、差旅费、维修（护）费、会议费、培训费、公务接待费、劳务费、委托业务费、公务用车运行维护费、其他交通费、其他商品和服务支出、办公设备购置。涉及人员经费、保障基本运转、开展各项专项业务工作、精准扶贫、乡村振兴、党建所发生的全部支出。</w:t>
      </w:r>
    </w:p>
    <w:p w:rsidR="000E0823" w:rsidRPr="000E0823" w:rsidRDefault="000E0823" w:rsidP="000E0823">
      <w:pPr>
        <w:spacing w:line="480" w:lineRule="auto"/>
        <w:ind w:firstLineChars="200" w:firstLine="562"/>
        <w:rPr>
          <w:rFonts w:ascii="宋体" w:eastAsia="宋体" w:hAnsi="宋体"/>
          <w:b/>
          <w:sz w:val="28"/>
        </w:rPr>
      </w:pPr>
      <w:r w:rsidRPr="000E0823">
        <w:rPr>
          <w:rFonts w:ascii="宋体" w:eastAsia="宋体" w:hAnsi="宋体" w:hint="eastAsia"/>
          <w:b/>
          <w:sz w:val="28"/>
        </w:rPr>
        <w:t>二、基本支出情况</w:t>
      </w:r>
    </w:p>
    <w:p w:rsidR="000E0823" w:rsidRPr="000E0823" w:rsidRDefault="000E0823" w:rsidP="000E0823">
      <w:pPr>
        <w:spacing w:line="480" w:lineRule="auto"/>
        <w:ind w:firstLineChars="200" w:firstLine="560"/>
        <w:rPr>
          <w:rFonts w:ascii="宋体" w:eastAsia="宋体" w:hAnsi="宋体"/>
          <w:sz w:val="28"/>
        </w:rPr>
      </w:pPr>
      <w:r w:rsidRPr="000E0823">
        <w:rPr>
          <w:rFonts w:ascii="宋体" w:eastAsia="宋体" w:hAnsi="宋体" w:hint="eastAsia"/>
          <w:sz w:val="28"/>
        </w:rPr>
        <w:t>1、实际整体收支情况</w:t>
      </w:r>
    </w:p>
    <w:p w:rsidR="000E0823" w:rsidRPr="000E0823" w:rsidRDefault="000E0823" w:rsidP="000E0823">
      <w:pPr>
        <w:spacing w:line="480" w:lineRule="auto"/>
        <w:ind w:firstLineChars="200" w:firstLine="560"/>
        <w:rPr>
          <w:rFonts w:ascii="宋体" w:eastAsia="宋体" w:hAnsi="宋体"/>
          <w:sz w:val="28"/>
        </w:rPr>
      </w:pPr>
      <w:r w:rsidRPr="000E0823">
        <w:rPr>
          <w:rFonts w:ascii="宋体" w:eastAsia="宋体" w:hAnsi="宋体" w:hint="eastAsia"/>
          <w:sz w:val="28"/>
        </w:rPr>
        <w:t>2022年度收、支总计31205.51万元。与上年相比增加10789.98万元，增长52.85%，主要是因为：人员经费预算、专项资金增加及预算追加。</w:t>
      </w:r>
    </w:p>
    <w:p w:rsidR="000E0823" w:rsidRPr="000E0823" w:rsidRDefault="000E0823" w:rsidP="000E0823">
      <w:pPr>
        <w:spacing w:line="480" w:lineRule="auto"/>
        <w:ind w:firstLineChars="200" w:firstLine="560"/>
        <w:rPr>
          <w:rFonts w:ascii="宋体" w:eastAsia="宋体" w:hAnsi="宋体"/>
          <w:sz w:val="28"/>
        </w:rPr>
      </w:pPr>
      <w:r w:rsidRPr="000E0823">
        <w:rPr>
          <w:rFonts w:ascii="宋体" w:eastAsia="宋体" w:hAnsi="宋体" w:hint="eastAsia"/>
          <w:sz w:val="28"/>
        </w:rPr>
        <w:t>2022年度财政拨款基本支出2234.05万元，其中：人员经</w:t>
      </w:r>
      <w:r w:rsidRPr="000E0823">
        <w:rPr>
          <w:rFonts w:ascii="宋体" w:eastAsia="宋体" w:hAnsi="宋体" w:hint="eastAsia"/>
          <w:sz w:val="28"/>
        </w:rPr>
        <w:lastRenderedPageBreak/>
        <w:t>费1999.84万元，占基本支出的89.52%,主要包括本工资、津贴补贴、奖金、伙食补助费、机关事业单位基本养老保险缴费、职工基本医疗保险缴费、其他社会保障缴费、住房公积金、其他工资福利支出、抚恤金、生活补助、医疗费补助、奖励金；公用经费234.2万元，占基本支出的10.48%,主要包括办公费、印刷费、水费、电费、邮电费、差旅费、维修（护）费、会议费、培训费、公务接待费、劳务费、工会经费、福利费、其他交通费用、其他商品和服务支出、办公设备购置。</w:t>
      </w:r>
    </w:p>
    <w:p w:rsidR="000E0823" w:rsidRPr="000E0823" w:rsidRDefault="000E0823" w:rsidP="000E0823">
      <w:pPr>
        <w:spacing w:line="480" w:lineRule="auto"/>
        <w:ind w:firstLineChars="200" w:firstLine="560"/>
        <w:rPr>
          <w:rFonts w:ascii="宋体" w:eastAsia="宋体" w:hAnsi="宋体"/>
          <w:sz w:val="28"/>
        </w:rPr>
      </w:pPr>
      <w:r w:rsidRPr="000E0823">
        <w:rPr>
          <w:rFonts w:ascii="宋体" w:eastAsia="宋体" w:hAnsi="宋体" w:hint="eastAsia"/>
          <w:sz w:val="28"/>
        </w:rPr>
        <w:t>2、“三公”经费总支出情况</w:t>
      </w:r>
    </w:p>
    <w:p w:rsidR="000E0823" w:rsidRPr="000E0823" w:rsidRDefault="000E0823" w:rsidP="000E0823">
      <w:pPr>
        <w:spacing w:line="480" w:lineRule="auto"/>
        <w:ind w:firstLineChars="200" w:firstLine="560"/>
        <w:rPr>
          <w:rFonts w:ascii="宋体" w:eastAsia="宋体" w:hAnsi="宋体"/>
          <w:sz w:val="28"/>
        </w:rPr>
      </w:pPr>
      <w:r w:rsidRPr="000E0823">
        <w:rPr>
          <w:rFonts w:ascii="宋体" w:eastAsia="宋体" w:hAnsi="宋体" w:hint="eastAsia"/>
          <w:sz w:val="28"/>
        </w:rPr>
        <w:t>2022年“三公”经费预算为4.56万元，支出为4.56万元，比预算节约0万元。其中：“因公出国（境）费预算数0.00万元，支出0.00万元、公务用车购置及运行维护费预算数0.00万元，支出0.00万元、公务接待费预算数4.56万元，支出4.56万元。“三公”经费相关数据统计：国内公务接待批次190个，国内公务接待人次1140人。</w:t>
      </w:r>
    </w:p>
    <w:p w:rsidR="000E0823" w:rsidRPr="000E0823" w:rsidRDefault="000E0823" w:rsidP="000E0823">
      <w:pPr>
        <w:spacing w:line="480" w:lineRule="auto"/>
        <w:ind w:firstLineChars="200" w:firstLine="562"/>
        <w:rPr>
          <w:rFonts w:ascii="宋体" w:eastAsia="宋体" w:hAnsi="宋体"/>
          <w:b/>
          <w:sz w:val="28"/>
        </w:rPr>
      </w:pPr>
      <w:r w:rsidRPr="000E0823">
        <w:rPr>
          <w:rFonts w:ascii="宋体" w:eastAsia="宋体" w:hAnsi="宋体" w:hint="eastAsia"/>
          <w:b/>
          <w:sz w:val="28"/>
        </w:rPr>
        <w:t>三、项目支出情况</w:t>
      </w:r>
    </w:p>
    <w:p w:rsidR="000E0823" w:rsidRPr="000E0823" w:rsidRDefault="000E0823" w:rsidP="000E0823">
      <w:pPr>
        <w:spacing w:line="480" w:lineRule="auto"/>
        <w:ind w:firstLineChars="200" w:firstLine="560"/>
        <w:rPr>
          <w:rFonts w:ascii="宋体" w:eastAsia="宋体" w:hAnsi="宋体"/>
          <w:sz w:val="28"/>
        </w:rPr>
      </w:pPr>
      <w:r w:rsidRPr="000E0823">
        <w:rPr>
          <w:rFonts w:ascii="宋体" w:eastAsia="宋体" w:hAnsi="宋体" w:hint="eastAsia"/>
          <w:sz w:val="28"/>
        </w:rPr>
        <w:t>（一）、项目资金安排、使用</w:t>
      </w:r>
    </w:p>
    <w:p w:rsidR="000E0823" w:rsidRPr="000E0823" w:rsidRDefault="000E0823" w:rsidP="000E0823">
      <w:pPr>
        <w:spacing w:line="480" w:lineRule="auto"/>
        <w:ind w:firstLineChars="200" w:firstLine="560"/>
        <w:rPr>
          <w:rFonts w:ascii="宋体" w:eastAsia="宋体" w:hAnsi="宋体"/>
          <w:sz w:val="28"/>
        </w:rPr>
      </w:pPr>
      <w:r w:rsidRPr="000E0823">
        <w:rPr>
          <w:rFonts w:ascii="宋体" w:eastAsia="宋体" w:hAnsi="宋体" w:hint="eastAsia"/>
          <w:sz w:val="28"/>
        </w:rPr>
        <w:t>2022年度项目资金收入支出合计28875.92万元，其中：县级专项资金34.80万元，上级专项资金28841.12万元，主要项目包括：耕地土壤与农产品重金属污染加密调查资金6.81万元、畜禽粪污资源化利用整县推荐项目1129.08万元、重点推荐项目风险分担准备金400万元、旱稻集中育秧资金33.64万元、</w:t>
      </w:r>
      <w:r w:rsidRPr="000E0823">
        <w:rPr>
          <w:rFonts w:ascii="宋体" w:eastAsia="宋体" w:hAnsi="宋体" w:hint="eastAsia"/>
          <w:sz w:val="28"/>
        </w:rPr>
        <w:lastRenderedPageBreak/>
        <w:t>中央农业生产救灾资金96.47万元、生猪定点屠宰场和病死猪无害化处理场洗消通道建设补助资金6万元、农产品质检中心“双认证”暨迎接国家农产品质量安全县复审工作经费10万元、中央农产品质量安全监管资金30万元、农业生产和水利救灾（抗旱）资金60万元、中央农业救灾资金462.99万元、受污染耕地安全利用财政奖补资金28.93万元、中央耕地轮作休耕试点资金622万元、现代农业特色产业园和优势特色产业集群项目资金50万元、农业一化四体系与三融合资金30万元、农产品产地冷藏保鲜设施建设资金900万元、现代农业产业园创建资金812.98万元、农业产业融合发展项目资金110万元、农产品产地冷藏保鲜设施建设资金1058.65万元、农补打卡11100万元、市级蔬菜产业发展资金10万元、市级产业化资金40万元、“湘江源”蔬菜设施和优质农产品品牌补助资金36.72万元、农村改厕奖补资金195.65万元、长江禁捕退捕结算资金及直达资金21.47万元、中央有机肥代替化肥示范项目资金417.6万元、耕地保护与地力提升和化肥减量增效资金19.09万元、农业一化四体系与三产融合资金9万元、新型农业经营主体贷款贴息资金220万元、受污染耕地安全利用资金9.06万元、粮食生产奖补资金215.78万元、农业产业强镇资金120万元、农业抗旱应急打井奖补资金190.6万元、早稻专业化集中育秧资金60万元、市级茶叶产业发展资金20万元、“一县一特”优秀农产品品牌项目资金94.35万元、农业生产发展贫困县统筹整合</w:t>
      </w:r>
      <w:r w:rsidRPr="000E0823">
        <w:rPr>
          <w:rFonts w:ascii="宋体" w:eastAsia="宋体" w:hAnsi="宋体" w:hint="eastAsia"/>
          <w:sz w:val="28"/>
        </w:rPr>
        <w:lastRenderedPageBreak/>
        <w:t>资金47.28万元、农村改厕奖补资金86.14万元、农村人居环境整治常态化保洁工作经费3.1万元、衔接推进乡村振兴补助资金1083.64万元、棉花大县奖励资金222.42万元、农补打卡2751.05万元、财政农业资金10万元、成品油价格调整对渔业补助资金10万元、生猪调出大县奖励资金31.8万元、产油大县奖励资金1503.62万元、黄花菜产业融合发展建设项目资金3000万元、归阳工业园冷链物流农产品加工区建设项目1500万元。</w:t>
      </w:r>
    </w:p>
    <w:p w:rsidR="000E0823" w:rsidRPr="000E0823" w:rsidRDefault="000E0823" w:rsidP="000E0823">
      <w:pPr>
        <w:spacing w:line="480" w:lineRule="auto"/>
        <w:ind w:firstLineChars="200" w:firstLine="560"/>
        <w:rPr>
          <w:rFonts w:ascii="宋体" w:eastAsia="宋体" w:hAnsi="宋体"/>
          <w:sz w:val="28"/>
        </w:rPr>
      </w:pPr>
      <w:r w:rsidRPr="000E0823">
        <w:rPr>
          <w:rFonts w:ascii="宋体" w:eastAsia="宋体" w:hAnsi="宋体" w:hint="eastAsia"/>
          <w:sz w:val="28"/>
        </w:rPr>
        <w:t>（二）、项目资金管理、组织实施</w:t>
      </w:r>
    </w:p>
    <w:p w:rsidR="000E0823" w:rsidRPr="000E0823" w:rsidRDefault="000E0823" w:rsidP="000E0823">
      <w:pPr>
        <w:spacing w:line="480" w:lineRule="auto"/>
        <w:ind w:firstLineChars="200" w:firstLine="560"/>
        <w:rPr>
          <w:rFonts w:ascii="宋体" w:eastAsia="宋体" w:hAnsi="宋体"/>
          <w:sz w:val="28"/>
        </w:rPr>
      </w:pPr>
      <w:r w:rsidRPr="000E0823">
        <w:rPr>
          <w:rFonts w:ascii="宋体" w:eastAsia="宋体" w:hAnsi="宋体" w:hint="eastAsia"/>
          <w:sz w:val="28"/>
        </w:rPr>
        <w:t>项目支出严格按照国家财经法规、预算资金管理办法、财务管理制度以及省级政府对财政专项资金管理有关法规的规定执行，把项目资金的审批分配、监督检查与绩效评价结合起来。项目支出中用于采购货物、服务类、拨款类等资金支出由国库集中支付，其他支出遵循先预算、再审批、后支出的原则，确保了财政资金分配和财政审批程序合法、保证了项目资金的合理使用。</w:t>
      </w:r>
    </w:p>
    <w:p w:rsidR="000E0823" w:rsidRPr="000E0823" w:rsidRDefault="000E0823" w:rsidP="000E0823">
      <w:pPr>
        <w:spacing w:line="480" w:lineRule="auto"/>
        <w:ind w:firstLineChars="200" w:firstLine="560"/>
        <w:rPr>
          <w:rFonts w:ascii="宋体" w:eastAsia="宋体" w:hAnsi="宋体"/>
          <w:sz w:val="28"/>
        </w:rPr>
      </w:pPr>
      <w:r w:rsidRPr="000E0823">
        <w:rPr>
          <w:rFonts w:ascii="宋体" w:eastAsia="宋体" w:hAnsi="宋体" w:hint="eastAsia"/>
          <w:sz w:val="28"/>
        </w:rPr>
        <w:t>（三）、资产管理情况</w:t>
      </w:r>
    </w:p>
    <w:p w:rsidR="000E0823" w:rsidRPr="000E0823" w:rsidRDefault="000E0823" w:rsidP="000E0823">
      <w:pPr>
        <w:spacing w:line="480" w:lineRule="auto"/>
        <w:ind w:firstLineChars="200" w:firstLine="560"/>
        <w:rPr>
          <w:rFonts w:ascii="宋体" w:eastAsia="宋体" w:hAnsi="宋体"/>
          <w:sz w:val="28"/>
        </w:rPr>
      </w:pPr>
      <w:r w:rsidRPr="000E0823">
        <w:rPr>
          <w:rFonts w:ascii="宋体" w:eastAsia="宋体" w:hAnsi="宋体" w:hint="eastAsia"/>
          <w:sz w:val="28"/>
        </w:rPr>
        <w:t>2022年资产总计</w:t>
      </w:r>
      <w:r w:rsidR="003D7CFC">
        <w:rPr>
          <w:rFonts w:ascii="宋体" w:eastAsia="宋体" w:hAnsi="宋体" w:hint="eastAsia"/>
          <w:sz w:val="28"/>
        </w:rPr>
        <w:t>381.2</w:t>
      </w:r>
      <w:r w:rsidRPr="000E0823">
        <w:rPr>
          <w:rFonts w:ascii="宋体" w:eastAsia="宋体" w:hAnsi="宋体" w:hint="eastAsia"/>
          <w:sz w:val="28"/>
        </w:rPr>
        <w:t>万元，与上年度对比</w:t>
      </w:r>
      <w:r w:rsidR="003D7CFC">
        <w:rPr>
          <w:rFonts w:ascii="宋体" w:eastAsia="宋体" w:hAnsi="宋体" w:hint="eastAsia"/>
          <w:sz w:val="28"/>
        </w:rPr>
        <w:t>减少123.8</w:t>
      </w:r>
      <w:r w:rsidRPr="000E0823">
        <w:rPr>
          <w:rFonts w:ascii="宋体" w:eastAsia="宋体" w:hAnsi="宋体" w:hint="eastAsia"/>
          <w:sz w:val="28"/>
        </w:rPr>
        <w:t>万元，主要原因为</w:t>
      </w:r>
      <w:r w:rsidR="003D7CFC" w:rsidRPr="003D7CFC">
        <w:rPr>
          <w:rFonts w:ascii="宋体" w:eastAsia="宋体" w:hAnsi="宋体" w:hint="eastAsia"/>
          <w:sz w:val="28"/>
        </w:rPr>
        <w:t>财政应返还额度</w:t>
      </w:r>
      <w:r w:rsidR="003D7CFC">
        <w:rPr>
          <w:rFonts w:ascii="宋体" w:eastAsia="宋体" w:hAnsi="宋体" w:hint="eastAsia"/>
          <w:sz w:val="28"/>
        </w:rPr>
        <w:t>减少</w:t>
      </w:r>
      <w:r w:rsidRPr="000E0823">
        <w:rPr>
          <w:rFonts w:ascii="宋体" w:eastAsia="宋体" w:hAnsi="宋体" w:hint="eastAsia"/>
          <w:sz w:val="28"/>
        </w:rPr>
        <w:t>；负债总计</w:t>
      </w:r>
      <w:r w:rsidR="003D7CFC">
        <w:rPr>
          <w:rFonts w:ascii="宋体" w:eastAsia="宋体" w:hAnsi="宋体" w:hint="eastAsia"/>
          <w:sz w:val="28"/>
        </w:rPr>
        <w:t>97.15</w:t>
      </w:r>
      <w:r w:rsidRPr="000E0823">
        <w:rPr>
          <w:rFonts w:ascii="宋体" w:eastAsia="宋体" w:hAnsi="宋体" w:hint="eastAsia"/>
          <w:sz w:val="28"/>
        </w:rPr>
        <w:t>万元，比上年度相比，减少</w:t>
      </w:r>
      <w:r w:rsidR="003D7CFC">
        <w:rPr>
          <w:rFonts w:ascii="宋体" w:eastAsia="宋体" w:hAnsi="宋体" w:hint="eastAsia"/>
          <w:sz w:val="28"/>
        </w:rPr>
        <w:t>0.63</w:t>
      </w:r>
      <w:r w:rsidRPr="000E0823">
        <w:rPr>
          <w:rFonts w:ascii="宋体" w:eastAsia="宋体" w:hAnsi="宋体" w:hint="eastAsia"/>
          <w:sz w:val="28"/>
        </w:rPr>
        <w:t>万元，</w:t>
      </w:r>
      <w:r w:rsidR="003D7CFC">
        <w:rPr>
          <w:rFonts w:ascii="宋体" w:eastAsia="宋体" w:hAnsi="宋体" w:hint="eastAsia"/>
          <w:sz w:val="28"/>
        </w:rPr>
        <w:t>减</w:t>
      </w:r>
      <w:r w:rsidRPr="000E0823">
        <w:rPr>
          <w:rFonts w:ascii="宋体" w:eastAsia="宋体" w:hAnsi="宋体" w:hint="eastAsia"/>
          <w:sz w:val="28"/>
        </w:rPr>
        <w:t>幅</w:t>
      </w:r>
      <w:r w:rsidR="003D7CFC">
        <w:rPr>
          <w:rFonts w:ascii="宋体" w:eastAsia="宋体" w:hAnsi="宋体" w:hint="eastAsia"/>
          <w:sz w:val="28"/>
        </w:rPr>
        <w:t>0.64</w:t>
      </w:r>
      <w:r w:rsidRPr="000E0823">
        <w:rPr>
          <w:rFonts w:ascii="宋体" w:eastAsia="宋体" w:hAnsi="宋体" w:hint="eastAsia"/>
          <w:sz w:val="28"/>
        </w:rPr>
        <w:t>%，主要原因是</w:t>
      </w:r>
      <w:r w:rsidR="003D7CFC">
        <w:rPr>
          <w:rFonts w:ascii="宋体" w:eastAsia="宋体" w:hAnsi="宋体" w:hint="eastAsia"/>
          <w:sz w:val="28"/>
        </w:rPr>
        <w:t>其他应付款减少</w:t>
      </w:r>
      <w:r w:rsidRPr="000E0823">
        <w:rPr>
          <w:rFonts w:ascii="宋体" w:eastAsia="宋体" w:hAnsi="宋体" w:hint="eastAsia"/>
          <w:sz w:val="28"/>
        </w:rPr>
        <w:t>。</w:t>
      </w:r>
    </w:p>
    <w:p w:rsidR="000E0823" w:rsidRPr="000E0823" w:rsidRDefault="000E0823" w:rsidP="000E0823">
      <w:pPr>
        <w:spacing w:line="480" w:lineRule="auto"/>
        <w:ind w:firstLineChars="200" w:firstLine="560"/>
        <w:rPr>
          <w:rFonts w:ascii="宋体" w:eastAsia="宋体" w:hAnsi="宋体"/>
          <w:sz w:val="28"/>
        </w:rPr>
      </w:pPr>
      <w:r w:rsidRPr="000E0823">
        <w:rPr>
          <w:rFonts w:ascii="宋体" w:eastAsia="宋体" w:hAnsi="宋体" w:hint="eastAsia"/>
          <w:sz w:val="28"/>
        </w:rPr>
        <w:t>我单位为规范固定资产的管理，制定了《固定资产管理制</w:t>
      </w:r>
      <w:r w:rsidRPr="000E0823">
        <w:rPr>
          <w:rFonts w:ascii="宋体" w:eastAsia="宋体" w:hAnsi="宋体" w:hint="eastAsia"/>
          <w:sz w:val="28"/>
        </w:rPr>
        <w:lastRenderedPageBreak/>
        <w:t>度》，对机关资产配置、资产更新和购置程序、资产保管、资产报废与核销、国有资产出租、出借所形成的收入等方面做出了明确的规定。做到了账实相符，报批手续完整，固定资产及时登记入账。</w:t>
      </w:r>
    </w:p>
    <w:p w:rsidR="000E0823" w:rsidRPr="000E0823" w:rsidRDefault="000E0823" w:rsidP="000E0823">
      <w:pPr>
        <w:spacing w:line="480" w:lineRule="auto"/>
        <w:ind w:firstLineChars="200" w:firstLine="562"/>
        <w:rPr>
          <w:rFonts w:ascii="宋体" w:eastAsia="宋体" w:hAnsi="宋体"/>
          <w:b/>
          <w:sz w:val="28"/>
        </w:rPr>
      </w:pPr>
      <w:r w:rsidRPr="000E0823">
        <w:rPr>
          <w:rFonts w:ascii="宋体" w:eastAsia="宋体" w:hAnsi="宋体" w:hint="eastAsia"/>
          <w:b/>
          <w:sz w:val="28"/>
        </w:rPr>
        <w:t>四、部门整体支出绩效情况</w:t>
      </w:r>
    </w:p>
    <w:p w:rsidR="000E0823" w:rsidRPr="000E0823" w:rsidRDefault="000E0823" w:rsidP="000E0823">
      <w:pPr>
        <w:spacing w:line="480" w:lineRule="auto"/>
        <w:ind w:firstLineChars="200" w:firstLine="560"/>
        <w:rPr>
          <w:rFonts w:ascii="宋体" w:eastAsia="宋体" w:hAnsi="宋体"/>
          <w:sz w:val="28"/>
        </w:rPr>
      </w:pPr>
      <w:r w:rsidRPr="000E0823">
        <w:rPr>
          <w:rFonts w:ascii="宋体" w:eastAsia="宋体" w:hAnsi="宋体" w:hint="eastAsia"/>
          <w:sz w:val="28"/>
        </w:rPr>
        <w:t>（一）单位总支出情况的绩效</w:t>
      </w:r>
    </w:p>
    <w:p w:rsidR="000E0823" w:rsidRPr="000E0823" w:rsidRDefault="000E0823" w:rsidP="000E0823">
      <w:pPr>
        <w:spacing w:line="480" w:lineRule="auto"/>
        <w:ind w:firstLineChars="200" w:firstLine="560"/>
        <w:rPr>
          <w:rFonts w:ascii="宋体" w:eastAsia="宋体" w:hAnsi="宋体"/>
          <w:sz w:val="28"/>
        </w:rPr>
      </w:pPr>
      <w:r w:rsidRPr="000E0823">
        <w:rPr>
          <w:rFonts w:ascii="宋体" w:eastAsia="宋体" w:hAnsi="宋体" w:hint="eastAsia"/>
          <w:sz w:val="28"/>
        </w:rPr>
        <w:t>2022年度支出总额31205.51万元，其中基本支出2329.59万元，基本支出保障了单位正常运转的日常支出，包括基本工资、津贴补贴等人员经费以及办公费、水电费、差旅费等日常公用经费；项目支出金额28875.92万元，项目支出主要用于为完成本级财政和及上级安排特定的工作任务或目标支出。</w:t>
      </w:r>
    </w:p>
    <w:p w:rsidR="000E0823" w:rsidRPr="000E0823" w:rsidRDefault="000E0823" w:rsidP="000E0823">
      <w:pPr>
        <w:spacing w:line="480" w:lineRule="auto"/>
        <w:ind w:firstLineChars="200" w:firstLine="560"/>
        <w:rPr>
          <w:rFonts w:ascii="宋体" w:eastAsia="宋体" w:hAnsi="宋体"/>
          <w:sz w:val="28"/>
        </w:rPr>
      </w:pPr>
      <w:r w:rsidRPr="000E0823">
        <w:rPr>
          <w:rFonts w:ascii="宋体" w:eastAsia="宋体" w:hAnsi="宋体" w:hint="eastAsia"/>
          <w:sz w:val="28"/>
        </w:rPr>
        <w:t>（二）部门整体绩效情况</w:t>
      </w:r>
    </w:p>
    <w:p w:rsidR="00503A8C" w:rsidRPr="00E871DB" w:rsidRDefault="000E0823" w:rsidP="00E871DB">
      <w:pPr>
        <w:spacing w:line="480" w:lineRule="auto"/>
        <w:ind w:firstLineChars="200" w:firstLine="560"/>
        <w:rPr>
          <w:rFonts w:ascii="宋体" w:eastAsia="宋体" w:hAnsi="宋体"/>
          <w:sz w:val="28"/>
        </w:rPr>
      </w:pPr>
      <w:r w:rsidRPr="000E0823">
        <w:rPr>
          <w:rFonts w:ascii="宋体" w:eastAsia="宋体" w:hAnsi="宋体" w:hint="eastAsia"/>
          <w:sz w:val="28"/>
        </w:rPr>
        <w:t>1、</w:t>
      </w:r>
      <w:r w:rsidR="00E871DB" w:rsidRPr="00E871DB">
        <w:rPr>
          <w:rFonts w:ascii="宋体" w:eastAsia="宋体" w:hAnsi="宋体" w:hint="eastAsia"/>
          <w:sz w:val="28"/>
        </w:rPr>
        <w:t>稳定粮食生产。</w:t>
      </w:r>
      <w:r w:rsidR="00503A8C" w:rsidRPr="00E871DB">
        <w:rPr>
          <w:rFonts w:ascii="宋体" w:eastAsia="宋体" w:hAnsi="宋体" w:hint="eastAsia"/>
          <w:sz w:val="28"/>
        </w:rPr>
        <w:t>2022年，全县粮食总播面积104.09万亩，总产量为45.78</w:t>
      </w:r>
      <w:bookmarkStart w:id="0" w:name="_GoBack"/>
      <w:bookmarkEnd w:id="0"/>
      <w:r w:rsidR="00503A8C" w:rsidRPr="00E871DB">
        <w:rPr>
          <w:rFonts w:ascii="宋体" w:eastAsia="宋体" w:hAnsi="宋体" w:hint="eastAsia"/>
          <w:sz w:val="28"/>
        </w:rPr>
        <w:t>万吨，其中双季早稻任务面积32万亩，大豆面积2.44万亩；全县蔬菜总面积蔬菜播种面积21.9193万亩，产量50.6681万吨；水果播种面积19.547万亩，产量4.259万吨。</w:t>
      </w:r>
    </w:p>
    <w:p w:rsidR="000E0823" w:rsidRPr="000E0823" w:rsidRDefault="000E0823" w:rsidP="00E871DB">
      <w:pPr>
        <w:spacing w:line="480" w:lineRule="auto"/>
        <w:ind w:firstLineChars="200" w:firstLine="560"/>
        <w:rPr>
          <w:rFonts w:ascii="宋体" w:eastAsia="宋体" w:hAnsi="宋体"/>
          <w:sz w:val="28"/>
        </w:rPr>
      </w:pPr>
      <w:r w:rsidRPr="000E0823">
        <w:rPr>
          <w:rFonts w:ascii="宋体" w:eastAsia="宋体" w:hAnsi="宋体" w:hint="eastAsia"/>
          <w:sz w:val="28"/>
        </w:rPr>
        <w:t>2、</w:t>
      </w:r>
      <w:r w:rsidR="00E871DB" w:rsidRPr="00E871DB">
        <w:rPr>
          <w:rFonts w:ascii="宋体" w:eastAsia="宋体" w:hAnsi="宋体" w:hint="eastAsia"/>
          <w:sz w:val="28"/>
        </w:rPr>
        <w:t>畜禽生产稳产保供。今年，全县存栏生猪60.3万头，能繁母猪存栏5.78万头，出栏生猪82.45万头，出笼家禽965.23万羽、蛋产量4.1万吨，出栏肉年1.62万头，山羊出栏18.63万只，养殖水面达10.52万亩、水产品产量达5.6万吨，圆满完成上级业务部门下达的任务指标。</w:t>
      </w:r>
    </w:p>
    <w:p w:rsidR="00E871DB" w:rsidRPr="00E871DB" w:rsidRDefault="000E0823" w:rsidP="00E871DB">
      <w:pPr>
        <w:spacing w:line="480" w:lineRule="auto"/>
        <w:ind w:firstLineChars="200" w:firstLine="560"/>
        <w:rPr>
          <w:rFonts w:ascii="宋体" w:eastAsia="宋体" w:hAnsi="宋体"/>
          <w:sz w:val="28"/>
        </w:rPr>
      </w:pPr>
      <w:r w:rsidRPr="000E0823">
        <w:rPr>
          <w:rFonts w:ascii="宋体" w:eastAsia="宋体" w:hAnsi="宋体" w:hint="eastAsia"/>
          <w:sz w:val="28"/>
        </w:rPr>
        <w:lastRenderedPageBreak/>
        <w:t>3、</w:t>
      </w:r>
      <w:r w:rsidR="00E871DB" w:rsidRPr="00E871DB">
        <w:rPr>
          <w:rFonts w:ascii="宋体" w:eastAsia="宋体" w:hAnsi="宋体" w:hint="eastAsia"/>
          <w:sz w:val="28"/>
        </w:rPr>
        <w:t>农业产业化发展顺利。新型主体不断壮大，带动能力不断增强。全县有国家级龙头企业1家，市级以上龙头企业44家，农民专业合作社1106个，家庭农场1399个。祁东县黄花菜产量和产值占全国市场的60%以上，从事黄花菜种植、加工及销售的企业国家级龙头企业1家（湖南新发食品有限公司），市级以上龙头企业7家，省级以上示范合作社15家，全县现有黄花菜电商平台76个，村级电商服务站363个，年交易额达到6.5亿元；槟榔芋、中药材作为我县新兴辅助产业，年产值均超2亿元，槟榔芋已注册“国家工商商标”，其中从事槟榔芋产业市级以上龙头企业5家，省级以上示范合作社5家；从事中药材产业市级以上龙头企业3家、省级以上示范合作社10家。目前已有11家市级龙头企业拟申报省级龙头企业，可成功申报2家省级龙头企业。</w:t>
      </w:r>
    </w:p>
    <w:p w:rsidR="000E0823" w:rsidRPr="000E0823" w:rsidRDefault="000E0823" w:rsidP="000E0823">
      <w:pPr>
        <w:spacing w:line="480" w:lineRule="auto"/>
        <w:ind w:firstLineChars="200" w:firstLine="560"/>
        <w:rPr>
          <w:rFonts w:ascii="宋体" w:eastAsia="宋体" w:hAnsi="宋体"/>
          <w:sz w:val="28"/>
        </w:rPr>
      </w:pPr>
      <w:r w:rsidRPr="000E0823">
        <w:rPr>
          <w:rFonts w:ascii="宋体" w:eastAsia="宋体" w:hAnsi="宋体" w:hint="eastAsia"/>
          <w:sz w:val="28"/>
        </w:rPr>
        <w:t>4．综合评价情况及评价结论</w:t>
      </w:r>
    </w:p>
    <w:p w:rsidR="000E0823" w:rsidRPr="000E0823" w:rsidRDefault="000E0823" w:rsidP="000E0823">
      <w:pPr>
        <w:spacing w:line="480" w:lineRule="auto"/>
        <w:ind w:firstLineChars="200" w:firstLine="560"/>
        <w:rPr>
          <w:rFonts w:ascii="宋体" w:eastAsia="宋体" w:hAnsi="宋体"/>
          <w:sz w:val="28"/>
        </w:rPr>
      </w:pPr>
      <w:r w:rsidRPr="000E0823">
        <w:rPr>
          <w:rFonts w:ascii="宋体" w:eastAsia="宋体" w:hAnsi="宋体" w:hint="eastAsia"/>
          <w:sz w:val="28"/>
        </w:rPr>
        <w:t>祁东县农业农村局2022年度项目资金绩效自评综合得分为96分，具体自评情况见附表。</w:t>
      </w:r>
    </w:p>
    <w:p w:rsidR="000E0823" w:rsidRPr="000E0823" w:rsidRDefault="000E0823" w:rsidP="000E0823">
      <w:pPr>
        <w:spacing w:line="480" w:lineRule="auto"/>
        <w:ind w:firstLineChars="200" w:firstLine="562"/>
        <w:rPr>
          <w:rFonts w:ascii="宋体" w:eastAsia="宋体" w:hAnsi="宋体"/>
          <w:b/>
          <w:sz w:val="28"/>
        </w:rPr>
      </w:pPr>
      <w:r w:rsidRPr="000E0823">
        <w:rPr>
          <w:rFonts w:ascii="宋体" w:eastAsia="宋体" w:hAnsi="宋体" w:hint="eastAsia"/>
          <w:b/>
          <w:sz w:val="28"/>
        </w:rPr>
        <w:t>五、存在的主要问题及下一步改进措施</w:t>
      </w:r>
    </w:p>
    <w:p w:rsidR="000E0823" w:rsidRPr="000E0823" w:rsidRDefault="000E0823" w:rsidP="000E0823">
      <w:pPr>
        <w:spacing w:line="480" w:lineRule="auto"/>
        <w:ind w:firstLineChars="200" w:firstLine="560"/>
        <w:rPr>
          <w:rFonts w:ascii="宋体" w:eastAsia="宋体" w:hAnsi="宋体"/>
          <w:sz w:val="28"/>
        </w:rPr>
      </w:pPr>
      <w:r w:rsidRPr="000E0823">
        <w:rPr>
          <w:rFonts w:ascii="宋体" w:eastAsia="宋体" w:hAnsi="宋体" w:hint="eastAsia"/>
          <w:sz w:val="28"/>
        </w:rPr>
        <w:t>对于绩效评价工作“谁使用、谁评价”的原则执行还不够到位；再是对项目资金使用成本控制管理还存在不足，有待进一步加强；绩效目标和指标往往根据项目实际完成情况制定，对项目执行过程有效约束不够，存在一定的偏差。</w:t>
      </w:r>
    </w:p>
    <w:p w:rsidR="000E0823" w:rsidRPr="000E0823" w:rsidRDefault="000E0823" w:rsidP="000E0823">
      <w:pPr>
        <w:spacing w:line="480" w:lineRule="auto"/>
        <w:ind w:firstLineChars="200" w:firstLine="560"/>
        <w:rPr>
          <w:rFonts w:ascii="宋体" w:eastAsia="宋体" w:hAnsi="宋体"/>
          <w:sz w:val="28"/>
        </w:rPr>
      </w:pPr>
      <w:r w:rsidRPr="000E0823">
        <w:rPr>
          <w:rFonts w:ascii="宋体" w:eastAsia="宋体" w:hAnsi="宋体" w:hint="eastAsia"/>
          <w:sz w:val="28"/>
        </w:rPr>
        <w:t>年初预算在上一年度编制上报，对次年经费的测算不能完</w:t>
      </w:r>
      <w:r w:rsidRPr="000E0823">
        <w:rPr>
          <w:rFonts w:ascii="宋体" w:eastAsia="宋体" w:hAnsi="宋体" w:hint="eastAsia"/>
          <w:sz w:val="28"/>
        </w:rPr>
        <w:lastRenderedPageBreak/>
        <w:t>整反映，且县财政在年初批复预算时是根据县级财力安排，出现预算编制不完整、经费预算不足部分通过调整来增加预算、预算执行结果与年初预算有较大偏差等现象。</w:t>
      </w:r>
    </w:p>
    <w:p w:rsidR="000E0823" w:rsidRPr="000E0823" w:rsidRDefault="000E0823" w:rsidP="000E0823">
      <w:pPr>
        <w:spacing w:line="480" w:lineRule="auto"/>
        <w:ind w:firstLineChars="200" w:firstLine="560"/>
        <w:rPr>
          <w:rFonts w:ascii="宋体" w:eastAsia="宋体" w:hAnsi="宋体"/>
          <w:sz w:val="28"/>
        </w:rPr>
      </w:pPr>
      <w:r w:rsidRPr="000E0823">
        <w:rPr>
          <w:rFonts w:ascii="宋体" w:eastAsia="宋体" w:hAnsi="宋体" w:hint="eastAsia"/>
          <w:sz w:val="28"/>
        </w:rPr>
        <w:t>根据存在的问题，我单位将进一步加强预算编制的前瞻性，按照新《预算法》及其实施条例的相关规定，结合本单位的发展规划、上一年度预算执行情况和本年度预算收支变化因素，尽可能地科学、合理编制本年预算草案，避免年初预算与实际执行出现较大偏差的情况；加强预算执行管理，执行中确需调剂预算的，按规定程序报经批准。加强预算绩效管理机制，不断完善内部控制，在努力实现审计监督全覆盖的同时，提高财政资金使用效益。</w:t>
      </w:r>
    </w:p>
    <w:p w:rsidR="000E0823" w:rsidRPr="000E0823" w:rsidRDefault="000E0823" w:rsidP="000E0823">
      <w:pPr>
        <w:spacing w:line="480" w:lineRule="auto"/>
        <w:ind w:firstLineChars="200" w:firstLine="562"/>
        <w:rPr>
          <w:rFonts w:ascii="宋体" w:eastAsia="宋体" w:hAnsi="宋体"/>
          <w:b/>
          <w:sz w:val="28"/>
        </w:rPr>
      </w:pPr>
      <w:r w:rsidRPr="000E0823">
        <w:rPr>
          <w:rFonts w:ascii="宋体" w:eastAsia="宋体" w:hAnsi="宋体" w:hint="eastAsia"/>
          <w:b/>
          <w:sz w:val="28"/>
        </w:rPr>
        <w:t>六、绩效自评结果拟应用和公开情况</w:t>
      </w:r>
    </w:p>
    <w:p w:rsidR="000E0823" w:rsidRPr="000E0823" w:rsidRDefault="000E0823" w:rsidP="000E0823">
      <w:pPr>
        <w:spacing w:line="480" w:lineRule="auto"/>
        <w:ind w:firstLineChars="200" w:firstLine="560"/>
        <w:rPr>
          <w:rFonts w:ascii="宋体" w:eastAsia="宋体" w:hAnsi="宋体"/>
          <w:sz w:val="28"/>
        </w:rPr>
      </w:pPr>
      <w:r w:rsidRPr="000E0823">
        <w:rPr>
          <w:rFonts w:ascii="宋体" w:eastAsia="宋体" w:hAnsi="宋体" w:hint="eastAsia"/>
          <w:sz w:val="28"/>
        </w:rPr>
        <w:t>通过绩效自评，进一步掌握了资金使用情况和取得的效果，发现了工作中存在的问题和不足，为今后加强资金使用管理、完善资金绩效管理、提高资金使用效益工作提供了重要的参考依据。</w:t>
      </w:r>
    </w:p>
    <w:p w:rsidR="000E0823" w:rsidRPr="000E0823" w:rsidRDefault="000E0823" w:rsidP="000E0823">
      <w:pPr>
        <w:spacing w:line="480" w:lineRule="auto"/>
        <w:ind w:firstLineChars="200" w:firstLine="560"/>
        <w:rPr>
          <w:rFonts w:ascii="宋体" w:eastAsia="宋体" w:hAnsi="宋体"/>
          <w:sz w:val="28"/>
        </w:rPr>
      </w:pPr>
      <w:r w:rsidRPr="000E0823">
        <w:rPr>
          <w:rFonts w:ascii="宋体" w:eastAsia="宋体" w:hAnsi="宋体" w:hint="eastAsia"/>
          <w:sz w:val="28"/>
        </w:rPr>
        <w:t>将此次绩效自评报告在本县党政门户网站上予以公布，向社会公开，广泛接受群众监督。</w:t>
      </w:r>
    </w:p>
    <w:p w:rsidR="000E0823" w:rsidRPr="000E0823" w:rsidRDefault="000E0823" w:rsidP="000E0823">
      <w:pPr>
        <w:spacing w:line="480" w:lineRule="auto"/>
        <w:ind w:firstLineChars="200" w:firstLine="562"/>
        <w:rPr>
          <w:rFonts w:ascii="宋体" w:eastAsia="宋体" w:hAnsi="宋体"/>
          <w:b/>
          <w:sz w:val="28"/>
        </w:rPr>
      </w:pPr>
      <w:r w:rsidRPr="000E0823">
        <w:rPr>
          <w:rFonts w:ascii="宋体" w:eastAsia="宋体" w:hAnsi="宋体" w:hint="eastAsia"/>
          <w:b/>
          <w:sz w:val="28"/>
        </w:rPr>
        <w:t>七、其他需要说明的情况</w:t>
      </w:r>
    </w:p>
    <w:p w:rsidR="000E0823" w:rsidRPr="000E0823" w:rsidRDefault="000E0823" w:rsidP="000E0823">
      <w:pPr>
        <w:spacing w:line="480" w:lineRule="auto"/>
        <w:ind w:firstLineChars="200" w:firstLine="560"/>
        <w:rPr>
          <w:rFonts w:ascii="宋体" w:eastAsia="宋体" w:hAnsi="宋体"/>
          <w:sz w:val="28"/>
        </w:rPr>
      </w:pPr>
      <w:r w:rsidRPr="000E0823">
        <w:rPr>
          <w:rFonts w:ascii="宋体" w:eastAsia="宋体" w:hAnsi="宋体" w:hint="eastAsia"/>
          <w:sz w:val="28"/>
        </w:rPr>
        <w:t>无。</w:t>
      </w:r>
    </w:p>
    <w:p w:rsidR="000E0823" w:rsidRPr="000E0823" w:rsidRDefault="000E0823" w:rsidP="000E0823">
      <w:pPr>
        <w:spacing w:line="480" w:lineRule="auto"/>
        <w:ind w:firstLineChars="200" w:firstLine="560"/>
        <w:rPr>
          <w:rFonts w:ascii="宋体" w:eastAsia="宋体" w:hAnsi="宋体"/>
          <w:sz w:val="28"/>
        </w:rPr>
      </w:pPr>
      <w:r w:rsidRPr="000E0823">
        <w:rPr>
          <w:rFonts w:ascii="宋体" w:eastAsia="宋体" w:hAnsi="宋体" w:hint="eastAsia"/>
          <w:sz w:val="28"/>
        </w:rPr>
        <w:t>附表：1、部门整体支出绩效评价指标评分表</w:t>
      </w:r>
    </w:p>
    <w:p w:rsidR="00D859A8" w:rsidRPr="000E0823" w:rsidRDefault="000E0823" w:rsidP="000E0823">
      <w:pPr>
        <w:spacing w:line="480" w:lineRule="auto"/>
        <w:ind w:firstLineChars="200" w:firstLine="560"/>
        <w:rPr>
          <w:rFonts w:ascii="宋体" w:eastAsia="宋体" w:hAnsi="宋体"/>
          <w:sz w:val="28"/>
        </w:rPr>
      </w:pPr>
      <w:r w:rsidRPr="000E0823">
        <w:rPr>
          <w:rFonts w:ascii="宋体" w:eastAsia="宋体" w:hAnsi="宋体" w:hint="eastAsia"/>
          <w:sz w:val="28"/>
        </w:rPr>
        <w:t xml:space="preserve">      2、部门整体支出绩效评价基础数据表</w:t>
      </w:r>
    </w:p>
    <w:sectPr w:rsidR="00D859A8" w:rsidRPr="000E0823" w:rsidSect="00D859A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974" w:rsidRDefault="00AE6974" w:rsidP="00490086">
      <w:r>
        <w:separator/>
      </w:r>
    </w:p>
  </w:endnote>
  <w:endnote w:type="continuationSeparator" w:id="1">
    <w:p w:rsidR="00AE6974" w:rsidRDefault="00AE6974" w:rsidP="004900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974" w:rsidRDefault="00AE6974" w:rsidP="00490086">
      <w:r>
        <w:separator/>
      </w:r>
    </w:p>
  </w:footnote>
  <w:footnote w:type="continuationSeparator" w:id="1">
    <w:p w:rsidR="00AE6974" w:rsidRDefault="00AE6974" w:rsidP="004900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80478"/>
    <w:multiLevelType w:val="hybridMultilevel"/>
    <w:tmpl w:val="522854D0"/>
    <w:lvl w:ilvl="0" w:tplc="265C203C">
      <w:start w:val="1"/>
      <w:numFmt w:val="lowerLetter"/>
      <w:pStyle w:val="17"/>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
    <w:nsid w:val="0C89246C"/>
    <w:multiLevelType w:val="hybridMultilevel"/>
    <w:tmpl w:val="D960EB1C"/>
    <w:lvl w:ilvl="0" w:tplc="1C100652">
      <w:start w:val="1"/>
      <w:numFmt w:val="lowerLetter"/>
      <w:pStyle w:val="11"/>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
    <w:nsid w:val="0D162AB7"/>
    <w:multiLevelType w:val="hybridMultilevel"/>
    <w:tmpl w:val="47F62E32"/>
    <w:lvl w:ilvl="0" w:tplc="B87AB230">
      <w:start w:val="1"/>
      <w:numFmt w:val="decimal"/>
      <w:pStyle w:val="20"/>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
    <w:nsid w:val="0EFC1DE8"/>
    <w:multiLevelType w:val="hybridMultilevel"/>
    <w:tmpl w:val="96E8DA82"/>
    <w:lvl w:ilvl="0" w:tplc="33524532">
      <w:start w:val="1"/>
      <w:numFmt w:val="lowerRoman"/>
      <w:pStyle w:val="13"/>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nsid w:val="0F89325A"/>
    <w:multiLevelType w:val="hybridMultilevel"/>
    <w:tmpl w:val="434E849C"/>
    <w:lvl w:ilvl="0" w:tplc="D658781C">
      <w:start w:val="1"/>
      <w:numFmt w:val="chineseCountingThousand"/>
      <w:pStyle w:val="3"/>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5">
    <w:nsid w:val="1353089F"/>
    <w:multiLevelType w:val="hybridMultilevel"/>
    <w:tmpl w:val="0E5E8B9E"/>
    <w:lvl w:ilvl="0" w:tplc="9EEC321A">
      <w:start w:val="1"/>
      <w:numFmt w:val="upperRoman"/>
      <w:pStyle w:val="30"/>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6">
    <w:nsid w:val="1A2947A4"/>
    <w:multiLevelType w:val="hybridMultilevel"/>
    <w:tmpl w:val="1F6CC360"/>
    <w:lvl w:ilvl="0" w:tplc="AD5C46C6">
      <w:start w:val="1"/>
      <w:numFmt w:val="lowerRoman"/>
      <w:pStyle w:val="19"/>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7">
    <w:nsid w:val="21D93A5C"/>
    <w:multiLevelType w:val="hybridMultilevel"/>
    <w:tmpl w:val="0EF42AD8"/>
    <w:lvl w:ilvl="0" w:tplc="FD183242">
      <w:start w:val="1"/>
      <w:numFmt w:val="chineseCountingThousand"/>
      <w:pStyle w:val="15"/>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8">
    <w:nsid w:val="227069AC"/>
    <w:multiLevelType w:val="hybridMultilevel"/>
    <w:tmpl w:val="DF5ED650"/>
    <w:lvl w:ilvl="0" w:tplc="37C86E34">
      <w:start w:val="1"/>
      <w:numFmt w:val="upperLetter"/>
      <w:pStyle w:val="22"/>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9">
    <w:nsid w:val="2F1034A3"/>
    <w:multiLevelType w:val="hybridMultilevel"/>
    <w:tmpl w:val="F006AE2A"/>
    <w:lvl w:ilvl="0" w:tplc="FC001478">
      <w:start w:val="1"/>
      <w:numFmt w:val="lowerLetter"/>
      <w:pStyle w:val="23"/>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nsid w:val="2F5B7434"/>
    <w:multiLevelType w:val="hybridMultilevel"/>
    <w:tmpl w:val="42341E62"/>
    <w:lvl w:ilvl="0" w:tplc="026E8C1E">
      <w:start w:val="1"/>
      <w:numFmt w:val="upperLetter"/>
      <w:pStyle w:val="16"/>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nsid w:val="30072A41"/>
    <w:multiLevelType w:val="hybridMultilevel"/>
    <w:tmpl w:val="5676556C"/>
    <w:lvl w:ilvl="0" w:tplc="90B86C50">
      <w:start w:val="1"/>
      <w:numFmt w:val="chineseCountingThousand"/>
      <w:pStyle w:val="27"/>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2">
    <w:nsid w:val="3C210087"/>
    <w:multiLevelType w:val="hybridMultilevel"/>
    <w:tmpl w:val="7D28D6C8"/>
    <w:lvl w:ilvl="0" w:tplc="5DE4797C">
      <w:start w:val="1"/>
      <w:numFmt w:val="upperRoman"/>
      <w:pStyle w:val="6"/>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3">
    <w:nsid w:val="3F277ACD"/>
    <w:multiLevelType w:val="hybridMultilevel"/>
    <w:tmpl w:val="21841DE2"/>
    <w:lvl w:ilvl="0" w:tplc="BC824404">
      <w:start w:val="1"/>
      <w:numFmt w:val="decimal"/>
      <w:pStyle w:val="26"/>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4">
    <w:nsid w:val="45BA3CB8"/>
    <w:multiLevelType w:val="hybridMultilevel"/>
    <w:tmpl w:val="DAA2139A"/>
    <w:lvl w:ilvl="0" w:tplc="5AA4AFD4">
      <w:start w:val="1"/>
      <w:numFmt w:val="lowerRoman"/>
      <w:pStyle w:val="25"/>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5">
    <w:nsid w:val="48441C83"/>
    <w:multiLevelType w:val="hybridMultilevel"/>
    <w:tmpl w:val="8B66340A"/>
    <w:lvl w:ilvl="0" w:tplc="D83AA3A0">
      <w:start w:val="1"/>
      <w:numFmt w:val="upperRoman"/>
      <w:pStyle w:val="18"/>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6">
    <w:nsid w:val="48D258B5"/>
    <w:multiLevelType w:val="hybridMultilevel"/>
    <w:tmpl w:val="AE0C809C"/>
    <w:lvl w:ilvl="0" w:tplc="7AE4EFD4">
      <w:start w:val="1"/>
      <w:numFmt w:val="decimal"/>
      <w:pStyle w:val="8"/>
      <w:lvlText w:val="%1."/>
      <w:lvlJc w:val="left"/>
      <w:pPr>
        <w:ind w:left="704" w:hanging="420"/>
      </w:pPr>
      <w:rPr>
        <w:rFonts w:hint="eastAsia"/>
        <w:sz w:val="72"/>
        <w:szCs w:val="72"/>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7">
    <w:nsid w:val="4BCC1CF2"/>
    <w:multiLevelType w:val="hybridMultilevel"/>
    <w:tmpl w:val="65B65492"/>
    <w:lvl w:ilvl="0" w:tplc="EA42AB80">
      <w:start w:val="1"/>
      <w:numFmt w:val="lowerRoman"/>
      <w:pStyle w:val="31"/>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8">
    <w:nsid w:val="4C022313"/>
    <w:multiLevelType w:val="hybridMultilevel"/>
    <w:tmpl w:val="5420A2AE"/>
    <w:lvl w:ilvl="0" w:tplc="72303ED8">
      <w:start w:val="1"/>
      <w:numFmt w:val="upperLetter"/>
      <w:pStyle w:val="28"/>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9">
    <w:nsid w:val="4E793448"/>
    <w:multiLevelType w:val="hybridMultilevel"/>
    <w:tmpl w:val="7E96A236"/>
    <w:lvl w:ilvl="0" w:tplc="9F0C047E">
      <w:start w:val="1"/>
      <w:numFmt w:val="lowerLetter"/>
      <w:pStyle w:val="29"/>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0">
    <w:nsid w:val="56361809"/>
    <w:multiLevelType w:val="hybridMultilevel"/>
    <w:tmpl w:val="7C7AFBDA"/>
    <w:lvl w:ilvl="0" w:tplc="8D103AF4">
      <w:start w:val="1"/>
      <w:numFmt w:val="upperLetter"/>
      <w:pStyle w:val="10"/>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1">
    <w:nsid w:val="57D67E27"/>
    <w:multiLevelType w:val="hybridMultilevel"/>
    <w:tmpl w:val="2B3CF74A"/>
    <w:lvl w:ilvl="0" w:tplc="6C927C7C">
      <w:start w:val="1"/>
      <w:numFmt w:val="decimal"/>
      <w:pStyle w:val="2"/>
      <w:lvlText w:val="%1."/>
      <w:lvlJc w:val="left"/>
      <w:pPr>
        <w:ind w:left="704" w:hanging="420"/>
      </w:pPr>
      <w:rPr>
        <w:rFonts w:hint="eastAsia"/>
        <w:sz w:val="96"/>
        <w:szCs w:val="96"/>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2">
    <w:nsid w:val="5A181799"/>
    <w:multiLevelType w:val="hybridMultilevel"/>
    <w:tmpl w:val="38EAF666"/>
    <w:lvl w:ilvl="0" w:tplc="3146BDE4">
      <w:start w:val="1"/>
      <w:numFmt w:val="lowerLetter"/>
      <w:pStyle w:val="5"/>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3">
    <w:nsid w:val="5FA0565C"/>
    <w:multiLevelType w:val="hybridMultilevel"/>
    <w:tmpl w:val="4FDAD2A6"/>
    <w:lvl w:ilvl="0" w:tplc="B972DBE4">
      <w:start w:val="1"/>
      <w:numFmt w:val="lowerRoman"/>
      <w:pStyle w:val="7"/>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4">
    <w:nsid w:val="602D6C19"/>
    <w:multiLevelType w:val="hybridMultilevel"/>
    <w:tmpl w:val="FD74D03A"/>
    <w:lvl w:ilvl="0" w:tplc="D1264A00">
      <w:start w:val="1"/>
      <w:numFmt w:val="upperLetter"/>
      <w:pStyle w:val="4"/>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5">
    <w:nsid w:val="638B253F"/>
    <w:multiLevelType w:val="hybridMultilevel"/>
    <w:tmpl w:val="A4C6E03C"/>
    <w:lvl w:ilvl="0" w:tplc="E39A1878">
      <w:start w:val="1"/>
      <w:numFmt w:val="upperRoman"/>
      <w:pStyle w:val="12"/>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6">
    <w:nsid w:val="64F12C63"/>
    <w:multiLevelType w:val="hybridMultilevel"/>
    <w:tmpl w:val="D44E3972"/>
    <w:lvl w:ilvl="0" w:tplc="52424060">
      <w:start w:val="1"/>
      <w:numFmt w:val="chineseCountingThousand"/>
      <w:pStyle w:val="21"/>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7">
    <w:nsid w:val="67D9330E"/>
    <w:multiLevelType w:val="hybridMultilevel"/>
    <w:tmpl w:val="4CEA24F4"/>
    <w:lvl w:ilvl="0" w:tplc="1D9C6FF2">
      <w:start w:val="1"/>
      <w:numFmt w:val="decimal"/>
      <w:pStyle w:val="14"/>
      <w:lvlText w:val="%1."/>
      <w:lvlJc w:val="left"/>
      <w:pPr>
        <w:ind w:left="704" w:hanging="420"/>
      </w:pPr>
      <w:rPr>
        <w:rFonts w:hint="eastAsia"/>
        <w:sz w:val="56"/>
        <w:szCs w:val="56"/>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8">
    <w:nsid w:val="6AF34339"/>
    <w:multiLevelType w:val="hybridMultilevel"/>
    <w:tmpl w:val="1F705B92"/>
    <w:lvl w:ilvl="0" w:tplc="8216ECCC">
      <w:start w:val="1"/>
      <w:numFmt w:val="upperRoman"/>
      <w:pStyle w:val="24"/>
      <w:lvlText w:val="%1."/>
      <w:lvlJc w:val="left"/>
      <w:pPr>
        <w:ind w:left="704" w:hanging="420"/>
      </w:pPr>
      <w:rPr>
        <w:rFonts w:hint="eastAsia"/>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9">
    <w:nsid w:val="7C73237E"/>
    <w:multiLevelType w:val="hybridMultilevel"/>
    <w:tmpl w:val="278C93F4"/>
    <w:lvl w:ilvl="0" w:tplc="66FA0704">
      <w:start w:val="1"/>
      <w:numFmt w:val="chineseCountingThousand"/>
      <w:pStyle w:val="9"/>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num w:numId="1">
    <w:abstractNumId w:val="21"/>
  </w:num>
  <w:num w:numId="2">
    <w:abstractNumId w:val="4"/>
  </w:num>
  <w:num w:numId="3">
    <w:abstractNumId w:val="24"/>
  </w:num>
  <w:num w:numId="4">
    <w:abstractNumId w:val="22"/>
  </w:num>
  <w:num w:numId="5">
    <w:abstractNumId w:val="12"/>
  </w:num>
  <w:num w:numId="6">
    <w:abstractNumId w:val="23"/>
  </w:num>
  <w:num w:numId="7">
    <w:abstractNumId w:val="16"/>
  </w:num>
  <w:num w:numId="8">
    <w:abstractNumId w:val="29"/>
  </w:num>
  <w:num w:numId="9">
    <w:abstractNumId w:val="20"/>
  </w:num>
  <w:num w:numId="10">
    <w:abstractNumId w:val="1"/>
  </w:num>
  <w:num w:numId="11">
    <w:abstractNumId w:val="25"/>
  </w:num>
  <w:num w:numId="12">
    <w:abstractNumId w:val="3"/>
  </w:num>
  <w:num w:numId="13">
    <w:abstractNumId w:val="27"/>
  </w:num>
  <w:num w:numId="14">
    <w:abstractNumId w:val="7"/>
  </w:num>
  <w:num w:numId="15">
    <w:abstractNumId w:val="10"/>
  </w:num>
  <w:num w:numId="16">
    <w:abstractNumId w:val="0"/>
  </w:num>
  <w:num w:numId="17">
    <w:abstractNumId w:val="15"/>
  </w:num>
  <w:num w:numId="18">
    <w:abstractNumId w:val="6"/>
  </w:num>
  <w:num w:numId="19">
    <w:abstractNumId w:val="2"/>
  </w:num>
  <w:num w:numId="20">
    <w:abstractNumId w:val="26"/>
  </w:num>
  <w:num w:numId="21">
    <w:abstractNumId w:val="8"/>
  </w:num>
  <w:num w:numId="22">
    <w:abstractNumId w:val="9"/>
  </w:num>
  <w:num w:numId="23">
    <w:abstractNumId w:val="28"/>
  </w:num>
  <w:num w:numId="24">
    <w:abstractNumId w:val="14"/>
  </w:num>
  <w:num w:numId="25">
    <w:abstractNumId w:val="13"/>
  </w:num>
  <w:num w:numId="26">
    <w:abstractNumId w:val="11"/>
  </w:num>
  <w:num w:numId="27">
    <w:abstractNumId w:val="18"/>
  </w:num>
  <w:num w:numId="28">
    <w:abstractNumId w:val="19"/>
  </w:num>
  <w:num w:numId="29">
    <w:abstractNumId w:val="5"/>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0823"/>
    <w:rsid w:val="000E0823"/>
    <w:rsid w:val="003A0158"/>
    <w:rsid w:val="003A21F9"/>
    <w:rsid w:val="003B2DB7"/>
    <w:rsid w:val="003D7CFC"/>
    <w:rsid w:val="00467203"/>
    <w:rsid w:val="00490086"/>
    <w:rsid w:val="00503A8C"/>
    <w:rsid w:val="00606418"/>
    <w:rsid w:val="00686699"/>
    <w:rsid w:val="00693955"/>
    <w:rsid w:val="00AE6974"/>
    <w:rsid w:val="00B841D9"/>
    <w:rsid w:val="00CF40E9"/>
    <w:rsid w:val="00D06BB0"/>
    <w:rsid w:val="00D859A8"/>
    <w:rsid w:val="00E871DB"/>
    <w:rsid w:val="00EE4117"/>
    <w:rsid w:val="00F752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left="641"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0E9"/>
    <w:pPr>
      <w:widowControl w:val="0"/>
    </w:pPr>
  </w:style>
  <w:style w:type="paragraph" w:styleId="1">
    <w:name w:val="heading 1"/>
    <w:basedOn w:val="a"/>
    <w:next w:val="a"/>
    <w:link w:val="1Char"/>
    <w:uiPriority w:val="9"/>
    <w:qFormat/>
    <w:rsid w:val="00CF40E9"/>
    <w:pPr>
      <w:keepNext/>
      <w:keepLines/>
      <w:spacing w:before="340" w:after="330" w:line="578" w:lineRule="auto"/>
      <w:outlineLvl w:val="0"/>
    </w:pPr>
    <w:rPr>
      <w:b/>
      <w:bCs/>
      <w:kern w:val="44"/>
      <w:sz w:val="44"/>
      <w:szCs w:val="44"/>
    </w:rPr>
  </w:style>
  <w:style w:type="paragraph" w:styleId="2a">
    <w:name w:val="heading 2"/>
    <w:basedOn w:val="a"/>
    <w:next w:val="a"/>
    <w:link w:val="2Char"/>
    <w:uiPriority w:val="9"/>
    <w:unhideWhenUsed/>
    <w:qFormat/>
    <w:rsid w:val="00CF40E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2">
    <w:name w:val="heading 3"/>
    <w:basedOn w:val="a"/>
    <w:next w:val="a"/>
    <w:link w:val="3Char"/>
    <w:uiPriority w:val="9"/>
    <w:unhideWhenUsed/>
    <w:qFormat/>
    <w:rsid w:val="00CF40E9"/>
    <w:pPr>
      <w:keepNext/>
      <w:keepLines/>
      <w:spacing w:before="260" w:after="260" w:line="415" w:lineRule="auto"/>
      <w:ind w:left="284" w:firstLine="0"/>
      <w:outlineLvl w:val="2"/>
    </w:pPr>
    <w:rPr>
      <w:b/>
      <w:bCs/>
      <w:sz w:val="32"/>
      <w:szCs w:val="32"/>
    </w:rPr>
  </w:style>
  <w:style w:type="paragraph" w:styleId="40">
    <w:name w:val="heading 4"/>
    <w:basedOn w:val="a"/>
    <w:next w:val="a"/>
    <w:link w:val="4Char"/>
    <w:uiPriority w:val="9"/>
    <w:semiHidden/>
    <w:unhideWhenUsed/>
    <w:qFormat/>
    <w:rsid w:val="00CF40E9"/>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Char"/>
    <w:uiPriority w:val="9"/>
    <w:semiHidden/>
    <w:unhideWhenUsed/>
    <w:qFormat/>
    <w:rsid w:val="00CF40E9"/>
    <w:pPr>
      <w:keepNext/>
      <w:keepLines/>
      <w:spacing w:before="280" w:after="290" w:line="376" w:lineRule="auto"/>
      <w:outlineLvl w:val="4"/>
    </w:pPr>
    <w:rPr>
      <w:b/>
      <w:bCs/>
      <w:sz w:val="28"/>
      <w:szCs w:val="28"/>
    </w:rPr>
  </w:style>
  <w:style w:type="paragraph" w:styleId="60">
    <w:name w:val="heading 6"/>
    <w:basedOn w:val="a"/>
    <w:next w:val="a"/>
    <w:link w:val="6Char"/>
    <w:uiPriority w:val="9"/>
    <w:semiHidden/>
    <w:unhideWhenUsed/>
    <w:qFormat/>
    <w:rsid w:val="00CF40E9"/>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0">
    <w:name w:val="heading 7"/>
    <w:basedOn w:val="a"/>
    <w:next w:val="a"/>
    <w:link w:val="7Char"/>
    <w:uiPriority w:val="9"/>
    <w:semiHidden/>
    <w:unhideWhenUsed/>
    <w:qFormat/>
    <w:rsid w:val="00CF40E9"/>
    <w:pPr>
      <w:keepNext/>
      <w:keepLines/>
      <w:spacing w:before="240" w:after="64" w:line="320" w:lineRule="auto"/>
      <w:outlineLvl w:val="6"/>
    </w:pPr>
    <w:rPr>
      <w:b/>
      <w:bCs/>
      <w:sz w:val="24"/>
      <w:szCs w:val="24"/>
    </w:rPr>
  </w:style>
  <w:style w:type="paragraph" w:styleId="80">
    <w:name w:val="heading 8"/>
    <w:basedOn w:val="a"/>
    <w:next w:val="a"/>
    <w:link w:val="8Char"/>
    <w:uiPriority w:val="9"/>
    <w:semiHidden/>
    <w:unhideWhenUsed/>
    <w:qFormat/>
    <w:rsid w:val="00CF40E9"/>
    <w:pPr>
      <w:keepNext/>
      <w:keepLines/>
      <w:spacing w:before="240" w:after="64" w:line="320" w:lineRule="auto"/>
      <w:outlineLvl w:val="7"/>
    </w:pPr>
    <w:rPr>
      <w:rFonts w:asciiTheme="majorHAnsi" w:eastAsiaTheme="majorEastAsia" w:hAnsiTheme="majorHAnsi" w:cstheme="majorBidi"/>
      <w:sz w:val="24"/>
      <w:szCs w:val="24"/>
    </w:rPr>
  </w:style>
  <w:style w:type="paragraph" w:styleId="90">
    <w:name w:val="heading 9"/>
    <w:basedOn w:val="a"/>
    <w:next w:val="a"/>
    <w:link w:val="9Char"/>
    <w:uiPriority w:val="9"/>
    <w:semiHidden/>
    <w:unhideWhenUsed/>
    <w:qFormat/>
    <w:rsid w:val="00CF40E9"/>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F40E9"/>
    <w:rPr>
      <w:b/>
      <w:bCs/>
      <w:kern w:val="44"/>
      <w:sz w:val="44"/>
      <w:szCs w:val="44"/>
    </w:rPr>
  </w:style>
  <w:style w:type="character" w:customStyle="1" w:styleId="2Char">
    <w:name w:val="标题 2 Char"/>
    <w:basedOn w:val="a0"/>
    <w:link w:val="2a"/>
    <w:uiPriority w:val="9"/>
    <w:rsid w:val="00CF40E9"/>
    <w:rPr>
      <w:rFonts w:asciiTheme="majorHAnsi" w:eastAsiaTheme="majorEastAsia" w:hAnsiTheme="majorHAnsi" w:cstheme="majorBidi"/>
      <w:b/>
      <w:bCs/>
      <w:sz w:val="32"/>
      <w:szCs w:val="32"/>
    </w:rPr>
  </w:style>
  <w:style w:type="character" w:customStyle="1" w:styleId="3Char">
    <w:name w:val="标题 3 Char"/>
    <w:basedOn w:val="a0"/>
    <w:link w:val="32"/>
    <w:uiPriority w:val="9"/>
    <w:rsid w:val="00CF40E9"/>
    <w:rPr>
      <w:b/>
      <w:bCs/>
      <w:sz w:val="32"/>
      <w:szCs w:val="32"/>
    </w:rPr>
  </w:style>
  <w:style w:type="character" w:customStyle="1" w:styleId="4Char">
    <w:name w:val="标题 4 Char"/>
    <w:basedOn w:val="a0"/>
    <w:link w:val="40"/>
    <w:uiPriority w:val="9"/>
    <w:semiHidden/>
    <w:rsid w:val="00CF40E9"/>
    <w:rPr>
      <w:rFonts w:asciiTheme="majorHAnsi" w:eastAsiaTheme="majorEastAsia" w:hAnsiTheme="majorHAnsi" w:cstheme="majorBidi"/>
      <w:b/>
      <w:bCs/>
      <w:sz w:val="28"/>
      <w:szCs w:val="28"/>
    </w:rPr>
  </w:style>
  <w:style w:type="character" w:customStyle="1" w:styleId="5Char">
    <w:name w:val="标题 5 Char"/>
    <w:basedOn w:val="a0"/>
    <w:link w:val="50"/>
    <w:uiPriority w:val="9"/>
    <w:semiHidden/>
    <w:rsid w:val="00CF40E9"/>
    <w:rPr>
      <w:b/>
      <w:bCs/>
      <w:sz w:val="28"/>
      <w:szCs w:val="28"/>
    </w:rPr>
  </w:style>
  <w:style w:type="character" w:customStyle="1" w:styleId="6Char">
    <w:name w:val="标题 6 Char"/>
    <w:basedOn w:val="a0"/>
    <w:link w:val="60"/>
    <w:uiPriority w:val="9"/>
    <w:semiHidden/>
    <w:rsid w:val="00CF40E9"/>
    <w:rPr>
      <w:rFonts w:asciiTheme="majorHAnsi" w:eastAsiaTheme="majorEastAsia" w:hAnsiTheme="majorHAnsi" w:cstheme="majorBidi"/>
      <w:b/>
      <w:bCs/>
      <w:sz w:val="24"/>
      <w:szCs w:val="24"/>
    </w:rPr>
  </w:style>
  <w:style w:type="character" w:customStyle="1" w:styleId="7Char">
    <w:name w:val="标题 7 Char"/>
    <w:basedOn w:val="a0"/>
    <w:link w:val="70"/>
    <w:uiPriority w:val="9"/>
    <w:semiHidden/>
    <w:rsid w:val="00CF40E9"/>
    <w:rPr>
      <w:b/>
      <w:bCs/>
      <w:sz w:val="24"/>
      <w:szCs w:val="24"/>
    </w:rPr>
  </w:style>
  <w:style w:type="character" w:customStyle="1" w:styleId="8Char">
    <w:name w:val="标题 8 Char"/>
    <w:basedOn w:val="a0"/>
    <w:link w:val="80"/>
    <w:uiPriority w:val="9"/>
    <w:semiHidden/>
    <w:rsid w:val="00CF40E9"/>
    <w:rPr>
      <w:rFonts w:asciiTheme="majorHAnsi" w:eastAsiaTheme="majorEastAsia" w:hAnsiTheme="majorHAnsi" w:cstheme="majorBidi"/>
      <w:sz w:val="24"/>
      <w:szCs w:val="24"/>
    </w:rPr>
  </w:style>
  <w:style w:type="character" w:customStyle="1" w:styleId="9Char">
    <w:name w:val="标题 9 Char"/>
    <w:basedOn w:val="a0"/>
    <w:link w:val="90"/>
    <w:uiPriority w:val="9"/>
    <w:semiHidden/>
    <w:rsid w:val="00CF40E9"/>
    <w:rPr>
      <w:rFonts w:asciiTheme="majorHAnsi" w:eastAsiaTheme="majorEastAsia" w:hAnsiTheme="majorHAnsi" w:cstheme="majorBidi"/>
      <w:szCs w:val="21"/>
    </w:rPr>
  </w:style>
  <w:style w:type="paragraph" w:styleId="a3">
    <w:name w:val="caption"/>
    <w:basedOn w:val="a"/>
    <w:next w:val="a"/>
    <w:uiPriority w:val="35"/>
    <w:semiHidden/>
    <w:unhideWhenUsed/>
    <w:qFormat/>
    <w:rsid w:val="00CF40E9"/>
    <w:rPr>
      <w:rFonts w:asciiTheme="majorHAnsi" w:eastAsia="黑体" w:hAnsiTheme="majorHAnsi" w:cstheme="majorBidi"/>
      <w:sz w:val="20"/>
      <w:szCs w:val="20"/>
    </w:rPr>
  </w:style>
  <w:style w:type="paragraph" w:styleId="a4">
    <w:name w:val="Title"/>
    <w:basedOn w:val="a"/>
    <w:next w:val="a"/>
    <w:link w:val="Char"/>
    <w:uiPriority w:val="10"/>
    <w:qFormat/>
    <w:rsid w:val="00CF40E9"/>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4"/>
    <w:uiPriority w:val="10"/>
    <w:rsid w:val="00CF40E9"/>
    <w:rPr>
      <w:rFonts w:asciiTheme="majorHAnsi" w:eastAsia="宋体" w:hAnsiTheme="majorHAnsi" w:cstheme="majorBidi"/>
      <w:b/>
      <w:bCs/>
      <w:sz w:val="32"/>
      <w:szCs w:val="32"/>
    </w:rPr>
  </w:style>
  <w:style w:type="paragraph" w:styleId="a5">
    <w:name w:val="Subtitle"/>
    <w:basedOn w:val="a"/>
    <w:next w:val="a"/>
    <w:link w:val="Char0"/>
    <w:uiPriority w:val="11"/>
    <w:qFormat/>
    <w:rsid w:val="00CF40E9"/>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0">
    <w:name w:val="副标题 Char"/>
    <w:basedOn w:val="a0"/>
    <w:link w:val="a5"/>
    <w:uiPriority w:val="11"/>
    <w:rsid w:val="00CF40E9"/>
    <w:rPr>
      <w:rFonts w:asciiTheme="majorHAnsi" w:eastAsia="宋体" w:hAnsiTheme="majorHAnsi" w:cstheme="majorBidi"/>
      <w:b/>
      <w:bCs/>
      <w:kern w:val="28"/>
      <w:sz w:val="32"/>
      <w:szCs w:val="32"/>
    </w:rPr>
  </w:style>
  <w:style w:type="character" w:styleId="a6">
    <w:name w:val="Strong"/>
    <w:basedOn w:val="a0"/>
    <w:uiPriority w:val="22"/>
    <w:qFormat/>
    <w:rsid w:val="00CF40E9"/>
    <w:rPr>
      <w:b/>
      <w:bCs/>
    </w:rPr>
  </w:style>
  <w:style w:type="character" w:styleId="a7">
    <w:name w:val="Emphasis"/>
    <w:basedOn w:val="a0"/>
    <w:uiPriority w:val="20"/>
    <w:qFormat/>
    <w:rsid w:val="00CF40E9"/>
    <w:rPr>
      <w:i/>
      <w:iCs/>
    </w:rPr>
  </w:style>
  <w:style w:type="paragraph" w:styleId="a8">
    <w:name w:val="No Spacing"/>
    <w:link w:val="Char1"/>
    <w:uiPriority w:val="1"/>
    <w:qFormat/>
    <w:rsid w:val="00CF40E9"/>
    <w:pPr>
      <w:widowControl w:val="0"/>
    </w:pPr>
  </w:style>
  <w:style w:type="character" w:customStyle="1" w:styleId="Char1">
    <w:name w:val="无间隔 Char"/>
    <w:basedOn w:val="a0"/>
    <w:link w:val="a8"/>
    <w:uiPriority w:val="1"/>
    <w:rsid w:val="00CF40E9"/>
  </w:style>
  <w:style w:type="paragraph" w:styleId="a9">
    <w:name w:val="List Paragraph"/>
    <w:basedOn w:val="a"/>
    <w:uiPriority w:val="34"/>
    <w:qFormat/>
    <w:rsid w:val="00CF40E9"/>
    <w:pPr>
      <w:ind w:firstLineChars="200" w:firstLine="420"/>
    </w:pPr>
  </w:style>
  <w:style w:type="paragraph" w:styleId="aa">
    <w:name w:val="Quote"/>
    <w:basedOn w:val="a"/>
    <w:next w:val="a"/>
    <w:link w:val="Char2"/>
    <w:uiPriority w:val="29"/>
    <w:qFormat/>
    <w:rsid w:val="00CF40E9"/>
    <w:rPr>
      <w:i/>
      <w:iCs/>
      <w:color w:val="000000" w:themeColor="text1"/>
    </w:rPr>
  </w:style>
  <w:style w:type="character" w:customStyle="1" w:styleId="Char2">
    <w:name w:val="引用 Char"/>
    <w:basedOn w:val="a0"/>
    <w:link w:val="aa"/>
    <w:uiPriority w:val="29"/>
    <w:rsid w:val="00CF40E9"/>
    <w:rPr>
      <w:i/>
      <w:iCs/>
      <w:color w:val="000000" w:themeColor="text1"/>
    </w:rPr>
  </w:style>
  <w:style w:type="paragraph" w:styleId="ab">
    <w:name w:val="Intense Quote"/>
    <w:basedOn w:val="a"/>
    <w:next w:val="a"/>
    <w:link w:val="Char3"/>
    <w:uiPriority w:val="30"/>
    <w:qFormat/>
    <w:rsid w:val="00CF40E9"/>
    <w:pPr>
      <w:pBdr>
        <w:bottom w:val="single" w:sz="4" w:space="4" w:color="4F81BD" w:themeColor="accent1"/>
      </w:pBdr>
      <w:spacing w:before="200" w:after="280"/>
      <w:ind w:left="936" w:right="936"/>
    </w:pPr>
    <w:rPr>
      <w:b/>
      <w:bCs/>
      <w:i/>
      <w:iCs/>
      <w:color w:val="4F81BD" w:themeColor="accent1"/>
    </w:rPr>
  </w:style>
  <w:style w:type="character" w:customStyle="1" w:styleId="Char3">
    <w:name w:val="明显引用 Char"/>
    <w:basedOn w:val="a0"/>
    <w:link w:val="ab"/>
    <w:uiPriority w:val="30"/>
    <w:rsid w:val="00CF40E9"/>
    <w:rPr>
      <w:b/>
      <w:bCs/>
      <w:i/>
      <w:iCs/>
      <w:color w:val="4F81BD" w:themeColor="accent1"/>
    </w:rPr>
  </w:style>
  <w:style w:type="character" w:styleId="ac">
    <w:name w:val="Subtle Emphasis"/>
    <w:basedOn w:val="a0"/>
    <w:uiPriority w:val="19"/>
    <w:qFormat/>
    <w:rsid w:val="00CF40E9"/>
    <w:rPr>
      <w:i/>
      <w:iCs/>
      <w:color w:val="808080" w:themeColor="text1" w:themeTint="7F"/>
    </w:rPr>
  </w:style>
  <w:style w:type="character" w:styleId="ad">
    <w:name w:val="Intense Emphasis"/>
    <w:basedOn w:val="a0"/>
    <w:uiPriority w:val="21"/>
    <w:qFormat/>
    <w:rsid w:val="00CF40E9"/>
    <w:rPr>
      <w:b/>
      <w:bCs/>
      <w:i/>
      <w:iCs/>
      <w:color w:val="4F81BD" w:themeColor="accent1"/>
    </w:rPr>
  </w:style>
  <w:style w:type="character" w:styleId="ae">
    <w:name w:val="Subtle Reference"/>
    <w:basedOn w:val="a0"/>
    <w:uiPriority w:val="31"/>
    <w:qFormat/>
    <w:rsid w:val="00CF40E9"/>
    <w:rPr>
      <w:smallCaps/>
      <w:color w:val="C0504D" w:themeColor="accent2"/>
      <w:u w:val="single"/>
    </w:rPr>
  </w:style>
  <w:style w:type="character" w:styleId="af">
    <w:name w:val="Intense Reference"/>
    <w:basedOn w:val="a0"/>
    <w:uiPriority w:val="32"/>
    <w:qFormat/>
    <w:rsid w:val="00CF40E9"/>
    <w:rPr>
      <w:b/>
      <w:bCs/>
      <w:smallCaps/>
      <w:color w:val="C0504D" w:themeColor="accent2"/>
      <w:spacing w:val="5"/>
      <w:u w:val="single"/>
    </w:rPr>
  </w:style>
  <w:style w:type="character" w:styleId="af0">
    <w:name w:val="Book Title"/>
    <w:basedOn w:val="a0"/>
    <w:uiPriority w:val="33"/>
    <w:qFormat/>
    <w:rsid w:val="00CF40E9"/>
    <w:rPr>
      <w:b/>
      <w:bCs/>
      <w:smallCaps/>
      <w:spacing w:val="5"/>
    </w:rPr>
  </w:style>
  <w:style w:type="paragraph" w:styleId="TOC">
    <w:name w:val="TOC Heading"/>
    <w:basedOn w:val="1"/>
    <w:next w:val="a"/>
    <w:uiPriority w:val="39"/>
    <w:semiHidden/>
    <w:unhideWhenUsed/>
    <w:qFormat/>
    <w:rsid w:val="00CF40E9"/>
    <w:pPr>
      <w:outlineLvl w:val="9"/>
    </w:pPr>
  </w:style>
  <w:style w:type="paragraph" w:customStyle="1" w:styleId="1a">
    <w:name w:val="样式1"/>
    <w:basedOn w:val="a"/>
    <w:link w:val="1Char0"/>
    <w:qFormat/>
    <w:rsid w:val="00CF40E9"/>
  </w:style>
  <w:style w:type="character" w:customStyle="1" w:styleId="1Char0">
    <w:name w:val="样式1 Char"/>
    <w:basedOn w:val="a0"/>
    <w:link w:val="1a"/>
    <w:rsid w:val="00CF40E9"/>
  </w:style>
  <w:style w:type="paragraph" w:customStyle="1" w:styleId="2">
    <w:name w:val="样式2"/>
    <w:basedOn w:val="1"/>
    <w:link w:val="2Char0"/>
    <w:qFormat/>
    <w:rsid w:val="00CF40E9"/>
    <w:pPr>
      <w:numPr>
        <w:numId w:val="1"/>
      </w:numPr>
    </w:pPr>
  </w:style>
  <w:style w:type="character" w:customStyle="1" w:styleId="2Char0">
    <w:name w:val="样式2 Char"/>
    <w:basedOn w:val="1Char"/>
    <w:link w:val="2"/>
    <w:rsid w:val="00CF40E9"/>
    <w:rPr>
      <w:b/>
      <w:bCs/>
    </w:rPr>
  </w:style>
  <w:style w:type="paragraph" w:customStyle="1" w:styleId="3">
    <w:name w:val="样式3"/>
    <w:basedOn w:val="1"/>
    <w:link w:val="3Char0"/>
    <w:qFormat/>
    <w:rsid w:val="00CF40E9"/>
    <w:pPr>
      <w:numPr>
        <w:numId w:val="2"/>
      </w:numPr>
    </w:pPr>
  </w:style>
  <w:style w:type="character" w:customStyle="1" w:styleId="3Char0">
    <w:name w:val="样式3 Char"/>
    <w:basedOn w:val="1Char"/>
    <w:link w:val="3"/>
    <w:rsid w:val="00CF40E9"/>
    <w:rPr>
      <w:b/>
      <w:bCs/>
    </w:rPr>
  </w:style>
  <w:style w:type="paragraph" w:customStyle="1" w:styleId="4">
    <w:name w:val="样式4"/>
    <w:basedOn w:val="1"/>
    <w:link w:val="4Char0"/>
    <w:qFormat/>
    <w:rsid w:val="00CF40E9"/>
    <w:pPr>
      <w:numPr>
        <w:numId w:val="3"/>
      </w:numPr>
    </w:pPr>
  </w:style>
  <w:style w:type="character" w:customStyle="1" w:styleId="4Char0">
    <w:name w:val="样式4 Char"/>
    <w:basedOn w:val="1Char"/>
    <w:link w:val="4"/>
    <w:rsid w:val="00CF40E9"/>
    <w:rPr>
      <w:b/>
      <w:bCs/>
    </w:rPr>
  </w:style>
  <w:style w:type="paragraph" w:customStyle="1" w:styleId="5">
    <w:name w:val="样式5"/>
    <w:basedOn w:val="1"/>
    <w:link w:val="5Char0"/>
    <w:qFormat/>
    <w:rsid w:val="00CF40E9"/>
    <w:pPr>
      <w:numPr>
        <w:numId w:val="4"/>
      </w:numPr>
    </w:pPr>
  </w:style>
  <w:style w:type="character" w:customStyle="1" w:styleId="5Char0">
    <w:name w:val="样式5 Char"/>
    <w:basedOn w:val="1Char"/>
    <w:link w:val="5"/>
    <w:rsid w:val="00CF40E9"/>
    <w:rPr>
      <w:b/>
      <w:bCs/>
    </w:rPr>
  </w:style>
  <w:style w:type="paragraph" w:customStyle="1" w:styleId="6">
    <w:name w:val="样式6"/>
    <w:basedOn w:val="1"/>
    <w:link w:val="6Char0"/>
    <w:qFormat/>
    <w:rsid w:val="00CF40E9"/>
    <w:pPr>
      <w:numPr>
        <w:numId w:val="5"/>
      </w:numPr>
    </w:pPr>
  </w:style>
  <w:style w:type="character" w:customStyle="1" w:styleId="6Char0">
    <w:name w:val="样式6 Char"/>
    <w:basedOn w:val="1Char"/>
    <w:link w:val="6"/>
    <w:rsid w:val="00CF40E9"/>
    <w:rPr>
      <w:b/>
      <w:bCs/>
    </w:rPr>
  </w:style>
  <w:style w:type="paragraph" w:customStyle="1" w:styleId="7">
    <w:name w:val="样式7"/>
    <w:basedOn w:val="1"/>
    <w:link w:val="7Char0"/>
    <w:qFormat/>
    <w:rsid w:val="00CF40E9"/>
    <w:pPr>
      <w:numPr>
        <w:numId w:val="6"/>
      </w:numPr>
    </w:pPr>
  </w:style>
  <w:style w:type="character" w:customStyle="1" w:styleId="7Char0">
    <w:name w:val="样式7 Char"/>
    <w:basedOn w:val="1Char"/>
    <w:link w:val="7"/>
    <w:rsid w:val="00CF40E9"/>
    <w:rPr>
      <w:b/>
      <w:bCs/>
    </w:rPr>
  </w:style>
  <w:style w:type="paragraph" w:customStyle="1" w:styleId="8">
    <w:name w:val="样式8"/>
    <w:basedOn w:val="2a"/>
    <w:link w:val="8Char0"/>
    <w:qFormat/>
    <w:rsid w:val="00CF40E9"/>
    <w:pPr>
      <w:numPr>
        <w:numId w:val="7"/>
      </w:numPr>
    </w:pPr>
  </w:style>
  <w:style w:type="character" w:customStyle="1" w:styleId="8Char0">
    <w:name w:val="样式8 Char"/>
    <w:basedOn w:val="2Char"/>
    <w:link w:val="8"/>
    <w:rsid w:val="00CF40E9"/>
    <w:rPr>
      <w:b/>
      <w:bCs/>
    </w:rPr>
  </w:style>
  <w:style w:type="paragraph" w:customStyle="1" w:styleId="9">
    <w:name w:val="样式9"/>
    <w:basedOn w:val="2a"/>
    <w:link w:val="9Char0"/>
    <w:qFormat/>
    <w:rsid w:val="00CF40E9"/>
    <w:pPr>
      <w:numPr>
        <w:numId w:val="8"/>
      </w:numPr>
    </w:pPr>
  </w:style>
  <w:style w:type="character" w:customStyle="1" w:styleId="9Char0">
    <w:name w:val="样式9 Char"/>
    <w:basedOn w:val="2Char"/>
    <w:link w:val="9"/>
    <w:rsid w:val="00CF40E9"/>
    <w:rPr>
      <w:b/>
      <w:bCs/>
    </w:rPr>
  </w:style>
  <w:style w:type="paragraph" w:customStyle="1" w:styleId="10">
    <w:name w:val="样式10"/>
    <w:basedOn w:val="2a"/>
    <w:link w:val="10Char"/>
    <w:qFormat/>
    <w:rsid w:val="00CF40E9"/>
    <w:pPr>
      <w:numPr>
        <w:numId w:val="9"/>
      </w:numPr>
    </w:pPr>
  </w:style>
  <w:style w:type="character" w:customStyle="1" w:styleId="10Char">
    <w:name w:val="样式10 Char"/>
    <w:basedOn w:val="2Char"/>
    <w:link w:val="10"/>
    <w:rsid w:val="00CF40E9"/>
    <w:rPr>
      <w:b/>
      <w:bCs/>
    </w:rPr>
  </w:style>
  <w:style w:type="paragraph" w:customStyle="1" w:styleId="11">
    <w:name w:val="样式11"/>
    <w:basedOn w:val="2a"/>
    <w:link w:val="11Char"/>
    <w:qFormat/>
    <w:rsid w:val="00CF40E9"/>
    <w:pPr>
      <w:numPr>
        <w:numId w:val="10"/>
      </w:numPr>
    </w:pPr>
  </w:style>
  <w:style w:type="character" w:customStyle="1" w:styleId="11Char">
    <w:name w:val="样式11 Char"/>
    <w:basedOn w:val="2Char"/>
    <w:link w:val="11"/>
    <w:rsid w:val="00CF40E9"/>
    <w:rPr>
      <w:b/>
      <w:bCs/>
    </w:rPr>
  </w:style>
  <w:style w:type="paragraph" w:customStyle="1" w:styleId="12">
    <w:name w:val="样式12"/>
    <w:basedOn w:val="2a"/>
    <w:link w:val="12Char"/>
    <w:qFormat/>
    <w:rsid w:val="00CF40E9"/>
    <w:pPr>
      <w:numPr>
        <w:numId w:val="11"/>
      </w:numPr>
    </w:pPr>
  </w:style>
  <w:style w:type="character" w:customStyle="1" w:styleId="12Char">
    <w:name w:val="样式12 Char"/>
    <w:basedOn w:val="2Char"/>
    <w:link w:val="12"/>
    <w:rsid w:val="00CF40E9"/>
    <w:rPr>
      <w:b/>
      <w:bCs/>
    </w:rPr>
  </w:style>
  <w:style w:type="paragraph" w:customStyle="1" w:styleId="13">
    <w:name w:val="样式13"/>
    <w:basedOn w:val="2a"/>
    <w:link w:val="13Char"/>
    <w:qFormat/>
    <w:rsid w:val="00CF40E9"/>
    <w:pPr>
      <w:numPr>
        <w:numId w:val="12"/>
      </w:numPr>
    </w:pPr>
  </w:style>
  <w:style w:type="character" w:customStyle="1" w:styleId="13Char">
    <w:name w:val="样式13 Char"/>
    <w:basedOn w:val="2Char"/>
    <w:link w:val="13"/>
    <w:rsid w:val="00CF40E9"/>
    <w:rPr>
      <w:b/>
      <w:bCs/>
    </w:rPr>
  </w:style>
  <w:style w:type="paragraph" w:customStyle="1" w:styleId="14">
    <w:name w:val="样式14"/>
    <w:basedOn w:val="32"/>
    <w:link w:val="14Char"/>
    <w:qFormat/>
    <w:rsid w:val="00CF40E9"/>
    <w:pPr>
      <w:numPr>
        <w:numId w:val="13"/>
      </w:numPr>
    </w:pPr>
  </w:style>
  <w:style w:type="character" w:customStyle="1" w:styleId="14Char">
    <w:name w:val="样式14 Char"/>
    <w:basedOn w:val="3Char"/>
    <w:link w:val="14"/>
    <w:rsid w:val="00CF40E9"/>
    <w:rPr>
      <w:b/>
      <w:bCs/>
    </w:rPr>
  </w:style>
  <w:style w:type="paragraph" w:customStyle="1" w:styleId="15">
    <w:name w:val="样式15"/>
    <w:basedOn w:val="32"/>
    <w:link w:val="15Char"/>
    <w:qFormat/>
    <w:rsid w:val="00CF40E9"/>
    <w:pPr>
      <w:numPr>
        <w:numId w:val="14"/>
      </w:numPr>
    </w:pPr>
  </w:style>
  <w:style w:type="character" w:customStyle="1" w:styleId="15Char">
    <w:name w:val="样式15 Char"/>
    <w:basedOn w:val="3Char"/>
    <w:link w:val="15"/>
    <w:rsid w:val="00CF40E9"/>
    <w:rPr>
      <w:b/>
      <w:bCs/>
    </w:rPr>
  </w:style>
  <w:style w:type="paragraph" w:customStyle="1" w:styleId="16">
    <w:name w:val="样式16"/>
    <w:basedOn w:val="32"/>
    <w:link w:val="16Char"/>
    <w:qFormat/>
    <w:rsid w:val="00CF40E9"/>
    <w:pPr>
      <w:numPr>
        <w:numId w:val="15"/>
      </w:numPr>
    </w:pPr>
  </w:style>
  <w:style w:type="character" w:customStyle="1" w:styleId="16Char">
    <w:name w:val="样式16 Char"/>
    <w:basedOn w:val="3Char"/>
    <w:link w:val="16"/>
    <w:rsid w:val="00CF40E9"/>
    <w:rPr>
      <w:b/>
      <w:bCs/>
    </w:rPr>
  </w:style>
  <w:style w:type="paragraph" w:customStyle="1" w:styleId="17">
    <w:name w:val="样式17"/>
    <w:basedOn w:val="32"/>
    <w:link w:val="17Char"/>
    <w:qFormat/>
    <w:rsid w:val="00CF40E9"/>
    <w:pPr>
      <w:numPr>
        <w:numId w:val="16"/>
      </w:numPr>
    </w:pPr>
  </w:style>
  <w:style w:type="character" w:customStyle="1" w:styleId="17Char">
    <w:name w:val="样式17 Char"/>
    <w:basedOn w:val="3Char"/>
    <w:link w:val="17"/>
    <w:rsid w:val="00CF40E9"/>
    <w:rPr>
      <w:b/>
      <w:bCs/>
    </w:rPr>
  </w:style>
  <w:style w:type="paragraph" w:customStyle="1" w:styleId="18">
    <w:name w:val="样式18"/>
    <w:basedOn w:val="32"/>
    <w:link w:val="18Char"/>
    <w:qFormat/>
    <w:rsid w:val="00CF40E9"/>
    <w:pPr>
      <w:numPr>
        <w:numId w:val="17"/>
      </w:numPr>
    </w:pPr>
  </w:style>
  <w:style w:type="character" w:customStyle="1" w:styleId="18Char">
    <w:name w:val="样式18 Char"/>
    <w:basedOn w:val="3Char"/>
    <w:link w:val="18"/>
    <w:rsid w:val="00CF40E9"/>
    <w:rPr>
      <w:b/>
      <w:bCs/>
    </w:rPr>
  </w:style>
  <w:style w:type="paragraph" w:customStyle="1" w:styleId="19">
    <w:name w:val="样式19"/>
    <w:basedOn w:val="32"/>
    <w:link w:val="19Char"/>
    <w:qFormat/>
    <w:rsid w:val="00CF40E9"/>
    <w:pPr>
      <w:numPr>
        <w:numId w:val="18"/>
      </w:numPr>
    </w:pPr>
  </w:style>
  <w:style w:type="character" w:customStyle="1" w:styleId="19Char">
    <w:name w:val="样式19 Char"/>
    <w:basedOn w:val="3Char"/>
    <w:link w:val="19"/>
    <w:rsid w:val="00CF40E9"/>
    <w:rPr>
      <w:b/>
      <w:bCs/>
    </w:rPr>
  </w:style>
  <w:style w:type="paragraph" w:customStyle="1" w:styleId="20">
    <w:name w:val="样式20"/>
    <w:basedOn w:val="40"/>
    <w:link w:val="20Char"/>
    <w:qFormat/>
    <w:rsid w:val="00CF40E9"/>
    <w:pPr>
      <w:numPr>
        <w:numId w:val="19"/>
      </w:numPr>
    </w:pPr>
  </w:style>
  <w:style w:type="character" w:customStyle="1" w:styleId="20Char">
    <w:name w:val="样式20 Char"/>
    <w:basedOn w:val="4Char"/>
    <w:link w:val="20"/>
    <w:rsid w:val="00CF40E9"/>
    <w:rPr>
      <w:b/>
      <w:bCs/>
    </w:rPr>
  </w:style>
  <w:style w:type="paragraph" w:customStyle="1" w:styleId="21">
    <w:name w:val="样式21"/>
    <w:basedOn w:val="40"/>
    <w:link w:val="21Char"/>
    <w:qFormat/>
    <w:rsid w:val="00CF40E9"/>
    <w:pPr>
      <w:numPr>
        <w:numId w:val="20"/>
      </w:numPr>
    </w:pPr>
  </w:style>
  <w:style w:type="character" w:customStyle="1" w:styleId="21Char">
    <w:name w:val="样式21 Char"/>
    <w:basedOn w:val="4Char"/>
    <w:link w:val="21"/>
    <w:rsid w:val="00CF40E9"/>
    <w:rPr>
      <w:b/>
      <w:bCs/>
    </w:rPr>
  </w:style>
  <w:style w:type="paragraph" w:customStyle="1" w:styleId="22">
    <w:name w:val="样式22"/>
    <w:basedOn w:val="40"/>
    <w:link w:val="22Char"/>
    <w:qFormat/>
    <w:rsid w:val="00CF40E9"/>
    <w:pPr>
      <w:numPr>
        <w:numId w:val="21"/>
      </w:numPr>
    </w:pPr>
  </w:style>
  <w:style w:type="character" w:customStyle="1" w:styleId="22Char">
    <w:name w:val="样式22 Char"/>
    <w:basedOn w:val="4Char"/>
    <w:link w:val="22"/>
    <w:rsid w:val="00CF40E9"/>
    <w:rPr>
      <w:b/>
      <w:bCs/>
    </w:rPr>
  </w:style>
  <w:style w:type="paragraph" w:customStyle="1" w:styleId="23">
    <w:name w:val="样式23"/>
    <w:basedOn w:val="40"/>
    <w:link w:val="23Char"/>
    <w:qFormat/>
    <w:rsid w:val="00CF40E9"/>
    <w:pPr>
      <w:numPr>
        <w:numId w:val="22"/>
      </w:numPr>
    </w:pPr>
  </w:style>
  <w:style w:type="character" w:customStyle="1" w:styleId="23Char">
    <w:name w:val="样式23 Char"/>
    <w:basedOn w:val="4Char"/>
    <w:link w:val="23"/>
    <w:rsid w:val="00CF40E9"/>
    <w:rPr>
      <w:b/>
      <w:bCs/>
    </w:rPr>
  </w:style>
  <w:style w:type="paragraph" w:customStyle="1" w:styleId="24">
    <w:name w:val="样式24"/>
    <w:basedOn w:val="40"/>
    <w:link w:val="24Char"/>
    <w:qFormat/>
    <w:rsid w:val="00CF40E9"/>
    <w:pPr>
      <w:numPr>
        <w:numId w:val="23"/>
      </w:numPr>
    </w:pPr>
  </w:style>
  <w:style w:type="character" w:customStyle="1" w:styleId="24Char">
    <w:name w:val="样式24 Char"/>
    <w:basedOn w:val="4Char"/>
    <w:link w:val="24"/>
    <w:rsid w:val="00CF40E9"/>
    <w:rPr>
      <w:b/>
      <w:bCs/>
    </w:rPr>
  </w:style>
  <w:style w:type="paragraph" w:customStyle="1" w:styleId="25">
    <w:name w:val="样式25"/>
    <w:basedOn w:val="40"/>
    <w:link w:val="25Char"/>
    <w:qFormat/>
    <w:rsid w:val="00CF40E9"/>
    <w:pPr>
      <w:numPr>
        <w:numId w:val="24"/>
      </w:numPr>
    </w:pPr>
  </w:style>
  <w:style w:type="character" w:customStyle="1" w:styleId="25Char">
    <w:name w:val="样式25 Char"/>
    <w:basedOn w:val="4Char"/>
    <w:link w:val="25"/>
    <w:rsid w:val="00CF40E9"/>
    <w:rPr>
      <w:b/>
      <w:bCs/>
    </w:rPr>
  </w:style>
  <w:style w:type="paragraph" w:customStyle="1" w:styleId="26">
    <w:name w:val="样式26"/>
    <w:basedOn w:val="50"/>
    <w:link w:val="26Char"/>
    <w:qFormat/>
    <w:rsid w:val="00CF40E9"/>
    <w:pPr>
      <w:numPr>
        <w:numId w:val="25"/>
      </w:numPr>
    </w:pPr>
  </w:style>
  <w:style w:type="character" w:customStyle="1" w:styleId="26Char">
    <w:name w:val="样式26 Char"/>
    <w:basedOn w:val="5Char"/>
    <w:link w:val="26"/>
    <w:rsid w:val="00CF40E9"/>
    <w:rPr>
      <w:b/>
      <w:bCs/>
    </w:rPr>
  </w:style>
  <w:style w:type="paragraph" w:customStyle="1" w:styleId="27">
    <w:name w:val="样式27"/>
    <w:basedOn w:val="50"/>
    <w:link w:val="27Char"/>
    <w:qFormat/>
    <w:rsid w:val="00CF40E9"/>
    <w:pPr>
      <w:numPr>
        <w:numId w:val="26"/>
      </w:numPr>
    </w:pPr>
  </w:style>
  <w:style w:type="character" w:customStyle="1" w:styleId="27Char">
    <w:name w:val="样式27 Char"/>
    <w:basedOn w:val="5Char"/>
    <w:link w:val="27"/>
    <w:rsid w:val="00CF40E9"/>
    <w:rPr>
      <w:b/>
      <w:bCs/>
    </w:rPr>
  </w:style>
  <w:style w:type="paragraph" w:customStyle="1" w:styleId="28">
    <w:name w:val="样式28"/>
    <w:basedOn w:val="50"/>
    <w:link w:val="28Char"/>
    <w:qFormat/>
    <w:rsid w:val="00CF40E9"/>
    <w:pPr>
      <w:numPr>
        <w:numId w:val="27"/>
      </w:numPr>
    </w:pPr>
  </w:style>
  <w:style w:type="character" w:customStyle="1" w:styleId="28Char">
    <w:name w:val="样式28 Char"/>
    <w:basedOn w:val="5Char"/>
    <w:link w:val="28"/>
    <w:rsid w:val="00CF40E9"/>
    <w:rPr>
      <w:b/>
      <w:bCs/>
    </w:rPr>
  </w:style>
  <w:style w:type="paragraph" w:customStyle="1" w:styleId="29">
    <w:name w:val="样式29"/>
    <w:basedOn w:val="50"/>
    <w:link w:val="29Char"/>
    <w:qFormat/>
    <w:rsid w:val="00CF40E9"/>
    <w:pPr>
      <w:numPr>
        <w:numId w:val="28"/>
      </w:numPr>
    </w:pPr>
  </w:style>
  <w:style w:type="character" w:customStyle="1" w:styleId="29Char">
    <w:name w:val="样式29 Char"/>
    <w:basedOn w:val="5Char"/>
    <w:link w:val="29"/>
    <w:rsid w:val="00CF40E9"/>
    <w:rPr>
      <w:b/>
      <w:bCs/>
    </w:rPr>
  </w:style>
  <w:style w:type="paragraph" w:customStyle="1" w:styleId="30">
    <w:name w:val="样式30"/>
    <w:basedOn w:val="50"/>
    <w:link w:val="30Char"/>
    <w:qFormat/>
    <w:rsid w:val="00CF40E9"/>
    <w:pPr>
      <w:numPr>
        <w:numId w:val="29"/>
      </w:numPr>
    </w:pPr>
  </w:style>
  <w:style w:type="character" w:customStyle="1" w:styleId="30Char">
    <w:name w:val="样式30 Char"/>
    <w:basedOn w:val="5Char"/>
    <w:link w:val="30"/>
    <w:rsid w:val="00CF40E9"/>
    <w:rPr>
      <w:b/>
      <w:bCs/>
    </w:rPr>
  </w:style>
  <w:style w:type="paragraph" w:customStyle="1" w:styleId="31">
    <w:name w:val="样式31"/>
    <w:basedOn w:val="50"/>
    <w:link w:val="31Char"/>
    <w:qFormat/>
    <w:rsid w:val="00CF40E9"/>
    <w:pPr>
      <w:numPr>
        <w:numId w:val="30"/>
      </w:numPr>
    </w:pPr>
  </w:style>
  <w:style w:type="character" w:customStyle="1" w:styleId="31Char">
    <w:name w:val="样式31 Char"/>
    <w:basedOn w:val="5Char"/>
    <w:link w:val="31"/>
    <w:rsid w:val="00CF40E9"/>
    <w:rPr>
      <w:b/>
      <w:bCs/>
    </w:rPr>
  </w:style>
  <w:style w:type="paragraph" w:styleId="af1">
    <w:name w:val="header"/>
    <w:basedOn w:val="a"/>
    <w:link w:val="Char4"/>
    <w:uiPriority w:val="99"/>
    <w:semiHidden/>
    <w:unhideWhenUsed/>
    <w:rsid w:val="00490086"/>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f1"/>
    <w:uiPriority w:val="99"/>
    <w:semiHidden/>
    <w:rsid w:val="00490086"/>
    <w:rPr>
      <w:sz w:val="18"/>
      <w:szCs w:val="18"/>
    </w:rPr>
  </w:style>
  <w:style w:type="paragraph" w:styleId="af2">
    <w:name w:val="footer"/>
    <w:basedOn w:val="a"/>
    <w:link w:val="Char5"/>
    <w:uiPriority w:val="99"/>
    <w:semiHidden/>
    <w:unhideWhenUsed/>
    <w:rsid w:val="00490086"/>
    <w:pPr>
      <w:tabs>
        <w:tab w:val="center" w:pos="4153"/>
        <w:tab w:val="right" w:pos="8306"/>
      </w:tabs>
      <w:snapToGrid w:val="0"/>
      <w:jc w:val="left"/>
    </w:pPr>
    <w:rPr>
      <w:sz w:val="18"/>
      <w:szCs w:val="18"/>
    </w:rPr>
  </w:style>
  <w:style w:type="character" w:customStyle="1" w:styleId="Char5">
    <w:name w:val="页脚 Char"/>
    <w:basedOn w:val="a0"/>
    <w:link w:val="af2"/>
    <w:uiPriority w:val="99"/>
    <w:semiHidden/>
    <w:rsid w:val="0049008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13</Pages>
  <Words>981</Words>
  <Characters>5594</Characters>
  <Application>Microsoft Office Word</Application>
  <DocSecurity>0</DocSecurity>
  <Lines>46</Lines>
  <Paragraphs>13</Paragraphs>
  <ScaleCrop>false</ScaleCrop>
  <Company>China</Company>
  <LinksUpToDate>false</LinksUpToDate>
  <CharactersWithSpaces>6562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2023-03-26T00:50:00Z</dcterms:created>
  <dcterms:modified xsi:type="dcterms:W3CDTF">2023-04-11T07:11:00Z</dcterms:modified>
</cp:coreProperties>
</file>