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小标宋_GBK"/>
          <w:kern w:val="0"/>
          <w:sz w:val="24"/>
        </w:rPr>
      </w:pPr>
      <w:r>
        <w:rPr>
          <w:rFonts w:hint="eastAsia" w:eastAsia="方正小标宋_GBK"/>
          <w:kern w:val="0"/>
          <w:sz w:val="24"/>
        </w:rPr>
        <w:t>附表1：</w:t>
      </w:r>
    </w:p>
    <w:p>
      <w:pPr>
        <w:jc w:val="center"/>
        <w:rPr>
          <w:rFonts w:eastAsia="方正小标宋_GBK"/>
          <w:kern w:val="0"/>
          <w:sz w:val="36"/>
          <w:szCs w:val="36"/>
        </w:rPr>
      </w:pPr>
      <w:bookmarkStart w:id="0" w:name="OLE_LINK3"/>
      <w:bookmarkStart w:id="1" w:name="OLE_LINK4"/>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bookmarkEnd w:id="0"/>
    <w:bookmarkEnd w:id="1"/>
    <w:p>
      <w:pPr>
        <w:rPr>
          <w:rFonts w:eastAsia="仿宋_GB2312"/>
          <w:kern w:val="0"/>
          <w:sz w:val="24"/>
        </w:rPr>
      </w:pPr>
      <w:r>
        <w:rPr>
          <w:rFonts w:eastAsia="仿宋_GB2312"/>
          <w:kern w:val="0"/>
          <w:sz w:val="24"/>
        </w:rPr>
        <w:t>填报单位：</w:t>
      </w:r>
      <w:r>
        <w:rPr>
          <w:rFonts w:hint="eastAsia" w:eastAsia="仿宋_GB2312"/>
          <w:kern w:val="0"/>
          <w:sz w:val="24"/>
        </w:rPr>
        <w:t>祁东县农业技术服务中心  填报人： 全青松            电话：</w:t>
      </w:r>
      <w:r>
        <w:rPr>
          <w:rFonts w:eastAsia="仿宋_GB2312"/>
          <w:kern w:val="0"/>
          <w:sz w:val="24"/>
        </w:rPr>
        <w:tab/>
      </w:r>
    </w:p>
    <w:tbl>
      <w:tblPr>
        <w:tblStyle w:val="3"/>
        <w:tblW w:w="8522" w:type="dxa"/>
        <w:jc w:val="center"/>
        <w:tblInd w:w="0" w:type="dxa"/>
        <w:tblLayout w:type="fixed"/>
        <w:tblCellMar>
          <w:top w:w="0" w:type="dxa"/>
          <w:left w:w="108" w:type="dxa"/>
          <w:bottom w:w="0" w:type="dxa"/>
          <w:right w:w="108" w:type="dxa"/>
        </w:tblCellMar>
      </w:tblPr>
      <w:tblGrid>
        <w:gridCol w:w="681"/>
        <w:gridCol w:w="671"/>
        <w:gridCol w:w="758"/>
        <w:gridCol w:w="438"/>
        <w:gridCol w:w="3250"/>
        <w:gridCol w:w="2286"/>
        <w:gridCol w:w="438"/>
      </w:tblGrid>
      <w:tr>
        <w:tblPrEx>
          <w:tblLayout w:type="fixed"/>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（10分）</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w:t>
            </w:r>
          </w:p>
          <w:p>
            <w:pPr>
              <w:widowControl/>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（20分）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4</w:t>
            </w:r>
            <w:r>
              <w:rPr>
                <w:kern w:val="0"/>
                <w:sz w:val="24"/>
              </w:rPr>
              <w:t>　</w:t>
            </w:r>
          </w:p>
        </w:tc>
      </w:tr>
      <w:tr>
        <w:tblPrEx>
          <w:tblLayout w:type="fixed"/>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rPr>
              <w:t>4</w:t>
            </w:r>
          </w:p>
        </w:tc>
      </w:tr>
      <w:tr>
        <w:tblPrEx>
          <w:tblLayout w:type="fixed"/>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8</w:t>
            </w:r>
            <w:r>
              <w:rPr>
                <w:kern w:val="0"/>
                <w:sz w:val="24"/>
              </w:rPr>
              <w:t>　</w:t>
            </w:r>
          </w:p>
        </w:tc>
      </w:tr>
      <w:tr>
        <w:tblPrEx>
          <w:tblLayout w:type="fixed"/>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7</w:t>
            </w:r>
            <w:r>
              <w:rPr>
                <w:kern w:val="0"/>
                <w:sz w:val="24"/>
              </w:rPr>
              <w:t>　</w:t>
            </w:r>
          </w:p>
        </w:tc>
      </w:tr>
      <w:tr>
        <w:tblPrEx>
          <w:tblLayout w:type="fixed"/>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6</w:t>
            </w:r>
            <w:r>
              <w:rPr>
                <w:kern w:val="0"/>
                <w:sz w:val="24"/>
              </w:rPr>
              <w:t>　</w:t>
            </w:r>
          </w:p>
        </w:tc>
      </w:tr>
      <w:tr>
        <w:tblPrEx>
          <w:tblLayout w:type="fixed"/>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7</w:t>
            </w:r>
          </w:p>
        </w:tc>
      </w:tr>
      <w:tr>
        <w:tblPrEx>
          <w:tblLayout w:type="fixed"/>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rPr>
            </w:pPr>
            <w:r>
              <w:rPr>
                <w:rFonts w:hint="eastAsia" w:eastAsia="仿宋_GB2312"/>
                <w:kern w:val="0"/>
                <w:sz w:val="20"/>
                <w:szCs w:val="20"/>
              </w:rPr>
              <w:t>（60分）</w:t>
            </w:r>
          </w:p>
        </w:tc>
        <w:tc>
          <w:tcPr>
            <w:tcW w:w="671"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rPr>
            </w:pPr>
            <w:r>
              <w:rPr>
                <w:rFonts w:hint="eastAsia" w:eastAsia="仿宋_GB2312"/>
                <w:kern w:val="0"/>
                <w:sz w:val="20"/>
                <w:szCs w:val="20"/>
              </w:rPr>
              <w:t>（40分）</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kern w:val="0"/>
                <w:sz w:val="24"/>
              </w:rPr>
              <w:t>　</w:t>
            </w:r>
            <w:r>
              <w:rPr>
                <w:rFonts w:hint="eastAsia"/>
                <w:kern w:val="0"/>
                <w:sz w:val="24"/>
              </w:rPr>
              <w:t>5</w:t>
            </w:r>
          </w:p>
        </w:tc>
      </w:tr>
      <w:tr>
        <w:tblPrEx>
          <w:tblLayout w:type="fixed"/>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（30分）</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（8分）</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2021年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8</w:t>
            </w:r>
            <w:r>
              <w:rPr>
                <w:kern w:val="0"/>
                <w:sz w:val="24"/>
              </w:rPr>
              <w:t>　</w:t>
            </w:r>
          </w:p>
        </w:tc>
      </w:tr>
      <w:tr>
        <w:tblPrEx>
          <w:tblLayout w:type="fixed"/>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rPr>
            </w:pPr>
            <w:r>
              <w:rPr>
                <w:rFonts w:hint="eastAsia" w:eastAsia="仿宋_GB2312"/>
                <w:kern w:val="0"/>
                <w:sz w:val="20"/>
                <w:szCs w:val="20"/>
              </w:rPr>
              <w:t>（22分）</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9</w:t>
            </w:r>
            <w:r>
              <w:rPr>
                <w:kern w:val="0"/>
                <w:sz w:val="24"/>
              </w:rPr>
              <w:t>　</w:t>
            </w:r>
          </w:p>
        </w:tc>
      </w:tr>
      <w:tr>
        <w:tblPrEx>
          <w:tblLayout w:type="fixed"/>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6</w:t>
            </w:r>
          </w:p>
        </w:tc>
      </w:tr>
      <w:tr>
        <w:tblPrEx>
          <w:tblLayout w:type="fixed"/>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90%（含）以上计6分；</w:t>
            </w:r>
          </w:p>
          <w:p>
            <w:pPr>
              <w:widowControl/>
              <w:jc w:val="left"/>
              <w:rPr>
                <w:rFonts w:hint="eastAsia" w:eastAsia="仿宋_GB2312"/>
                <w:kern w:val="0"/>
                <w:sz w:val="20"/>
                <w:szCs w:val="20"/>
              </w:rPr>
            </w:pPr>
            <w:r>
              <w:rPr>
                <w:rFonts w:eastAsia="仿宋_GB2312"/>
                <w:kern w:val="0"/>
                <w:sz w:val="20"/>
                <w:szCs w:val="20"/>
              </w:rPr>
              <w:t>80%（含）-90%，计4分；</w:t>
            </w:r>
          </w:p>
          <w:p>
            <w:pPr>
              <w:widowControl/>
              <w:jc w:val="left"/>
              <w:rPr>
                <w:rFonts w:hint="eastAsia" w:eastAsia="仿宋_GB2312"/>
                <w:kern w:val="0"/>
                <w:sz w:val="20"/>
                <w:szCs w:val="20"/>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6</w:t>
            </w:r>
            <w:r>
              <w:rPr>
                <w:kern w:val="0"/>
                <w:sz w:val="24"/>
              </w:rPr>
              <w:t>　</w:t>
            </w:r>
          </w:p>
        </w:tc>
      </w:tr>
    </w:tbl>
    <w:p>
      <w:pPr>
        <w:jc w:val="left"/>
        <w:rPr>
          <w:rFonts w:eastAsia="黑体"/>
          <w:sz w:val="28"/>
          <w:szCs w:val="28"/>
        </w:rPr>
      </w:pPr>
      <w:r>
        <w:rPr>
          <w:rFonts w:eastAsia="黑体"/>
          <w:sz w:val="28"/>
          <w:szCs w:val="28"/>
        </w:rPr>
        <w:br w:type="page"/>
      </w:r>
      <w:r>
        <w:rPr>
          <w:rFonts w:hint="eastAsia" w:eastAsia="黑体"/>
          <w:sz w:val="24"/>
        </w:rPr>
        <w:t>附表2：</w:t>
      </w:r>
    </w:p>
    <w:p>
      <w:pPr>
        <w:spacing w:line="360" w:lineRule="auto"/>
        <w:jc w:val="center"/>
        <w:rPr>
          <w:rFonts w:eastAsia="方正小标宋_GBK"/>
          <w:kern w:val="0"/>
          <w:sz w:val="36"/>
          <w:szCs w:val="36"/>
        </w:rPr>
      </w:pPr>
      <w:bookmarkStart w:id="2" w:name="OLE_LINK11"/>
      <w:bookmarkStart w:id="3" w:name="OLE_LINK7"/>
      <w:bookmarkStart w:id="4" w:name="OLE_LINK8"/>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bookmarkEnd w:id="2"/>
    <w:bookmarkEnd w:id="3"/>
    <w:bookmarkEnd w:id="4"/>
    <w:p>
      <w:pPr>
        <w:spacing w:line="360" w:lineRule="auto"/>
        <w:jc w:val="left"/>
        <w:rPr>
          <w:rFonts w:eastAsia="仿宋_GB2312"/>
          <w:kern w:val="0"/>
          <w:sz w:val="24"/>
        </w:rPr>
      </w:pPr>
      <w:r>
        <w:rPr>
          <w:rFonts w:eastAsia="仿宋_GB2312"/>
          <w:kern w:val="0"/>
          <w:sz w:val="24"/>
        </w:rPr>
        <w:t>填报单位：</w:t>
      </w:r>
      <w:r>
        <w:rPr>
          <w:rFonts w:hint="eastAsia" w:eastAsia="仿宋_GB2312"/>
          <w:kern w:val="0"/>
          <w:sz w:val="24"/>
        </w:rPr>
        <w:t>祁东县农业技术服务中心   填报人：全青松            电话：</w:t>
      </w:r>
      <w:r>
        <w:rPr>
          <w:rFonts w:eastAsia="仿宋_GB2312"/>
          <w:kern w:val="0"/>
          <w:sz w:val="24"/>
        </w:rPr>
        <w:tab/>
      </w:r>
      <w:r>
        <w:rPr>
          <w:rFonts w:eastAsia="仿宋_GB2312"/>
          <w:kern w:val="0"/>
          <w:sz w:val="24"/>
        </w:rPr>
        <w:tab/>
      </w:r>
      <w:r>
        <w:rPr>
          <w:rFonts w:eastAsia="仿宋_GB2312"/>
          <w:kern w:val="0"/>
          <w:sz w:val="24"/>
        </w:rPr>
        <w:tab/>
      </w:r>
    </w:p>
    <w:tbl>
      <w:tblPr>
        <w:tblStyle w:val="3"/>
        <w:tblpPr w:leftFromText="180" w:rightFromText="180" w:vertAnchor="text" w:tblpXSpec="center" w:tblpY="1"/>
        <w:tblOverlap w:val="never"/>
        <w:tblW w:w="9464" w:type="dxa"/>
        <w:jc w:val="center"/>
        <w:tblInd w:w="0" w:type="dxa"/>
        <w:tblLayout w:type="fixed"/>
        <w:tblCellMar>
          <w:top w:w="0" w:type="dxa"/>
          <w:left w:w="108" w:type="dxa"/>
          <w:bottom w:w="0" w:type="dxa"/>
          <w:right w:w="108" w:type="dxa"/>
        </w:tblCellMar>
      </w:tblPr>
      <w:tblGrid>
        <w:gridCol w:w="3354"/>
        <w:gridCol w:w="1189"/>
        <w:gridCol w:w="849"/>
        <w:gridCol w:w="885"/>
        <w:gridCol w:w="1350"/>
        <w:gridCol w:w="974"/>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95</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87</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2020年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2.5</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2.5</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2.5</w:t>
            </w:r>
            <w:r>
              <w:rPr>
                <w:rFonts w:eastAsia="仿宋_GB2312"/>
                <w:kern w:val="0"/>
                <w:szCs w:val="21"/>
              </w:rPr>
              <w:t>　</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kern w:val="0"/>
                <w:szCs w:val="21"/>
              </w:rPr>
            </w:pPr>
            <w:r>
              <w:rPr>
                <w:rFonts w:hint="eastAsia" w:ascii="仿宋_GB2312" w:eastAsia="仿宋_GB2312"/>
                <w:kern w:val="0"/>
                <w:szCs w:val="21"/>
              </w:rPr>
              <w:t>一，新型职业农民培训和基层推广体系建设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47.81</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二，基层农技推广体系和建设资金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63.96</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ascii="仿宋_GB2312" w:eastAsia="仿宋_GB2312"/>
                <w:kern w:val="0"/>
                <w:szCs w:val="21"/>
              </w:rPr>
              <w:t>一，农机购置补贴资金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788.94</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724.32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05" w:firstLineChars="50"/>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rPr>
                <w:rFonts w:hint="eastAsia" w:eastAsia="仿宋_GB2312"/>
                <w:kern w:val="0"/>
                <w:szCs w:val="21"/>
              </w:rPr>
            </w:pPr>
            <w:r>
              <w:rPr>
                <w:rFonts w:hint="eastAsia" w:eastAsia="仿宋_GB2312"/>
                <w:kern w:val="0"/>
                <w:szCs w:val="21"/>
              </w:rPr>
              <w:t>农机安全经费</w:t>
            </w:r>
          </w:p>
          <w:p>
            <w:pPr>
              <w:widowControl/>
              <w:numPr>
                <w:ilvl w:val="0"/>
                <w:numId w:val="1"/>
              </w:numPr>
              <w:rPr>
                <w:rFonts w:eastAsia="仿宋_GB2312"/>
                <w:kern w:val="0"/>
                <w:szCs w:val="21"/>
              </w:rPr>
            </w:pPr>
            <w:r>
              <w:rPr>
                <w:rFonts w:hint="eastAsia" w:eastAsia="仿宋_GB2312"/>
                <w:kern w:val="0"/>
                <w:szCs w:val="21"/>
              </w:rPr>
              <w:t>农机购置补贴工作经费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36</w:t>
            </w:r>
          </w:p>
          <w:p>
            <w:pPr>
              <w:widowControl/>
              <w:jc w:val="center"/>
              <w:rPr>
                <w:rFonts w:eastAsia="仿宋_GB2312"/>
                <w:kern w:val="0"/>
                <w:szCs w:val="21"/>
              </w:rPr>
            </w:pPr>
            <w:r>
              <w:rPr>
                <w:rFonts w:hint="eastAsia" w:eastAsia="仿宋_GB2312"/>
                <w:kern w:val="0"/>
                <w:szCs w:val="21"/>
              </w:rPr>
              <w:t>6</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36</w:t>
            </w:r>
          </w:p>
          <w:p>
            <w:pPr>
              <w:widowControl/>
              <w:jc w:val="center"/>
              <w:rPr>
                <w:rFonts w:eastAsia="仿宋_GB2312"/>
                <w:kern w:val="0"/>
                <w:szCs w:val="21"/>
              </w:rPr>
            </w:pPr>
            <w:r>
              <w:rPr>
                <w:rFonts w:hint="eastAsia" w:eastAsia="仿宋_GB2312"/>
                <w:kern w:val="0"/>
                <w:szCs w:val="21"/>
              </w:rPr>
              <w:t>6</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rPr>
            </w:pPr>
            <w:r>
              <w:rPr>
                <w:rFonts w:hint="eastAsia" w:eastAsia="仿宋_GB2312"/>
                <w:kern w:val="0"/>
                <w:szCs w:val="21"/>
              </w:rPr>
              <w:t>36</w:t>
            </w:r>
          </w:p>
          <w:p>
            <w:pPr>
              <w:widowControl/>
              <w:jc w:val="center"/>
              <w:rPr>
                <w:rFonts w:eastAsia="仿宋_GB2312"/>
                <w:kern w:val="0"/>
                <w:szCs w:val="21"/>
              </w:rPr>
            </w:pPr>
            <w:r>
              <w:rPr>
                <w:rFonts w:hint="eastAsia" w:eastAsia="仿宋_GB2312"/>
                <w:kern w:val="0"/>
                <w:szCs w:val="21"/>
              </w:rPr>
              <w:t>6</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188.11</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30.42</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72.69</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eastAsia="仿宋_GB2312"/>
                <w:kern w:val="0"/>
                <w:szCs w:val="21"/>
              </w:rPr>
            </w:pPr>
            <w:r>
              <w:rPr>
                <w:rFonts w:hint="eastAsia" w:eastAsia="仿宋_GB2312"/>
                <w:kern w:val="0"/>
                <w:szCs w:val="21"/>
              </w:rPr>
              <w:t>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110.70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21.3</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59.64</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13.32</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7.38</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8.9</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19.23</w:t>
            </w:r>
            <w:r>
              <w:rPr>
                <w:rFonts w:eastAsia="仿宋_GB2312"/>
                <w:kern w:val="0"/>
                <w:szCs w:val="21"/>
              </w:rPr>
              <w:t>　</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786.3</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721.27</w:t>
            </w:r>
            <w:r>
              <w:rPr>
                <w:rFonts w:eastAsia="仿宋_GB2312"/>
                <w:kern w:val="0"/>
                <w:szCs w:val="21"/>
              </w:rPr>
              <w:t>　</w:t>
            </w:r>
          </w:p>
        </w:tc>
      </w:tr>
      <w:tr>
        <w:tblPrEx>
          <w:tblLayout w:type="fixed"/>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rPr>
              <w:t>2021年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rPr>
            </w:pPr>
            <w:r>
              <w:rPr>
                <w:rFonts w:eastAsia="仿宋_GB2312"/>
                <w:kern w:val="0"/>
                <w:szCs w:val="21"/>
              </w:rPr>
              <w:t>批复规模</w:t>
            </w:r>
          </w:p>
          <w:p>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投资概算控制率</w:t>
            </w:r>
          </w:p>
        </w:tc>
      </w:tr>
      <w:tr>
        <w:tblPrEx>
          <w:tblLayout w:type="fixed"/>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r>
        <w:rPr>
          <w:rFonts w:eastAsia="仿宋_GB2312"/>
          <w:kern w:val="0"/>
          <w:sz w:val="18"/>
          <w:szCs w:val="18"/>
        </w:rPr>
        <w:br w:type="page"/>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403DD"/>
    <w:multiLevelType w:val="multilevel"/>
    <w:tmpl w:val="624403DD"/>
    <w:lvl w:ilvl="0" w:tentative="0">
      <w:start w:val="1"/>
      <w:numFmt w:val="japaneseCounting"/>
      <w:lvlText w:val="%1，"/>
      <w:lvlJc w:val="left"/>
      <w:pPr>
        <w:ind w:left="360" w:hanging="360"/>
      </w:pPr>
      <w:rPr>
        <w:rFonts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7EC3"/>
    <w:rsid w:val="4D23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2022-06-17T02:12:00Z</dcterms:created>
  <dc:creator>Administrator</dc:creator>
  <cp:lastModifiedBy>Administrator</cp:lastModifiedBy>
  <dcterms:modified xsi:type="dcterms:W3CDTF">2022-06-17T02:13:18Z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