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60"/>
        </w:tabs>
        <w:jc w:val="center"/>
        <w:rPr>
          <w:rFonts w:hint="eastAsia" w:ascii="宋体" w:hAnsi="宋体" w:eastAsia="宋体" w:cs="宋体"/>
          <w:b/>
          <w:bCs/>
          <w:sz w:val="56"/>
          <w:szCs w:val="56"/>
          <w:u w:val="none"/>
        </w:rPr>
      </w:pPr>
      <w:r>
        <w:rPr>
          <w:rFonts w:hint="eastAsia" w:ascii="宋体" w:hAnsi="宋体" w:cs="宋体"/>
          <w:b/>
          <w:bCs/>
          <w:sz w:val="56"/>
          <w:szCs w:val="56"/>
          <w:u w:val="none"/>
          <w:lang w:val="en-US" w:eastAsia="zh-CN"/>
        </w:rPr>
        <w:t xml:space="preserve"> </w:t>
      </w:r>
      <w:r>
        <w:rPr>
          <w:rFonts w:hint="eastAsia" w:ascii="宋体" w:hAnsi="宋体" w:eastAsia="宋体" w:cs="宋体"/>
          <w:b/>
          <w:bCs/>
          <w:sz w:val="56"/>
          <w:szCs w:val="56"/>
          <w:u w:val="none"/>
        </w:rPr>
        <w:t>建设项目环境影响报告表</w:t>
      </w:r>
    </w:p>
    <w:p>
      <w:pPr>
        <w:tabs>
          <w:tab w:val="left" w:pos="6660"/>
        </w:tabs>
        <w:jc w:val="center"/>
        <w:rPr>
          <w:rFonts w:hint="eastAsia" w:ascii="宋体" w:hAnsi="宋体" w:eastAsia="宋体" w:cs="宋体"/>
          <w:b/>
          <w:bCs/>
          <w:sz w:val="72"/>
          <w:szCs w:val="72"/>
          <w:u w:val="none"/>
        </w:rPr>
      </w:pPr>
    </w:p>
    <w:p>
      <w:pPr>
        <w:pStyle w:val="29"/>
        <w:rPr>
          <w:rFonts w:hint="eastAsia"/>
          <w:u w:val="none"/>
        </w:rPr>
      </w:pPr>
    </w:p>
    <w:p>
      <w:pPr>
        <w:tabs>
          <w:tab w:val="left" w:pos="6660"/>
        </w:tabs>
        <w:jc w:val="center"/>
        <w:rPr>
          <w:rFonts w:hint="eastAsia" w:ascii="宋体" w:hAnsi="宋体" w:eastAsia="宋体" w:cs="宋体"/>
          <w:b/>
          <w:bCs/>
          <w:sz w:val="72"/>
          <w:szCs w:val="72"/>
          <w:u w:val="none"/>
        </w:rPr>
      </w:pPr>
    </w:p>
    <w:p>
      <w:pPr>
        <w:tabs>
          <w:tab w:val="left" w:pos="6660"/>
        </w:tabs>
        <w:jc w:val="center"/>
        <w:rPr>
          <w:rFonts w:hint="eastAsia" w:ascii="宋体" w:hAnsi="宋体" w:eastAsia="宋体" w:cs="宋体"/>
          <w:b/>
          <w:bCs/>
          <w:sz w:val="72"/>
          <w:szCs w:val="72"/>
          <w:u w:val="none"/>
        </w:rPr>
      </w:pPr>
    </w:p>
    <w:p>
      <w:pPr>
        <w:ind w:left="10869" w:leftChars="400" w:hanging="10029" w:hangingChars="3329"/>
        <w:rPr>
          <w:rFonts w:hint="eastAsia" w:ascii="宋体" w:hAnsi="宋体" w:eastAsia="宋体" w:cs="宋体"/>
          <w:b/>
          <w:sz w:val="32"/>
          <w:szCs w:val="32"/>
          <w:u w:val="thick"/>
        </w:rPr>
      </w:pPr>
      <w:r>
        <w:rPr>
          <w:rFonts w:hint="eastAsia" w:ascii="宋体" w:hAnsi="宋体" w:eastAsia="宋体" w:cs="宋体"/>
          <w:b/>
          <w:bCs/>
          <w:spacing w:val="-10"/>
          <w:sz w:val="32"/>
          <w:szCs w:val="32"/>
          <w:u w:val="none"/>
        </w:rPr>
        <w:t>项</w:t>
      </w:r>
      <w:r>
        <w:rPr>
          <w:rFonts w:hint="eastAsia" w:ascii="宋体" w:hAnsi="宋体" w:eastAsia="宋体" w:cs="宋体"/>
          <w:b/>
          <w:bCs/>
          <w:spacing w:val="-10"/>
          <w:sz w:val="32"/>
          <w:szCs w:val="32"/>
          <w:u w:val="none"/>
          <w:lang w:val="en-US" w:eastAsia="zh-CN"/>
        </w:rPr>
        <w:t xml:space="preserve"> </w:t>
      </w:r>
      <w:r>
        <w:rPr>
          <w:rFonts w:hint="eastAsia" w:ascii="宋体" w:hAnsi="宋体" w:eastAsia="宋体" w:cs="宋体"/>
          <w:b/>
          <w:bCs/>
          <w:spacing w:val="-10"/>
          <w:sz w:val="32"/>
          <w:szCs w:val="32"/>
          <w:u w:val="none"/>
        </w:rPr>
        <w:t>目</w:t>
      </w:r>
      <w:r>
        <w:rPr>
          <w:rFonts w:hint="eastAsia" w:ascii="宋体" w:hAnsi="宋体" w:eastAsia="宋体" w:cs="宋体"/>
          <w:b/>
          <w:bCs/>
          <w:spacing w:val="-10"/>
          <w:sz w:val="32"/>
          <w:szCs w:val="32"/>
          <w:u w:val="none"/>
          <w:lang w:val="en-US" w:eastAsia="zh-CN"/>
        </w:rPr>
        <w:t xml:space="preserve"> </w:t>
      </w:r>
      <w:r>
        <w:rPr>
          <w:rFonts w:hint="eastAsia" w:ascii="宋体" w:hAnsi="宋体" w:eastAsia="宋体" w:cs="宋体"/>
          <w:b/>
          <w:bCs/>
          <w:spacing w:val="-10"/>
          <w:sz w:val="32"/>
          <w:szCs w:val="32"/>
          <w:u w:val="none"/>
        </w:rPr>
        <w:t>名</w:t>
      </w:r>
      <w:r>
        <w:rPr>
          <w:rFonts w:hint="eastAsia" w:ascii="宋体" w:hAnsi="宋体" w:eastAsia="宋体" w:cs="宋体"/>
          <w:b/>
          <w:bCs/>
          <w:spacing w:val="-10"/>
          <w:sz w:val="32"/>
          <w:szCs w:val="32"/>
          <w:u w:val="none"/>
          <w:lang w:val="en-US" w:eastAsia="zh-CN"/>
        </w:rPr>
        <w:t xml:space="preserve"> </w:t>
      </w:r>
      <w:r>
        <w:rPr>
          <w:rFonts w:hint="eastAsia" w:ascii="宋体" w:hAnsi="宋体" w:eastAsia="宋体" w:cs="宋体"/>
          <w:b/>
          <w:bCs/>
          <w:spacing w:val="-10"/>
          <w:sz w:val="32"/>
          <w:szCs w:val="32"/>
          <w:u w:val="none"/>
        </w:rPr>
        <w:t>称</w:t>
      </w:r>
      <w:r>
        <w:rPr>
          <w:rFonts w:hint="eastAsia" w:ascii="宋体" w:hAnsi="宋体" w:eastAsia="宋体" w:cs="宋体"/>
          <w:spacing w:val="-10"/>
          <w:sz w:val="32"/>
          <w:szCs w:val="32"/>
          <w:u w:val="none"/>
        </w:rPr>
        <w:t>：</w:t>
      </w:r>
      <w:r>
        <w:rPr>
          <w:rFonts w:hint="eastAsia" w:ascii="宋体" w:hAnsi="宋体" w:eastAsia="宋体" w:cs="宋体"/>
          <w:b/>
          <w:sz w:val="32"/>
          <w:szCs w:val="32"/>
          <w:u w:val="thick"/>
          <w:lang w:val="en-US" w:eastAsia="zh-CN"/>
        </w:rPr>
        <w:t xml:space="preserve"> </w:t>
      </w:r>
      <w:r>
        <w:rPr>
          <w:rFonts w:hint="eastAsia" w:ascii="宋体" w:hAnsi="宋体" w:eastAsia="宋体" w:cs="宋体"/>
          <w:b/>
          <w:sz w:val="32"/>
          <w:szCs w:val="32"/>
          <w:u w:val="thick"/>
          <w:lang w:eastAsia="zh-CN"/>
        </w:rPr>
        <w:t>湖南</w:t>
      </w:r>
      <w:r>
        <w:rPr>
          <w:rFonts w:hint="eastAsia" w:ascii="宋体" w:hAnsi="宋体" w:eastAsia="宋体" w:cs="宋体"/>
          <w:b/>
          <w:sz w:val="32"/>
          <w:szCs w:val="32"/>
          <w:u w:val="thick"/>
          <w:lang w:val="en-US" w:eastAsia="zh-CN"/>
        </w:rPr>
        <w:t>川岳</w:t>
      </w:r>
      <w:r>
        <w:rPr>
          <w:rFonts w:hint="eastAsia" w:ascii="宋体" w:hAnsi="宋体" w:eastAsia="宋体" w:cs="宋体"/>
          <w:b/>
          <w:sz w:val="32"/>
          <w:szCs w:val="32"/>
          <w:u w:val="thick"/>
          <w:lang w:eastAsia="zh-CN"/>
        </w:rPr>
        <w:t>环境科技有限公司</w:t>
      </w:r>
      <w:r>
        <w:rPr>
          <w:rFonts w:hint="eastAsia" w:ascii="宋体" w:hAnsi="宋体" w:eastAsia="宋体" w:cs="宋体"/>
          <w:b/>
          <w:sz w:val="32"/>
          <w:szCs w:val="32"/>
          <w:u w:val="thick"/>
        </w:rPr>
        <w:t>危险废物收集、</w:t>
      </w:r>
    </w:p>
    <w:p>
      <w:pPr>
        <w:ind w:firstLine="2891" w:firstLineChars="900"/>
        <w:rPr>
          <w:rFonts w:hint="eastAsia" w:ascii="宋体" w:hAnsi="宋体" w:eastAsia="宋体" w:cs="宋体"/>
          <w:b/>
          <w:sz w:val="32"/>
          <w:szCs w:val="32"/>
          <w:u w:val="thick"/>
          <w:lang w:val="en-US" w:eastAsia="zh-CN"/>
        </w:rPr>
      </w:pPr>
      <w:r>
        <w:rPr>
          <w:rFonts w:hint="eastAsia" w:ascii="宋体" w:hAnsi="宋体" w:eastAsia="宋体" w:cs="宋体"/>
          <w:b/>
          <w:sz w:val="32"/>
          <w:szCs w:val="32"/>
          <w:u w:val="thick"/>
          <w:lang w:val="en-US" w:eastAsia="zh-CN"/>
        </w:rPr>
        <w:t xml:space="preserve"> </w:t>
      </w:r>
      <w:r>
        <w:rPr>
          <w:rFonts w:hint="eastAsia" w:ascii="宋体" w:hAnsi="宋体" w:eastAsia="宋体" w:cs="宋体"/>
          <w:b/>
          <w:sz w:val="32"/>
          <w:szCs w:val="32"/>
          <w:u w:val="thick"/>
        </w:rPr>
        <w:t>贮存</w:t>
      </w:r>
      <w:r>
        <w:rPr>
          <w:rFonts w:hint="eastAsia" w:ascii="宋体" w:hAnsi="宋体" w:eastAsia="宋体" w:cs="宋体"/>
          <w:b/>
          <w:sz w:val="32"/>
          <w:szCs w:val="32"/>
          <w:u w:val="thick"/>
          <w:lang w:val="en-US" w:eastAsia="zh-CN"/>
        </w:rPr>
        <w:t>及</w:t>
      </w:r>
      <w:r>
        <w:rPr>
          <w:rFonts w:hint="eastAsia" w:ascii="宋体" w:hAnsi="宋体" w:eastAsia="宋体" w:cs="宋体"/>
          <w:b/>
          <w:sz w:val="32"/>
          <w:szCs w:val="32"/>
          <w:u w:val="thick"/>
        </w:rPr>
        <w:t>转运项目</w:t>
      </w:r>
      <w:r>
        <w:rPr>
          <w:rFonts w:hint="eastAsia" w:ascii="宋体" w:hAnsi="宋体" w:eastAsia="宋体" w:cs="宋体"/>
          <w:b/>
          <w:sz w:val="32"/>
          <w:szCs w:val="32"/>
          <w:u w:val="thick"/>
          <w:lang w:val="en-US" w:eastAsia="zh-CN"/>
        </w:rPr>
        <w:t xml:space="preserve">    </w:t>
      </w:r>
      <w:r>
        <w:rPr>
          <w:rFonts w:hint="eastAsia" w:ascii="宋体" w:hAnsi="宋体" w:cs="宋体"/>
          <w:b/>
          <w:sz w:val="32"/>
          <w:szCs w:val="32"/>
          <w:u w:val="thick"/>
          <w:lang w:val="en-US" w:eastAsia="zh-CN"/>
        </w:rPr>
        <w:t xml:space="preserve">                </w:t>
      </w:r>
      <w:r>
        <w:rPr>
          <w:rFonts w:hint="eastAsia" w:ascii="宋体" w:hAnsi="宋体" w:eastAsia="宋体" w:cs="宋体"/>
          <w:b/>
          <w:sz w:val="32"/>
          <w:szCs w:val="32"/>
          <w:u w:val="thick"/>
          <w:lang w:val="en-US" w:eastAsia="zh-CN"/>
        </w:rPr>
        <w:t xml:space="preserve">    </w:t>
      </w:r>
    </w:p>
    <w:p>
      <w:pPr>
        <w:ind w:left="10869" w:leftChars="400" w:hanging="10029" w:hangingChars="3329"/>
        <w:rPr>
          <w:rFonts w:hint="eastAsia" w:ascii="宋体" w:hAnsi="宋体" w:eastAsia="宋体" w:cs="宋体"/>
          <w:sz w:val="32"/>
          <w:szCs w:val="32"/>
          <w:u w:val="none"/>
        </w:rPr>
      </w:pPr>
      <w:r>
        <w:rPr>
          <w:rFonts w:hint="eastAsia" w:ascii="宋体" w:hAnsi="宋体" w:eastAsia="宋体" w:cs="宋体"/>
          <w:b/>
          <w:bCs/>
          <w:spacing w:val="-10"/>
          <w:sz w:val="32"/>
          <w:szCs w:val="32"/>
          <w:u w:val="none"/>
        </w:rPr>
        <w:t>建设单位</w:t>
      </w:r>
      <w:r>
        <w:rPr>
          <w:rFonts w:hint="eastAsia" w:ascii="宋体" w:hAnsi="宋体" w:eastAsia="宋体" w:cs="宋体"/>
          <w:b/>
          <w:bCs/>
          <w:spacing w:val="-10"/>
          <w:sz w:val="32"/>
          <w:szCs w:val="32"/>
          <w:u w:val="none"/>
          <w:lang w:eastAsia="zh-CN"/>
        </w:rPr>
        <w:t>（</w:t>
      </w:r>
      <w:r>
        <w:rPr>
          <w:rFonts w:hint="eastAsia" w:ascii="宋体" w:hAnsi="宋体" w:eastAsia="宋体" w:cs="宋体"/>
          <w:b/>
          <w:bCs/>
          <w:spacing w:val="-10"/>
          <w:sz w:val="32"/>
          <w:szCs w:val="32"/>
          <w:u w:val="none"/>
          <w:lang w:val="en-US" w:eastAsia="zh-CN"/>
        </w:rPr>
        <w:t>盖章</w:t>
      </w:r>
      <w:r>
        <w:rPr>
          <w:rFonts w:hint="eastAsia" w:ascii="宋体" w:hAnsi="宋体" w:eastAsia="宋体" w:cs="宋体"/>
          <w:b/>
          <w:bCs/>
          <w:spacing w:val="-10"/>
          <w:sz w:val="32"/>
          <w:szCs w:val="32"/>
          <w:u w:val="none"/>
          <w:lang w:eastAsia="zh-CN"/>
        </w:rPr>
        <w:t>）</w:t>
      </w:r>
      <w:r>
        <w:rPr>
          <w:rFonts w:hint="eastAsia" w:ascii="宋体" w:hAnsi="宋体" w:eastAsia="宋体" w:cs="宋体"/>
          <w:spacing w:val="-20"/>
          <w:sz w:val="32"/>
          <w:szCs w:val="32"/>
          <w:u w:val="none"/>
        </w:rPr>
        <w:t>：</w:t>
      </w:r>
      <w:r>
        <w:rPr>
          <w:rFonts w:hint="eastAsia" w:ascii="宋体" w:hAnsi="宋体" w:eastAsia="宋体" w:cs="宋体"/>
          <w:spacing w:val="-20"/>
          <w:sz w:val="32"/>
          <w:szCs w:val="32"/>
          <w:u w:val="thick"/>
        </w:rPr>
        <w:t xml:space="preserve">  </w:t>
      </w:r>
      <w:r>
        <w:rPr>
          <w:rFonts w:hint="eastAsia" w:ascii="宋体" w:hAnsi="宋体" w:eastAsia="宋体" w:cs="宋体"/>
          <w:spacing w:val="-20"/>
          <w:sz w:val="32"/>
          <w:szCs w:val="32"/>
          <w:u w:val="thick"/>
          <w:lang w:val="en-US" w:eastAsia="zh-CN"/>
        </w:rPr>
        <w:t xml:space="preserve"> </w:t>
      </w:r>
      <w:r>
        <w:rPr>
          <w:rFonts w:hint="eastAsia" w:ascii="宋体" w:hAnsi="宋体" w:eastAsia="宋体" w:cs="宋体"/>
          <w:b/>
          <w:sz w:val="32"/>
          <w:szCs w:val="32"/>
          <w:u w:val="thick"/>
          <w:lang w:eastAsia="zh-CN"/>
        </w:rPr>
        <w:t>湖南</w:t>
      </w:r>
      <w:r>
        <w:rPr>
          <w:rFonts w:hint="eastAsia" w:ascii="宋体" w:hAnsi="宋体" w:eastAsia="宋体" w:cs="宋体"/>
          <w:b/>
          <w:sz w:val="32"/>
          <w:szCs w:val="32"/>
          <w:u w:val="thick"/>
          <w:lang w:val="en-US" w:eastAsia="zh-CN"/>
        </w:rPr>
        <w:t>川岳</w:t>
      </w:r>
      <w:r>
        <w:rPr>
          <w:rFonts w:hint="eastAsia" w:ascii="宋体" w:hAnsi="宋体" w:eastAsia="宋体" w:cs="宋体"/>
          <w:b/>
          <w:sz w:val="32"/>
          <w:szCs w:val="32"/>
          <w:u w:val="thick"/>
          <w:lang w:eastAsia="zh-CN"/>
        </w:rPr>
        <w:t>环境科技有限公司</w:t>
      </w:r>
      <w:r>
        <w:rPr>
          <w:rFonts w:hint="eastAsia" w:ascii="宋体" w:hAnsi="宋体" w:cs="宋体"/>
          <w:b/>
          <w:sz w:val="32"/>
          <w:szCs w:val="32"/>
          <w:u w:val="thick"/>
          <w:lang w:val="en-US" w:eastAsia="zh-CN"/>
        </w:rPr>
        <w:t xml:space="preserve">   </w:t>
      </w:r>
      <w:r>
        <w:rPr>
          <w:rFonts w:hint="eastAsia" w:ascii="宋体" w:hAnsi="宋体" w:eastAsia="宋体" w:cs="宋体"/>
          <w:b/>
          <w:sz w:val="32"/>
          <w:szCs w:val="32"/>
          <w:u w:val="thick"/>
          <w:lang w:val="en-US" w:eastAsia="zh-CN"/>
        </w:rPr>
        <w:t xml:space="preserve">   </w:t>
      </w:r>
      <w:r>
        <w:rPr>
          <w:rFonts w:hint="eastAsia" w:ascii="宋体" w:hAnsi="宋体" w:eastAsia="宋体" w:cs="宋体"/>
          <w:b/>
          <w:sz w:val="32"/>
          <w:szCs w:val="32"/>
          <w:u w:val="thick"/>
        </w:rPr>
        <w:t xml:space="preserve"> </w:t>
      </w:r>
      <w:r>
        <w:rPr>
          <w:rFonts w:hint="eastAsia" w:ascii="宋体" w:hAnsi="宋体" w:eastAsia="宋体" w:cs="宋体"/>
          <w:b/>
          <w:sz w:val="32"/>
          <w:szCs w:val="32"/>
          <w:u w:val="thick"/>
          <w:lang w:val="en-US" w:eastAsia="zh-CN"/>
        </w:rPr>
        <w:t xml:space="preserve"> </w:t>
      </w:r>
      <w:r>
        <w:rPr>
          <w:rFonts w:hint="eastAsia" w:ascii="宋体" w:hAnsi="宋体" w:eastAsia="宋体" w:cs="宋体"/>
          <w:b/>
          <w:sz w:val="32"/>
          <w:szCs w:val="32"/>
          <w:u w:val="thick"/>
        </w:rPr>
        <w:t xml:space="preserve"> </w:t>
      </w:r>
      <w:r>
        <w:rPr>
          <w:rFonts w:hint="eastAsia" w:ascii="宋体" w:hAnsi="宋体" w:eastAsia="宋体" w:cs="宋体"/>
          <w:b/>
          <w:sz w:val="32"/>
          <w:szCs w:val="32"/>
          <w:u w:val="none"/>
        </w:rPr>
        <w:t xml:space="preserve">  </w:t>
      </w:r>
    </w:p>
    <w:p>
      <w:pPr>
        <w:tabs>
          <w:tab w:val="left" w:pos="6660"/>
        </w:tabs>
        <w:rPr>
          <w:rFonts w:hint="eastAsia" w:ascii="宋体" w:hAnsi="宋体" w:eastAsia="宋体" w:cs="宋体"/>
          <w:b/>
          <w:bCs/>
          <w:sz w:val="72"/>
          <w:szCs w:val="72"/>
          <w:u w:val="none"/>
        </w:rPr>
      </w:pPr>
    </w:p>
    <w:p>
      <w:pPr>
        <w:tabs>
          <w:tab w:val="left" w:pos="6660"/>
        </w:tabs>
        <w:jc w:val="center"/>
        <w:rPr>
          <w:rFonts w:hint="eastAsia" w:ascii="宋体" w:hAnsi="宋体" w:eastAsia="宋体" w:cs="宋体"/>
          <w:b/>
          <w:bCs/>
          <w:sz w:val="72"/>
          <w:szCs w:val="72"/>
          <w:u w:val="none"/>
        </w:rPr>
      </w:pPr>
    </w:p>
    <w:p>
      <w:pPr>
        <w:tabs>
          <w:tab w:val="left" w:pos="6660"/>
        </w:tabs>
        <w:jc w:val="center"/>
        <w:rPr>
          <w:rFonts w:hint="eastAsia" w:ascii="宋体" w:hAnsi="宋体" w:eastAsia="宋体" w:cs="宋体"/>
          <w:b/>
          <w:bCs/>
          <w:sz w:val="72"/>
          <w:szCs w:val="72"/>
          <w:u w:val="none"/>
        </w:rPr>
      </w:pPr>
    </w:p>
    <w:p>
      <w:pPr>
        <w:tabs>
          <w:tab w:val="left" w:pos="6660"/>
        </w:tabs>
        <w:jc w:val="center"/>
        <w:rPr>
          <w:rFonts w:hint="eastAsia" w:ascii="宋体" w:hAnsi="宋体" w:eastAsia="宋体" w:cs="宋体"/>
          <w:b/>
          <w:bCs/>
          <w:sz w:val="28"/>
          <w:szCs w:val="28"/>
          <w:u w:val="none"/>
        </w:rPr>
      </w:pPr>
    </w:p>
    <w:p>
      <w:pPr>
        <w:jc w:val="center"/>
        <w:rPr>
          <w:rFonts w:hint="eastAsia" w:ascii="宋体" w:hAnsi="宋体" w:eastAsia="宋体" w:cs="宋体"/>
          <w:b/>
          <w:bCs/>
          <w:sz w:val="32"/>
          <w:szCs w:val="32"/>
          <w:u w:val="none"/>
        </w:rPr>
      </w:pPr>
      <w:r>
        <w:rPr>
          <w:rFonts w:hint="eastAsia" w:ascii="宋体" w:hAnsi="宋体" w:eastAsia="宋体" w:cs="宋体"/>
          <w:b/>
          <w:bCs/>
          <w:sz w:val="32"/>
          <w:szCs w:val="32"/>
          <w:u w:val="none"/>
        </w:rPr>
        <w:t>编制日期：20</w:t>
      </w:r>
      <w:r>
        <w:rPr>
          <w:rFonts w:hint="eastAsia" w:ascii="宋体" w:hAnsi="宋体" w:eastAsia="宋体" w:cs="宋体"/>
          <w:b/>
          <w:bCs/>
          <w:sz w:val="32"/>
          <w:szCs w:val="32"/>
          <w:u w:val="none"/>
          <w:lang w:val="en-US" w:eastAsia="zh-CN"/>
        </w:rPr>
        <w:t>22</w:t>
      </w:r>
      <w:r>
        <w:rPr>
          <w:rFonts w:hint="eastAsia" w:ascii="宋体" w:hAnsi="宋体" w:eastAsia="宋体" w:cs="宋体"/>
          <w:b/>
          <w:bCs/>
          <w:sz w:val="32"/>
          <w:szCs w:val="32"/>
          <w:u w:val="none"/>
        </w:rPr>
        <w:t>年</w:t>
      </w:r>
      <w:r>
        <w:rPr>
          <w:rFonts w:hint="eastAsia" w:ascii="宋体" w:hAnsi="宋体" w:eastAsia="宋体" w:cs="宋体"/>
          <w:b/>
          <w:bCs/>
          <w:sz w:val="32"/>
          <w:szCs w:val="32"/>
          <w:u w:val="none"/>
          <w:lang w:val="en-US" w:eastAsia="zh-CN"/>
        </w:rPr>
        <w:t>5</w:t>
      </w:r>
      <w:r>
        <w:rPr>
          <w:rFonts w:hint="eastAsia" w:ascii="宋体" w:hAnsi="宋体" w:eastAsia="宋体" w:cs="宋体"/>
          <w:b/>
          <w:bCs/>
          <w:sz w:val="32"/>
          <w:szCs w:val="32"/>
          <w:u w:val="none"/>
        </w:rPr>
        <w:t>月</w:t>
      </w:r>
    </w:p>
    <w:p>
      <w:pPr>
        <w:pStyle w:val="29"/>
        <w:jc w:val="center"/>
        <w:rPr>
          <w:rFonts w:hint="eastAsia" w:ascii="宋体" w:hAnsi="宋体" w:eastAsia="宋体" w:cs="宋体"/>
          <w:sz w:val="32"/>
          <w:szCs w:val="32"/>
          <w:u w:val="none"/>
          <w:lang w:val="en-US" w:eastAsia="zh-CN"/>
        </w:rPr>
      </w:pPr>
      <w:r>
        <w:rPr>
          <w:rFonts w:ascii="helvetica" w:hAnsi="helvetica" w:eastAsia="helvetica" w:cs="helvetica"/>
          <w:color w:val="333333"/>
          <w:sz w:val="21"/>
          <w:szCs w:val="21"/>
          <w:bdr w:val="none" w:color="auto" w:sz="0" w:space="0"/>
        </w:rPr>
        <w:t>生态环境部</w:t>
      </w:r>
      <w:r>
        <w:rPr>
          <w:rFonts w:hint="eastAsia" w:ascii="宋体" w:hAnsi="宋体" w:eastAsia="宋体" w:cs="宋体"/>
          <w:b/>
          <w:bCs/>
          <w:sz w:val="32"/>
          <w:szCs w:val="32"/>
          <w:u w:val="none"/>
          <w:lang w:val="en-US" w:eastAsia="zh-CN"/>
        </w:rPr>
        <w:t>制</w:t>
      </w:r>
    </w:p>
    <w:p>
      <w:pPr>
        <w:widowControl/>
        <w:jc w:val="left"/>
        <w:rPr>
          <w:rFonts w:hint="eastAsia" w:ascii="宋体" w:hAnsi="宋体" w:eastAsia="宋体" w:cs="宋体"/>
          <w:b/>
          <w:bCs/>
          <w:sz w:val="72"/>
          <w:szCs w:val="72"/>
          <w:u w:val="none"/>
        </w:rPr>
      </w:pPr>
    </w:p>
    <w:p>
      <w:pPr>
        <w:pStyle w:val="29"/>
        <w:rPr>
          <w:rFonts w:hint="eastAsia" w:ascii="宋体" w:hAnsi="宋体" w:eastAsia="宋体" w:cs="宋体"/>
          <w:u w:val="none"/>
        </w:rPr>
        <w:sectPr>
          <w:head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Times New Roman" w:hAnsi="Times New Roman" w:eastAsia="宋体" w:cs="Times New Roman"/>
          <w:b w:val="0"/>
          <w:bCs w:val="0"/>
          <w:color w:val="auto"/>
          <w:kern w:val="2"/>
          <w:sz w:val="21"/>
          <w:szCs w:val="24"/>
          <w:lang w:val="zh-CN"/>
        </w:rPr>
        <w:id w:val="12128140"/>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3"/>
            <w:spacing w:before="0" w:line="360" w:lineRule="auto"/>
            <w:jc w:val="center"/>
            <w:rPr>
              <w:rFonts w:ascii="黑体" w:hAnsi="黑体" w:eastAsia="黑体"/>
              <w:color w:val="auto"/>
              <w:lang w:val="zh-CN"/>
            </w:rPr>
          </w:pPr>
          <w:r>
            <w:rPr>
              <w:rFonts w:ascii="黑体" w:hAnsi="黑体" w:eastAsia="黑体"/>
              <w:color w:val="auto"/>
              <w:lang w:val="zh-CN"/>
            </w:rPr>
            <w:t>目</w:t>
          </w:r>
          <w:r>
            <w:rPr>
              <w:rFonts w:hint="eastAsia" w:ascii="黑体" w:hAnsi="黑体" w:eastAsia="黑体"/>
              <w:color w:val="auto"/>
              <w:lang w:val="zh-CN"/>
            </w:rPr>
            <w:t xml:space="preserve">  </w:t>
          </w:r>
          <w:r>
            <w:rPr>
              <w:rFonts w:ascii="黑体" w:hAnsi="黑体" w:eastAsia="黑体"/>
              <w:color w:val="auto"/>
              <w:lang w:val="zh-CN"/>
            </w:rPr>
            <w:t>录</w:t>
          </w:r>
        </w:p>
        <w:p>
          <w:pPr>
            <w:pStyle w:val="16"/>
            <w:tabs>
              <w:tab w:val="right" w:leader="dot" w:pos="8834"/>
            </w:tabs>
            <w:spacing w:line="360" w:lineRule="auto"/>
            <w:rPr>
              <w:rFonts w:ascii="黑体" w:hAnsi="黑体" w:eastAsia="黑体"/>
              <w:sz w:val="24"/>
            </w:rPr>
          </w:pPr>
          <w:r>
            <w:rPr>
              <w:rFonts w:ascii="黑体" w:hAnsi="黑体" w:eastAsia="黑体"/>
              <w:sz w:val="24"/>
            </w:rPr>
            <w:fldChar w:fldCharType="begin"/>
          </w:r>
          <w:r>
            <w:rPr>
              <w:rFonts w:ascii="黑体" w:hAnsi="黑体" w:eastAsia="黑体"/>
              <w:sz w:val="24"/>
            </w:rPr>
            <w:instrText xml:space="preserve"> TOC \o "1-3" \h \z \u </w:instrText>
          </w:r>
          <w:r>
            <w:rPr>
              <w:rFonts w:ascii="黑体" w:hAnsi="黑体" w:eastAsia="黑体"/>
              <w:sz w:val="24"/>
            </w:rPr>
            <w:fldChar w:fldCharType="separate"/>
          </w:r>
          <w:r>
            <w:fldChar w:fldCharType="begin"/>
          </w:r>
          <w:r>
            <w:instrText xml:space="preserve"> HYPERLINK \l "_Toc75787036" </w:instrText>
          </w:r>
          <w:r>
            <w:fldChar w:fldCharType="separate"/>
          </w:r>
          <w:r>
            <w:rPr>
              <w:rStyle w:val="27"/>
              <w:rFonts w:hint="eastAsia" w:ascii="黑体" w:hAnsi="黑体" w:eastAsia="黑体"/>
              <w:snapToGrid w:val="0"/>
              <w:color w:val="auto"/>
              <w:sz w:val="24"/>
            </w:rPr>
            <w:t>一、建设项目基本情况</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_Toc75787036 \h </w:instrText>
          </w:r>
          <w:r>
            <w:rPr>
              <w:rFonts w:ascii="黑体" w:hAnsi="黑体" w:eastAsia="黑体"/>
              <w:sz w:val="24"/>
            </w:rPr>
            <w:fldChar w:fldCharType="separate"/>
          </w:r>
          <w:r>
            <w:rPr>
              <w:rFonts w:ascii="黑体" w:hAnsi="黑体" w:eastAsia="黑体"/>
              <w:sz w:val="24"/>
            </w:rPr>
            <w:t>1</w:t>
          </w:r>
          <w:r>
            <w:rPr>
              <w:rFonts w:ascii="黑体" w:hAnsi="黑体" w:eastAsia="黑体"/>
              <w:sz w:val="24"/>
            </w:rPr>
            <w:fldChar w:fldCharType="end"/>
          </w:r>
          <w:r>
            <w:rPr>
              <w:rFonts w:ascii="黑体" w:hAnsi="黑体" w:eastAsia="黑体"/>
              <w:sz w:val="24"/>
            </w:rPr>
            <w:fldChar w:fldCharType="end"/>
          </w:r>
        </w:p>
        <w:p>
          <w:pPr>
            <w:pStyle w:val="16"/>
            <w:tabs>
              <w:tab w:val="right" w:leader="dot" w:pos="8834"/>
            </w:tabs>
            <w:spacing w:line="360" w:lineRule="auto"/>
            <w:rPr>
              <w:rFonts w:ascii="黑体" w:hAnsi="黑体" w:eastAsia="黑体"/>
              <w:sz w:val="24"/>
            </w:rPr>
          </w:pPr>
          <w:r>
            <w:fldChar w:fldCharType="begin"/>
          </w:r>
          <w:r>
            <w:instrText xml:space="preserve"> HYPERLINK \l "_Toc75787037" </w:instrText>
          </w:r>
          <w:r>
            <w:fldChar w:fldCharType="separate"/>
          </w:r>
          <w:r>
            <w:rPr>
              <w:rStyle w:val="27"/>
              <w:rFonts w:hint="eastAsia" w:ascii="黑体" w:hAnsi="黑体" w:eastAsia="黑体"/>
              <w:snapToGrid w:val="0"/>
              <w:color w:val="auto"/>
              <w:sz w:val="24"/>
            </w:rPr>
            <w:t>二、建设项目工程分析</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_Toc75787037 \h </w:instrText>
          </w:r>
          <w:r>
            <w:rPr>
              <w:rFonts w:ascii="黑体" w:hAnsi="黑体" w:eastAsia="黑体"/>
              <w:sz w:val="24"/>
            </w:rPr>
            <w:fldChar w:fldCharType="separate"/>
          </w:r>
          <w:r>
            <w:rPr>
              <w:rFonts w:ascii="黑体" w:hAnsi="黑体" w:eastAsia="黑体"/>
              <w:sz w:val="24"/>
            </w:rPr>
            <w:t>19</w:t>
          </w:r>
          <w:r>
            <w:rPr>
              <w:rFonts w:ascii="黑体" w:hAnsi="黑体" w:eastAsia="黑体"/>
              <w:sz w:val="24"/>
            </w:rPr>
            <w:fldChar w:fldCharType="end"/>
          </w:r>
          <w:r>
            <w:rPr>
              <w:rFonts w:ascii="黑体" w:hAnsi="黑体" w:eastAsia="黑体"/>
              <w:sz w:val="24"/>
            </w:rPr>
            <w:fldChar w:fldCharType="end"/>
          </w:r>
        </w:p>
        <w:p>
          <w:pPr>
            <w:pStyle w:val="16"/>
            <w:tabs>
              <w:tab w:val="right" w:leader="dot" w:pos="8834"/>
            </w:tabs>
            <w:spacing w:line="360" w:lineRule="auto"/>
            <w:rPr>
              <w:rFonts w:ascii="黑体" w:hAnsi="黑体" w:eastAsia="黑体"/>
              <w:sz w:val="24"/>
            </w:rPr>
          </w:pPr>
          <w:r>
            <w:fldChar w:fldCharType="begin"/>
          </w:r>
          <w:r>
            <w:instrText xml:space="preserve"> HYPERLINK \l "_Toc75787038" </w:instrText>
          </w:r>
          <w:r>
            <w:fldChar w:fldCharType="separate"/>
          </w:r>
          <w:r>
            <w:rPr>
              <w:rStyle w:val="27"/>
              <w:rFonts w:hint="eastAsia" w:ascii="黑体" w:hAnsi="黑体" w:eastAsia="黑体"/>
              <w:snapToGrid w:val="0"/>
              <w:color w:val="auto"/>
              <w:sz w:val="24"/>
            </w:rPr>
            <w:t>三、区域环境质量现状、环境保护目标及评价标准</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_Toc75787038 \h </w:instrText>
          </w:r>
          <w:r>
            <w:rPr>
              <w:rFonts w:ascii="黑体" w:hAnsi="黑体" w:eastAsia="黑体"/>
              <w:sz w:val="24"/>
            </w:rPr>
            <w:fldChar w:fldCharType="separate"/>
          </w:r>
          <w:r>
            <w:rPr>
              <w:rFonts w:ascii="黑体" w:hAnsi="黑体" w:eastAsia="黑体"/>
              <w:sz w:val="24"/>
            </w:rPr>
            <w:t>44</w:t>
          </w:r>
          <w:r>
            <w:rPr>
              <w:rFonts w:ascii="黑体" w:hAnsi="黑体" w:eastAsia="黑体"/>
              <w:sz w:val="24"/>
            </w:rPr>
            <w:fldChar w:fldCharType="end"/>
          </w:r>
          <w:r>
            <w:rPr>
              <w:rFonts w:ascii="黑体" w:hAnsi="黑体" w:eastAsia="黑体"/>
              <w:sz w:val="24"/>
            </w:rPr>
            <w:fldChar w:fldCharType="end"/>
          </w:r>
        </w:p>
        <w:p>
          <w:pPr>
            <w:pStyle w:val="16"/>
            <w:tabs>
              <w:tab w:val="right" w:leader="dot" w:pos="8834"/>
            </w:tabs>
            <w:spacing w:line="360" w:lineRule="auto"/>
            <w:rPr>
              <w:rFonts w:ascii="黑体" w:hAnsi="黑体" w:eastAsia="黑体"/>
              <w:sz w:val="24"/>
            </w:rPr>
          </w:pPr>
          <w:r>
            <w:fldChar w:fldCharType="begin"/>
          </w:r>
          <w:r>
            <w:instrText xml:space="preserve"> HYPERLINK \l "_Toc75787039" </w:instrText>
          </w:r>
          <w:r>
            <w:fldChar w:fldCharType="separate"/>
          </w:r>
          <w:r>
            <w:rPr>
              <w:rStyle w:val="27"/>
              <w:rFonts w:hint="eastAsia" w:ascii="黑体" w:hAnsi="黑体" w:eastAsia="黑体"/>
              <w:snapToGrid w:val="0"/>
              <w:color w:val="auto"/>
              <w:sz w:val="24"/>
            </w:rPr>
            <w:t>四、主要环境影响和保护措施</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_Toc75787039 \h </w:instrText>
          </w:r>
          <w:r>
            <w:rPr>
              <w:rFonts w:ascii="黑体" w:hAnsi="黑体" w:eastAsia="黑体"/>
              <w:sz w:val="24"/>
            </w:rPr>
            <w:fldChar w:fldCharType="separate"/>
          </w:r>
          <w:r>
            <w:rPr>
              <w:rFonts w:ascii="黑体" w:hAnsi="黑体" w:eastAsia="黑体"/>
              <w:sz w:val="24"/>
            </w:rPr>
            <w:t>60</w:t>
          </w:r>
          <w:r>
            <w:rPr>
              <w:rFonts w:ascii="黑体" w:hAnsi="黑体" w:eastAsia="黑体"/>
              <w:sz w:val="24"/>
            </w:rPr>
            <w:fldChar w:fldCharType="end"/>
          </w:r>
          <w:r>
            <w:rPr>
              <w:rFonts w:ascii="黑体" w:hAnsi="黑体" w:eastAsia="黑体"/>
              <w:sz w:val="24"/>
            </w:rPr>
            <w:fldChar w:fldCharType="end"/>
          </w:r>
        </w:p>
        <w:p>
          <w:pPr>
            <w:pStyle w:val="16"/>
            <w:tabs>
              <w:tab w:val="right" w:leader="dot" w:pos="8834"/>
            </w:tabs>
            <w:spacing w:line="360" w:lineRule="auto"/>
            <w:rPr>
              <w:rFonts w:ascii="黑体" w:hAnsi="黑体" w:eastAsia="黑体"/>
              <w:sz w:val="24"/>
            </w:rPr>
          </w:pPr>
          <w:r>
            <w:fldChar w:fldCharType="begin"/>
          </w:r>
          <w:r>
            <w:instrText xml:space="preserve"> HYPERLINK \l "_Toc75787040" </w:instrText>
          </w:r>
          <w:r>
            <w:fldChar w:fldCharType="separate"/>
          </w:r>
          <w:r>
            <w:rPr>
              <w:rStyle w:val="27"/>
              <w:rFonts w:hint="eastAsia" w:ascii="黑体" w:hAnsi="黑体" w:eastAsia="黑体"/>
              <w:snapToGrid w:val="0"/>
              <w:color w:val="auto"/>
              <w:sz w:val="24"/>
            </w:rPr>
            <w:t>五、环境保护措施监督检查清单</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_Toc75787040 \h </w:instrText>
          </w:r>
          <w:r>
            <w:rPr>
              <w:rFonts w:ascii="黑体" w:hAnsi="黑体" w:eastAsia="黑体"/>
              <w:sz w:val="24"/>
            </w:rPr>
            <w:fldChar w:fldCharType="separate"/>
          </w:r>
          <w:r>
            <w:rPr>
              <w:rFonts w:ascii="黑体" w:hAnsi="黑体" w:eastAsia="黑体"/>
              <w:sz w:val="24"/>
            </w:rPr>
            <w:t>84</w:t>
          </w:r>
          <w:r>
            <w:rPr>
              <w:rFonts w:ascii="黑体" w:hAnsi="黑体" w:eastAsia="黑体"/>
              <w:sz w:val="24"/>
            </w:rPr>
            <w:fldChar w:fldCharType="end"/>
          </w:r>
          <w:r>
            <w:rPr>
              <w:rFonts w:ascii="黑体" w:hAnsi="黑体" w:eastAsia="黑体"/>
              <w:sz w:val="24"/>
            </w:rPr>
            <w:fldChar w:fldCharType="end"/>
          </w:r>
        </w:p>
        <w:p>
          <w:pPr>
            <w:pStyle w:val="16"/>
            <w:tabs>
              <w:tab w:val="right" w:leader="dot" w:pos="8834"/>
            </w:tabs>
            <w:spacing w:line="360" w:lineRule="auto"/>
            <w:rPr>
              <w:rFonts w:ascii="黑体" w:hAnsi="黑体" w:eastAsia="黑体"/>
              <w:sz w:val="24"/>
            </w:rPr>
          </w:pPr>
          <w:r>
            <w:fldChar w:fldCharType="begin"/>
          </w:r>
          <w:r>
            <w:instrText xml:space="preserve"> HYPERLINK \l "_Toc75787041" </w:instrText>
          </w:r>
          <w:r>
            <w:fldChar w:fldCharType="separate"/>
          </w:r>
          <w:r>
            <w:rPr>
              <w:rStyle w:val="27"/>
              <w:rFonts w:hint="eastAsia" w:ascii="黑体" w:hAnsi="黑体" w:eastAsia="黑体"/>
              <w:snapToGrid w:val="0"/>
              <w:color w:val="auto"/>
              <w:sz w:val="24"/>
            </w:rPr>
            <w:t>六、结论</w:t>
          </w:r>
          <w:r>
            <w:rPr>
              <w:rFonts w:ascii="黑体" w:hAnsi="黑体" w:eastAsia="黑体"/>
              <w:sz w:val="24"/>
            </w:rPr>
            <w:tab/>
          </w:r>
          <w:r>
            <w:rPr>
              <w:rFonts w:ascii="黑体" w:hAnsi="黑体" w:eastAsia="黑体"/>
              <w:sz w:val="24"/>
            </w:rPr>
            <w:fldChar w:fldCharType="begin"/>
          </w:r>
          <w:r>
            <w:rPr>
              <w:rFonts w:ascii="黑体" w:hAnsi="黑体" w:eastAsia="黑体"/>
              <w:sz w:val="24"/>
            </w:rPr>
            <w:instrText xml:space="preserve"> PAGEREF _Toc75787041 \h </w:instrText>
          </w:r>
          <w:r>
            <w:rPr>
              <w:rFonts w:ascii="黑体" w:hAnsi="黑体" w:eastAsia="黑体"/>
              <w:sz w:val="24"/>
            </w:rPr>
            <w:fldChar w:fldCharType="separate"/>
          </w:r>
          <w:r>
            <w:rPr>
              <w:rFonts w:ascii="黑体" w:hAnsi="黑体" w:eastAsia="黑体"/>
              <w:sz w:val="24"/>
            </w:rPr>
            <w:t>85</w:t>
          </w:r>
          <w:r>
            <w:rPr>
              <w:rFonts w:ascii="黑体" w:hAnsi="黑体" w:eastAsia="黑体"/>
              <w:sz w:val="24"/>
            </w:rPr>
            <w:fldChar w:fldCharType="end"/>
          </w:r>
          <w:r>
            <w:rPr>
              <w:rFonts w:ascii="黑体" w:hAnsi="黑体" w:eastAsia="黑体"/>
              <w:sz w:val="24"/>
            </w:rPr>
            <w:fldChar w:fldCharType="end"/>
          </w:r>
        </w:p>
        <w:p>
          <w:pPr>
            <w:adjustRightInd w:val="0"/>
            <w:snapToGrid w:val="0"/>
            <w:spacing w:line="360" w:lineRule="auto"/>
          </w:pPr>
          <w:r>
            <w:rPr>
              <w:rFonts w:ascii="黑体" w:hAnsi="黑体" w:eastAsia="黑体"/>
              <w:b/>
              <w:bCs/>
              <w:sz w:val="24"/>
              <w:lang w:val="zh-CN"/>
            </w:rPr>
            <w:fldChar w:fldCharType="end"/>
          </w:r>
        </w:p>
      </w:sdtContent>
    </w:sdt>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pStyle w:val="2"/>
        <w:rPr>
          <w:rFonts w:hint="eastAsia" w:asciiTheme="minorEastAsia" w:hAnsiTheme="minorEastAsia" w:eastAsiaTheme="minorEastAsia"/>
          <w:b/>
          <w:sz w:val="24"/>
        </w:rPr>
      </w:pPr>
    </w:p>
    <w:p>
      <w:pPr>
        <w:pStyle w:val="2"/>
        <w:rPr>
          <w:rFonts w:hint="eastAsia" w:asciiTheme="minorEastAsia" w:hAnsiTheme="minorEastAsia" w:eastAsiaTheme="minorEastAsia"/>
          <w:b/>
          <w:sz w:val="24"/>
        </w:rPr>
      </w:pPr>
    </w:p>
    <w:p>
      <w:pPr>
        <w:pStyle w:val="2"/>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hint="eastAsia" w:asciiTheme="minorEastAsia" w:hAnsiTheme="minorEastAsia" w:eastAsiaTheme="minorEastAsia"/>
          <w:b/>
          <w:sz w:val="24"/>
        </w:rPr>
      </w:pP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附表</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附表1 </w:t>
      </w:r>
      <w:r>
        <w:rPr>
          <w:rFonts w:asciiTheme="minorEastAsia" w:hAnsiTheme="minorEastAsia" w:eastAsiaTheme="minorEastAsia"/>
          <w:sz w:val="24"/>
        </w:rPr>
        <w:t>建设项目污染物排放量汇总表</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附件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sz w:val="24"/>
          <w:lang w:val="en-US" w:eastAsia="zh-CN"/>
        </w:rPr>
      </w:pPr>
      <w:r>
        <w:rPr>
          <w:rFonts w:hint="eastAsia" w:asciiTheme="minorEastAsia" w:hAnsiTheme="minorEastAsia" w:eastAsiaTheme="minorEastAsia"/>
          <w:sz w:val="24"/>
        </w:rPr>
        <w:t>附件</w:t>
      </w:r>
      <w:r>
        <w:rPr>
          <w:rFonts w:asciiTheme="minorEastAsia" w:hAnsiTheme="minorEastAsia" w:eastAsiaTheme="minorEastAsia"/>
          <w:sz w:val="24"/>
        </w:rPr>
        <w:t>1</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委托书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rPr>
      </w:pPr>
      <w:r>
        <w:rPr>
          <w:rFonts w:hint="eastAsia" w:asciiTheme="minorEastAsia" w:hAnsiTheme="minorEastAsia" w:eastAsiaTheme="minorEastAsia"/>
          <w:sz w:val="24"/>
        </w:rPr>
        <w:t>附件2：营业执照</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rPr>
        <w:t>附件3：</w:t>
      </w:r>
      <w:r>
        <w:rPr>
          <w:rFonts w:hint="eastAsia" w:cs="Times New Roman" w:asciiTheme="minorEastAsia" w:hAnsiTheme="minorEastAsia" w:eastAsiaTheme="minorEastAsia"/>
          <w:sz w:val="24"/>
          <w:lang w:val="en-US" w:eastAsia="zh-CN"/>
        </w:rPr>
        <w:t>立项文件</w:t>
      </w:r>
    </w:p>
    <w:p>
      <w:pPr>
        <w:adjustRightInd w:val="0"/>
        <w:snapToGrid w:val="0"/>
        <w:spacing w:line="360" w:lineRule="auto"/>
        <w:ind w:firstLine="480" w:firstLineChars="200"/>
        <w:rPr>
          <w:rFonts w:hint="eastAsia" w:cs="Times New Roman" w:asciiTheme="minorEastAsia" w:hAnsiTheme="minorEastAsia" w:eastAsiaTheme="minorEastAsia"/>
          <w:sz w:val="24"/>
        </w:rPr>
      </w:pPr>
      <w:r>
        <w:rPr>
          <w:rFonts w:hint="eastAsia" w:cs="Times New Roman" w:asciiTheme="minorEastAsia" w:hAnsiTheme="minorEastAsia" w:eastAsiaTheme="minorEastAsia"/>
          <w:sz w:val="24"/>
          <w:lang w:val="en-US" w:eastAsia="zh-CN"/>
        </w:rPr>
        <w:t>附件4：湖南省生态环境厅关于《祁东经济开发区归阳工业园环境影响报告书》审查意见的函</w:t>
      </w:r>
    </w:p>
    <w:p>
      <w:pPr>
        <w:adjustRightInd w:val="0"/>
        <w:snapToGrid w:val="0"/>
        <w:spacing w:line="360" w:lineRule="auto"/>
        <w:ind w:firstLine="480" w:firstLineChars="200"/>
        <w:rPr>
          <w:rFonts w:hint="eastAsia" w:cs="Times New Roman" w:asciiTheme="minorEastAsia" w:hAnsiTheme="minorEastAsia" w:eastAsiaTheme="minorEastAsia"/>
          <w:sz w:val="24"/>
        </w:rPr>
      </w:pPr>
      <w:r>
        <w:rPr>
          <w:rFonts w:hint="eastAsia" w:cs="Times New Roman" w:asciiTheme="minorEastAsia" w:hAnsiTheme="minorEastAsia" w:eastAsiaTheme="minorEastAsia"/>
          <w:sz w:val="24"/>
        </w:rPr>
        <w:t>附件</w:t>
      </w:r>
      <w:r>
        <w:rPr>
          <w:rFonts w:hint="eastAsia" w:cs="Times New Roman" w:asciiTheme="minorEastAsia" w:hAnsiTheme="minorEastAsia" w:eastAsiaTheme="minorEastAsia"/>
          <w:sz w:val="24"/>
          <w:lang w:val="en-US" w:eastAsia="zh-CN"/>
        </w:rPr>
        <w:t>5</w:t>
      </w:r>
      <w:r>
        <w:rPr>
          <w:rFonts w:hint="eastAsia" w:cs="Times New Roman" w:asciiTheme="minorEastAsia" w:hAnsiTheme="minorEastAsia" w:eastAsiaTheme="minorEastAsia"/>
          <w:sz w:val="24"/>
        </w:rPr>
        <w:t>：</w:t>
      </w:r>
      <w:r>
        <w:rPr>
          <w:rFonts w:hint="eastAsia" w:cs="Times New Roman" w:asciiTheme="minorEastAsia" w:hAnsiTheme="minorEastAsia" w:eastAsiaTheme="minorEastAsia"/>
          <w:sz w:val="24"/>
          <w:lang w:val="en-US" w:eastAsia="zh-CN"/>
        </w:rPr>
        <w:t>租赁合同</w:t>
      </w:r>
    </w:p>
    <w:p>
      <w:pPr>
        <w:adjustRightInd w:val="0"/>
        <w:snapToGrid w:val="0"/>
        <w:spacing w:line="360" w:lineRule="auto"/>
        <w:ind w:firstLine="480" w:firstLineChars="200"/>
        <w:rPr>
          <w:rFonts w:hint="eastAsia" w:cs="Times New Roman" w:asciiTheme="minorEastAsia" w:hAnsiTheme="minorEastAsia" w:eastAsiaTheme="minorEastAsia"/>
          <w:sz w:val="24"/>
        </w:rPr>
      </w:pPr>
      <w:r>
        <w:rPr>
          <w:rFonts w:hint="eastAsia" w:cs="Times New Roman" w:asciiTheme="minorEastAsia" w:hAnsiTheme="minorEastAsia" w:eastAsiaTheme="minorEastAsia"/>
          <w:sz w:val="24"/>
        </w:rPr>
        <w:t>附件</w:t>
      </w:r>
      <w:r>
        <w:rPr>
          <w:rFonts w:hint="eastAsia" w:cs="Times New Roman" w:asciiTheme="minorEastAsia" w:hAnsiTheme="minorEastAsia" w:eastAsiaTheme="minorEastAsia"/>
          <w:sz w:val="24"/>
          <w:lang w:val="en-US" w:eastAsia="zh-CN"/>
        </w:rPr>
        <w:t>6</w:t>
      </w:r>
      <w:r>
        <w:rPr>
          <w:rFonts w:hint="eastAsia" w:cs="Times New Roman" w:asciiTheme="minorEastAsia" w:hAnsiTheme="minorEastAsia" w:eastAsiaTheme="minorEastAsia"/>
          <w:sz w:val="24"/>
        </w:rPr>
        <w:t>：检测报告</w:t>
      </w:r>
    </w:p>
    <w:p>
      <w:pPr>
        <w:adjustRightInd w:val="0"/>
        <w:snapToGrid w:val="0"/>
        <w:spacing w:line="360" w:lineRule="auto"/>
        <w:ind w:firstLine="480" w:firstLineChars="200"/>
        <w:rPr>
          <w:rFonts w:hint="default"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附件7：专家考核意见表</w:t>
      </w:r>
    </w:p>
    <w:p>
      <w:pPr>
        <w:adjustRightInd w:val="0"/>
        <w:snapToGrid w:val="0"/>
        <w:spacing w:line="360" w:lineRule="auto"/>
        <w:ind w:firstLine="480" w:firstLineChars="200"/>
        <w:rPr>
          <w:rFonts w:hint="eastAsia"/>
        </w:rPr>
      </w:pPr>
      <w:r>
        <w:rPr>
          <w:rFonts w:hint="eastAsia" w:cs="Times New Roman" w:asciiTheme="minorEastAsia" w:hAnsiTheme="minorEastAsia" w:eastAsiaTheme="minorEastAsia"/>
          <w:sz w:val="24"/>
          <w:lang w:val="en-US" w:eastAsia="zh-CN"/>
        </w:rPr>
        <w:t>附件8：专家审查意见及签到表</w:t>
      </w:r>
    </w:p>
    <w:p>
      <w:pPr>
        <w:adjustRightInd w:val="0"/>
        <w:snapToGrid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附图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附图1：项目地理位置示意图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附图2：厂区平面布置图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附图3：环境质量现状监测点位图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附图4：环境保护目标分布图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附图5：土地利用规划图</w:t>
      </w:r>
    </w:p>
    <w:p>
      <w:pPr>
        <w:adjustRightInd w:val="0"/>
        <w:snapToGrid w:val="0"/>
        <w:spacing w:line="360" w:lineRule="auto"/>
        <w:ind w:firstLine="480" w:firstLineChars="200"/>
        <w:rPr>
          <w:rFonts w:hint="eastAsia" w:cs="Times New Roman" w:asciiTheme="minorEastAsia" w:hAnsiTheme="minorEastAsia" w:eastAsiaTheme="minorEastAsia"/>
          <w:sz w:val="24"/>
          <w:lang w:val="en-US" w:eastAsia="zh-CN"/>
        </w:rPr>
      </w:pPr>
      <w:r>
        <w:rPr>
          <w:rFonts w:hint="eastAsia" w:cs="Times New Roman" w:asciiTheme="minorEastAsia" w:hAnsiTheme="minorEastAsia" w:eastAsiaTheme="minorEastAsia"/>
          <w:sz w:val="24"/>
          <w:lang w:val="en-US" w:eastAsia="zh-CN"/>
        </w:rPr>
        <w:t>附图6：地下水分区防渗图</w:t>
      </w:r>
    </w:p>
    <w:p>
      <w:pPr>
        <w:adjustRightInd w:val="0"/>
        <w:snapToGrid w:val="0"/>
        <w:spacing w:line="288" w:lineRule="auto"/>
        <w:jc w:val="center"/>
        <w:rPr>
          <w:rFonts w:ascii="仿宋_GB2312" w:eastAsia="仿宋_GB2312"/>
          <w:sz w:val="36"/>
          <w:szCs w:val="36"/>
        </w:rPr>
        <w:sectPr>
          <w:footerReference r:id="rId4" w:type="default"/>
          <w:pgSz w:w="11906" w:h="16838"/>
          <w:pgMar w:top="720" w:right="720" w:bottom="720" w:left="720" w:header="851" w:footer="1077" w:gutter="0"/>
          <w:pgNumType w:start="3"/>
          <w:cols w:space="720" w:num="1"/>
          <w:docGrid w:linePitch="312" w:charSpace="0"/>
        </w:sectPr>
      </w:pPr>
      <w:r>
        <w:drawing>
          <wp:inline distT="0" distB="0" distL="114300" distR="114300">
            <wp:extent cx="6635750" cy="8549640"/>
            <wp:effectExtent l="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6635750" cy="8549640"/>
                    </a:xfrm>
                    <a:prstGeom prst="rect">
                      <a:avLst/>
                    </a:prstGeom>
                    <a:noFill/>
                    <a:ln>
                      <a:noFill/>
                    </a:ln>
                  </pic:spPr>
                </pic:pic>
              </a:graphicData>
            </a:graphic>
          </wp:inline>
        </w:drawing>
      </w:r>
      <w:r>
        <w:drawing>
          <wp:inline distT="0" distB="0" distL="114300" distR="114300">
            <wp:extent cx="6527800" cy="4879340"/>
            <wp:effectExtent l="0" t="0" r="1016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6527800" cy="4879340"/>
                    </a:xfrm>
                    <a:prstGeom prst="rect">
                      <a:avLst/>
                    </a:prstGeom>
                    <a:noFill/>
                    <a:ln>
                      <a:noFill/>
                    </a:ln>
                  </pic:spPr>
                </pic:pic>
              </a:graphicData>
            </a:graphic>
          </wp:inline>
        </w:drawing>
      </w:r>
      <w:r>
        <w:drawing>
          <wp:inline distT="0" distB="0" distL="114300" distR="114300">
            <wp:extent cx="6187440" cy="8683625"/>
            <wp:effectExtent l="0" t="0" r="0" b="317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
                    <a:stretch>
                      <a:fillRect/>
                    </a:stretch>
                  </pic:blipFill>
                  <pic:spPr>
                    <a:xfrm>
                      <a:off x="0" y="0"/>
                      <a:ext cx="6187440" cy="8683625"/>
                    </a:xfrm>
                    <a:prstGeom prst="rect">
                      <a:avLst/>
                    </a:prstGeom>
                    <a:noFill/>
                    <a:ln>
                      <a:noFill/>
                    </a:ln>
                  </pic:spPr>
                </pic:pic>
              </a:graphicData>
            </a:graphic>
          </wp:inline>
        </w:drawing>
      </w:r>
      <w:r>
        <w:drawing>
          <wp:inline distT="0" distB="0" distL="114300" distR="114300">
            <wp:extent cx="6184900" cy="8801735"/>
            <wp:effectExtent l="0" t="0" r="2540"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6184900" cy="8801735"/>
                    </a:xfrm>
                    <a:prstGeom prst="rect">
                      <a:avLst/>
                    </a:prstGeom>
                    <a:noFill/>
                    <a:ln>
                      <a:noFill/>
                    </a:ln>
                  </pic:spPr>
                </pic:pic>
              </a:graphicData>
            </a:graphic>
          </wp:inline>
        </w:drawing>
      </w:r>
      <w:r>
        <w:drawing>
          <wp:inline distT="0" distB="0" distL="114300" distR="114300">
            <wp:extent cx="6111875" cy="8468360"/>
            <wp:effectExtent l="0" t="0" r="1460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6111875" cy="8468360"/>
                    </a:xfrm>
                    <a:prstGeom prst="rect">
                      <a:avLst/>
                    </a:prstGeom>
                    <a:noFill/>
                    <a:ln>
                      <a:noFill/>
                    </a:ln>
                  </pic:spPr>
                </pic:pic>
              </a:graphicData>
            </a:graphic>
          </wp:inline>
        </w:drawing>
      </w:r>
      <w:r>
        <w:drawing>
          <wp:inline distT="0" distB="0" distL="114300" distR="114300">
            <wp:extent cx="6325235" cy="8387715"/>
            <wp:effectExtent l="0" t="0" r="1460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6325235" cy="8387715"/>
                    </a:xfrm>
                    <a:prstGeom prst="rect">
                      <a:avLst/>
                    </a:prstGeom>
                    <a:noFill/>
                    <a:ln>
                      <a:noFill/>
                    </a:ln>
                  </pic:spPr>
                </pic:pic>
              </a:graphicData>
            </a:graphic>
          </wp:inline>
        </w:drawing>
      </w:r>
      <w:r>
        <w:drawing>
          <wp:inline distT="0" distB="0" distL="114300" distR="114300">
            <wp:extent cx="6241415" cy="8056245"/>
            <wp:effectExtent l="0" t="0" r="698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6241415" cy="8056245"/>
                    </a:xfrm>
                    <a:prstGeom prst="rect">
                      <a:avLst/>
                    </a:prstGeom>
                    <a:noFill/>
                    <a:ln>
                      <a:noFill/>
                    </a:ln>
                  </pic:spPr>
                </pic:pic>
              </a:graphicData>
            </a:graphic>
          </wp:inline>
        </w:drawing>
      </w:r>
    </w:p>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rPr>
      </w:pPr>
      <w:bookmarkStart w:id="0" w:name="_Toc75787036"/>
      <w:r>
        <w:rPr>
          <w:rFonts w:hint="eastAsia" w:ascii="黑体" w:hAnsi="黑体" w:eastAsia="黑体"/>
          <w:snapToGrid w:val="0"/>
          <w:sz w:val="30"/>
          <w:szCs w:val="30"/>
        </w:rPr>
        <w:t>一、建设项目基本情况</w:t>
      </w:r>
      <w:bookmarkEnd w:id="0"/>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3"/>
        <w:gridCol w:w="1552"/>
        <w:gridCol w:w="2033"/>
        <w:gridCol w:w="3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建设项目名称</w:t>
            </w:r>
          </w:p>
        </w:tc>
        <w:tc>
          <w:tcPr>
            <w:tcW w:w="6991" w:type="dxa"/>
            <w:gridSpan w:val="3"/>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ascii="宋体" w:hAnsi="宋体" w:eastAsia="宋体" w:cs="宋体"/>
                <w:sz w:val="24"/>
                <w:lang w:eastAsia="zh-CN"/>
              </w:rPr>
            </w:pPr>
            <w:r>
              <w:rPr>
                <w:rFonts w:hint="eastAsia" w:ascii="宋体" w:hAnsi="宋体" w:cs="宋体"/>
                <w:sz w:val="24"/>
                <w:lang w:eastAsia="zh-CN"/>
              </w:rPr>
              <w:t>湖南川岳环境科技有限公司危险废物收集、贮存及转运项目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项目代码</w:t>
            </w:r>
          </w:p>
        </w:tc>
        <w:tc>
          <w:tcPr>
            <w:tcW w:w="6991" w:type="dxa"/>
            <w:gridSpan w:val="3"/>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lang w:val="en-US" w:eastAsia="zh-CN"/>
              </w:rPr>
              <w:t>2205-430426-04-05-136903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建设单位联系人</w:t>
            </w:r>
          </w:p>
        </w:tc>
        <w:tc>
          <w:tcPr>
            <w:tcW w:w="155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highlight w:val="none"/>
                <w:lang w:val="en-US" w:eastAsia="zh-CN"/>
              </w:rPr>
              <w:t>王鹏</w:t>
            </w:r>
          </w:p>
        </w:tc>
        <w:tc>
          <w:tcPr>
            <w:tcW w:w="203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联系方式</w:t>
            </w:r>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default" w:ascii="Times New Roman" w:hAnsi="Times New Roman" w:eastAsia="宋体" w:cs="Times New Roman"/>
                <w:sz w:val="24"/>
                <w:u w:val="none"/>
                <w:lang w:val="en-US" w:eastAsia="zh-CN"/>
              </w:rPr>
              <w:t>13873465945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建设地点</w:t>
            </w:r>
          </w:p>
        </w:tc>
        <w:tc>
          <w:tcPr>
            <w:tcW w:w="6991" w:type="dxa"/>
            <w:gridSpan w:val="3"/>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ascii="宋体" w:hAnsi="宋体" w:cs="宋体"/>
                <w:sz w:val="24"/>
              </w:rPr>
            </w:pPr>
            <w:r>
              <w:rPr>
                <w:rFonts w:hint="default" w:ascii="Times New Roman" w:hAnsi="Times New Roman" w:eastAsia="宋体" w:cs="Times New Roman"/>
                <w:sz w:val="24"/>
                <w:u w:val="none"/>
                <w:lang w:eastAsia="zh-CN"/>
              </w:rPr>
              <w:t>湖南省衡阳市祁东县归阳镇工业园10号厂房一楼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地理坐标</w:t>
            </w:r>
          </w:p>
        </w:tc>
        <w:tc>
          <w:tcPr>
            <w:tcW w:w="6991" w:type="dxa"/>
            <w:gridSpan w:val="3"/>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ascii="宋体" w:hAnsi="宋体" w:cs="宋体"/>
                <w:sz w:val="24"/>
              </w:rPr>
            </w:pPr>
            <w:r>
              <w:rPr>
                <w:rFonts w:hint="eastAsia" w:ascii="Times New Roman" w:hAnsi="Times New Roman" w:eastAsia="宋体" w:cs="Times New Roman"/>
                <w:sz w:val="24"/>
                <w:u w:val="none"/>
                <w:lang w:eastAsia="zh-CN"/>
              </w:rPr>
              <w:t>（</w:t>
            </w:r>
            <w:r>
              <w:rPr>
                <w:rFonts w:hint="eastAsia" w:ascii="Times New Roman" w:hAnsi="Times New Roman" w:eastAsia="宋体" w:cs="Times New Roman"/>
                <w:sz w:val="24"/>
                <w:u w:val="none"/>
                <w:lang w:val="en-US" w:eastAsia="zh-CN"/>
              </w:rPr>
              <w:t>经度112°12′3.83838″，纬度</w:t>
            </w:r>
            <w:r>
              <w:rPr>
                <w:rFonts w:hint="eastAsia" w:ascii="Times New Roman" w:hAnsi="Times New Roman" w:eastAsia="宋体" w:cs="Times New Roman"/>
                <w:sz w:val="24"/>
                <w:u w:val="none"/>
                <w:lang w:eastAsia="zh-CN"/>
              </w:rPr>
              <w:t>26°33′34.48399″）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国民经济</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行业类别</w:t>
            </w:r>
          </w:p>
        </w:tc>
        <w:tc>
          <w:tcPr>
            <w:tcW w:w="155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ascii="宋体" w:hAnsi="宋体" w:cs="宋体"/>
                <w:sz w:val="24"/>
              </w:rPr>
            </w:pPr>
            <w:r>
              <w:rPr>
                <w:rFonts w:hint="eastAsia" w:ascii="Times New Roman" w:hAnsi="Times New Roman"/>
                <w:sz w:val="24"/>
              </w:rPr>
              <w:t>N7724危险废物治理</w:t>
            </w:r>
          </w:p>
        </w:tc>
        <w:tc>
          <w:tcPr>
            <w:tcW w:w="203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bookmarkStart w:id="1" w:name="_Hlk49843745"/>
            <w:r>
              <w:rPr>
                <w:rFonts w:hint="eastAsia" w:ascii="宋体" w:hAnsi="宋体" w:cs="宋体"/>
                <w:sz w:val="24"/>
              </w:rPr>
              <w:t>建设项目</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行业类别</w:t>
            </w:r>
            <w:bookmarkEnd w:id="1"/>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hint="eastAsia" w:ascii="宋体" w:hAnsi="宋体" w:cs="宋体"/>
                <w:sz w:val="24"/>
              </w:rPr>
            </w:pPr>
            <w:r>
              <w:rPr>
                <w:rFonts w:hint="eastAsia" w:ascii="Times New Roman" w:hAnsi="Times New Roman"/>
                <w:sz w:val="24"/>
              </w:rPr>
              <w:t>四十七、生态保护和环境治理业-</w:t>
            </w:r>
            <w:r>
              <w:rPr>
                <w:rFonts w:ascii="Times New Roman" w:hAnsi="Times New Roman"/>
                <w:sz w:val="24"/>
              </w:rPr>
              <w:t>101</w:t>
            </w:r>
            <w:r>
              <w:rPr>
                <w:rFonts w:hint="eastAsia" w:ascii="Times New Roman" w:hAnsi="Times New Roman"/>
                <w:sz w:val="24"/>
              </w:rPr>
              <w:t>危险废物（不含医疗废物）利用及处置-其他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建设性质</w:t>
            </w:r>
          </w:p>
        </w:tc>
        <w:tc>
          <w:tcPr>
            <w:tcW w:w="1552" w:type="dxa"/>
            <w:vAlign w:val="center"/>
          </w:tcPr>
          <w:p>
            <w:pPr>
              <w:keepNext w:val="0"/>
              <w:keepLines w:val="0"/>
              <w:pageBreakBefore w:val="0"/>
              <w:kinsoku/>
              <w:wordWrap/>
              <w:overflowPunct/>
              <w:topLinePunct w:val="0"/>
              <w:bidi w:val="0"/>
              <w:spacing w:beforeAutospacing="0" w:afterAutospacing="0" w:line="360" w:lineRule="auto"/>
              <w:ind w:left="0" w:leftChars="0"/>
              <w:rPr>
                <w:szCs w:val="21"/>
              </w:rPr>
            </w:pPr>
            <w:r>
              <w:rPr>
                <w:rFonts w:ascii="Wingdings" w:hAnsi="Wingdings"/>
                <w:sz w:val="24"/>
              </w:rPr>
              <w:t>þ</w:t>
            </w:r>
            <w:r>
              <w:rPr>
                <w:rFonts w:hint="eastAsia" w:ascii="宋体" w:hAnsi="宋体" w:cs="宋体"/>
                <w:sz w:val="24"/>
              </w:rPr>
              <w:t>新建（迁建）</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□改建</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□扩建</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□技术改造</w:t>
            </w:r>
          </w:p>
        </w:tc>
        <w:tc>
          <w:tcPr>
            <w:tcW w:w="203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建设项目</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申报情形</w:t>
            </w:r>
          </w:p>
        </w:tc>
        <w:tc>
          <w:tcPr>
            <w:tcW w:w="3406" w:type="dxa"/>
            <w:vAlign w:val="center"/>
          </w:tcPr>
          <w:p>
            <w:pPr>
              <w:keepNext w:val="0"/>
              <w:keepLines w:val="0"/>
              <w:pageBreakBefore w:val="0"/>
              <w:kinsoku/>
              <w:wordWrap/>
              <w:overflowPunct/>
              <w:topLinePunct w:val="0"/>
              <w:bidi w:val="0"/>
              <w:spacing w:beforeAutospacing="0" w:afterAutospacing="0" w:line="360" w:lineRule="auto"/>
              <w:ind w:left="0" w:leftChars="0"/>
              <w:rPr>
                <w:szCs w:val="21"/>
              </w:rPr>
            </w:pPr>
            <w:r>
              <w:rPr>
                <w:rFonts w:ascii="Wingdings" w:hAnsi="Wingdings"/>
                <w:sz w:val="24"/>
              </w:rPr>
              <w:t>þ</w:t>
            </w:r>
            <w:r>
              <w:rPr>
                <w:rFonts w:hint="eastAsia" w:ascii="宋体" w:hAnsi="宋体" w:cs="宋体"/>
                <w:sz w:val="24"/>
              </w:rPr>
              <w:t>首次申报项目</w:t>
            </w:r>
            <w:r>
              <w:rPr>
                <w:rFonts w:ascii="宋体" w:hAnsi="宋体" w:cs="宋体"/>
                <w:sz w:val="24"/>
              </w:rPr>
              <w:t xml:space="preserve">             </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□不予批准后再次申报项目</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□超五年重新审核项目</w:t>
            </w:r>
            <w:r>
              <w:rPr>
                <w:rFonts w:ascii="宋体" w:hAnsi="宋体" w:cs="宋体"/>
                <w:sz w:val="24"/>
              </w:rPr>
              <w:t xml:space="preserve">     </w:t>
            </w:r>
          </w:p>
          <w:p>
            <w:pPr>
              <w:keepNext w:val="0"/>
              <w:keepLines w:val="0"/>
              <w:pageBreakBefore w:val="0"/>
              <w:kinsoku/>
              <w:wordWrap/>
              <w:overflowPunct/>
              <w:topLinePunct w:val="0"/>
              <w:bidi w:val="0"/>
              <w:spacing w:beforeAutospacing="0" w:afterAutospacing="0" w:line="360" w:lineRule="auto"/>
              <w:ind w:left="0" w:leftChars="0"/>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备案）部门（选填）</w:t>
            </w:r>
          </w:p>
        </w:tc>
        <w:tc>
          <w:tcPr>
            <w:tcW w:w="155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lang w:val="en-US" w:eastAsia="zh-CN"/>
              </w:rPr>
              <w:t>祁东县发展和改革局</w:t>
            </w:r>
          </w:p>
        </w:tc>
        <w:tc>
          <w:tcPr>
            <w:tcW w:w="203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备案）文号（选填）</w:t>
            </w:r>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cs="宋体"/>
                <w:sz w:val="24"/>
                <w:lang w:val="en-US"/>
              </w:rPr>
            </w:pPr>
            <w:r>
              <w:rPr>
                <w:rFonts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总投资（万元）</w:t>
            </w:r>
          </w:p>
        </w:tc>
        <w:tc>
          <w:tcPr>
            <w:tcW w:w="155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lang w:val="en-US" w:eastAsia="zh-CN"/>
              </w:rPr>
              <w:t>5</w:t>
            </w:r>
            <w:r>
              <w:rPr>
                <w:rFonts w:ascii="宋体" w:hAnsi="宋体" w:cs="宋体"/>
                <w:sz w:val="24"/>
              </w:rPr>
              <w:t>00</w:t>
            </w:r>
          </w:p>
        </w:tc>
        <w:tc>
          <w:tcPr>
            <w:tcW w:w="20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环保投资（万元）</w:t>
            </w:r>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lang w:val="en-US" w:eastAsia="zh-CN"/>
              </w:rPr>
              <w:t>69.4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155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lang w:val="en-US" w:eastAsia="zh-CN"/>
              </w:rPr>
              <w:t>13.9</w:t>
            </w:r>
          </w:p>
        </w:tc>
        <w:tc>
          <w:tcPr>
            <w:tcW w:w="20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施工工期</w:t>
            </w:r>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是否开工建设</w:t>
            </w:r>
          </w:p>
        </w:tc>
        <w:tc>
          <w:tcPr>
            <w:tcW w:w="1552" w:type="dxa"/>
            <w:vAlign w:val="center"/>
          </w:tcPr>
          <w:p>
            <w:pPr>
              <w:keepNext w:val="0"/>
              <w:keepLines w:val="0"/>
              <w:pageBreakBefore w:val="0"/>
              <w:kinsoku/>
              <w:wordWrap/>
              <w:overflowPunct/>
              <w:topLinePunct w:val="0"/>
              <w:bidi w:val="0"/>
              <w:spacing w:beforeAutospacing="0" w:afterAutospacing="0" w:line="360" w:lineRule="auto"/>
              <w:ind w:left="0" w:leftChars="0"/>
              <w:rPr>
                <w:szCs w:val="21"/>
              </w:rPr>
            </w:pPr>
            <w:r>
              <w:rPr>
                <w:rFonts w:ascii="Wingdings" w:hAnsi="Wingdings"/>
                <w:sz w:val="24"/>
              </w:rPr>
              <w:t>þ</w:t>
            </w:r>
            <w:r>
              <w:rPr>
                <w:rFonts w:hint="eastAsia" w:ascii="宋体" w:hAnsi="宋体" w:cs="宋体"/>
                <w:sz w:val="24"/>
              </w:rPr>
              <w:t>否</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 w:val="24"/>
              </w:rPr>
            </w:pPr>
            <w:r>
              <w:rPr>
                <w:rFonts w:hint="eastAsia" w:ascii="宋体" w:hAnsi="宋体" w:cs="宋体"/>
                <w:sz w:val="24"/>
              </w:rPr>
              <w:sym w:font="Wingdings 2" w:char="00A3"/>
            </w:r>
            <w:r>
              <w:rPr>
                <w:rFonts w:hint="eastAsia" w:ascii="宋体" w:hAnsi="宋体" w:cs="宋体"/>
                <w:sz w:val="24"/>
              </w:rPr>
              <w:t>是：</w:t>
            </w:r>
            <w:r>
              <w:rPr>
                <w:rFonts w:hint="eastAsia" w:ascii="宋体" w:hAnsi="宋体" w:cs="宋体"/>
                <w:sz w:val="24"/>
                <w:u w:val="single"/>
              </w:rPr>
              <w:t xml:space="preserve">             </w:t>
            </w:r>
          </w:p>
        </w:tc>
        <w:tc>
          <w:tcPr>
            <w:tcW w:w="2033" w:type="dxa"/>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pacing w:val="-6"/>
                <w:sz w:val="24"/>
              </w:rPr>
            </w:pPr>
            <w:r>
              <w:rPr>
                <w:rFonts w:hint="eastAsia" w:ascii="宋体" w:hAnsi="宋体" w:cs="宋体"/>
                <w:spacing w:val="-6"/>
                <w:sz w:val="24"/>
              </w:rPr>
              <w:t>用地（用海）</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pacing w:val="-6"/>
                <w:sz w:val="24"/>
              </w:rPr>
              <w:t>面积（</w:t>
            </w:r>
            <w:r>
              <w:rPr>
                <w:rFonts w:ascii="宋体" w:hAnsi="宋体" w:cs="宋体"/>
                <w:spacing w:val="-6"/>
                <w:sz w:val="24"/>
              </w:rPr>
              <w:t>m</w:t>
            </w:r>
            <w:r>
              <w:rPr>
                <w:rFonts w:ascii="宋体" w:hAnsi="宋体" w:cs="宋体"/>
                <w:spacing w:val="-6"/>
                <w:sz w:val="24"/>
                <w:vertAlign w:val="superscript"/>
              </w:rPr>
              <w:t>2</w:t>
            </w:r>
            <w:r>
              <w:rPr>
                <w:rFonts w:hint="eastAsia" w:ascii="宋体" w:hAnsi="宋体" w:cs="宋体"/>
                <w:spacing w:val="-6"/>
                <w:sz w:val="24"/>
              </w:rPr>
              <w:t>）</w:t>
            </w:r>
          </w:p>
        </w:tc>
        <w:tc>
          <w:tcPr>
            <w:tcW w:w="340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 w:val="24"/>
                <w:lang w:val="en-US" w:eastAsia="zh-CN"/>
              </w:rPr>
            </w:pPr>
            <w:r>
              <w:rPr>
                <w:rFonts w:hint="eastAsia" w:ascii="宋体" w:hAnsi="宋体" w:cs="宋体"/>
                <w:sz w:val="24"/>
                <w:highlight w:val="none"/>
                <w:lang w:val="en-US" w:eastAsia="zh-CN"/>
              </w:rPr>
              <w:t>1242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3" w:type="dxa"/>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专项评价设置情况</w:t>
            </w:r>
          </w:p>
        </w:tc>
        <w:tc>
          <w:tcPr>
            <w:tcW w:w="6991" w:type="dxa"/>
            <w:gridSpan w:val="3"/>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3" w:type="dxa"/>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sz w:val="24"/>
              </w:rPr>
              <w:t>规划情况</w:t>
            </w:r>
          </w:p>
        </w:tc>
        <w:tc>
          <w:tcPr>
            <w:tcW w:w="6991" w:type="dxa"/>
            <w:gridSpan w:val="3"/>
            <w:vAlign w:val="center"/>
          </w:tcPr>
          <w:p>
            <w:pPr>
              <w:pStyle w:val="2"/>
              <w:keepNext w:val="0"/>
              <w:keepLines w:val="0"/>
              <w:pageBreakBefore w:val="0"/>
              <w:kinsoku/>
              <w:wordWrap/>
              <w:overflowPunct/>
              <w:topLinePunct w:val="0"/>
              <w:bidi w:val="0"/>
              <w:spacing w:beforeAutospacing="0" w:afterAutospacing="0" w:line="360" w:lineRule="auto"/>
              <w:ind w:left="0" w:leftChars="0"/>
            </w:pPr>
            <w:r>
              <w:rPr>
                <w:rFonts w:hint="default" w:ascii="Times New Roman" w:hAnsi="Times New Roman" w:eastAsia="宋体" w:cs="Times New Roman"/>
                <w:kern w:val="0"/>
                <w:szCs w:val="21"/>
                <w:u w:val="none"/>
                <w:lang w:val="en-US" w:eastAsia="zh-CN"/>
              </w:rPr>
              <w:t>《祁东经济园区归阳工业园总体规划（2012-2020年）》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 w:val="24"/>
              </w:rPr>
            </w:pPr>
            <w:r>
              <w:rPr>
                <w:rFonts w:hint="eastAsia" w:ascii="宋体" w:hAnsi="宋体" w:cs="宋体"/>
                <w:sz w:val="24"/>
              </w:rPr>
              <w:t>规划环境影响</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sz w:val="24"/>
              </w:rPr>
              <w:t>评价情况</w:t>
            </w:r>
          </w:p>
        </w:tc>
        <w:tc>
          <w:tcPr>
            <w:tcW w:w="6991"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textAlignment w:val="auto"/>
              <w:rPr>
                <w:rFonts w:hint="eastAsia"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《祁东经济开发区归阳工业园环境影响报告书》</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湖南省环境保护厅</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关于祁东经济开发区归阳工业园环境影响报告书的批复的函</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湘环评函</w:t>
            </w:r>
            <w:r>
              <w:rPr>
                <w:rFonts w:hint="default" w:ascii="Times New Roman" w:hAnsi="Times New Roman" w:eastAsia="宋体" w:cs="Times New Roman"/>
                <w:color w:val="auto"/>
                <w:kern w:val="0"/>
                <w:sz w:val="24"/>
                <w:szCs w:val="24"/>
              </w:rPr>
              <w:t>[20</w:t>
            </w:r>
            <w:r>
              <w:rPr>
                <w:rFonts w:hint="eastAsia" w:ascii="Times New Roman" w:hAnsi="Times New Roman" w:eastAsia="宋体" w:cs="Times New Roman"/>
                <w:color w:val="auto"/>
                <w:kern w:val="0"/>
                <w:sz w:val="24"/>
                <w:szCs w:val="24"/>
                <w:lang w:val="en-US" w:eastAsia="zh-CN"/>
              </w:rPr>
              <w:t>14</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89</w:t>
            </w:r>
            <w:r>
              <w:rPr>
                <w:rFonts w:hint="default" w:ascii="Times New Roman" w:hAnsi="Times New Roman" w:eastAsia="宋体" w:cs="Times New Roman"/>
                <w:color w:val="auto"/>
                <w:kern w:val="0"/>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3" w:type="dxa"/>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规划及规划环境影响评价符合性分析</w:t>
            </w:r>
          </w:p>
        </w:tc>
        <w:tc>
          <w:tcPr>
            <w:tcW w:w="6991" w:type="dxa"/>
            <w:gridSpan w:val="3"/>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rFonts w:hint="eastAsia"/>
                <w:b/>
                <w:kern w:val="0"/>
                <w:sz w:val="24"/>
              </w:rPr>
              <w:t>1、与</w:t>
            </w:r>
            <w:r>
              <w:rPr>
                <w:rFonts w:hint="eastAsia" w:ascii="Times New Roman" w:hAnsi="Times New Roman" w:eastAsia="宋体" w:cs="Times New Roman"/>
                <w:b/>
                <w:kern w:val="0"/>
                <w:sz w:val="24"/>
              </w:rPr>
              <w:t>祁东经济开发区归阳工业园规划符合性分析</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祁东经济开发区归阳工业园规划面积为2.4平方公里</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园区产业定位为工业园重点发展机械制造（汽车及工程零部件、农产品精深加工机械）、电子信息（电子元器件、新能源电池）、食品加工（农副产业）等产业。以引进外资技术和劳动密集型的一、二类工业为主。根据园区的产业定位，确定园区的企业引进的准入行业、条件见下表</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w:t>
            </w:r>
          </w:p>
          <w:p>
            <w:pPr>
              <w:pStyle w:val="92"/>
              <w:keepNext w:val="0"/>
              <w:keepLines w:val="0"/>
              <w:pageBreakBefore w:val="0"/>
              <w:kinsoku/>
              <w:wordWrap/>
              <w:overflowPunct/>
              <w:topLinePunct w:val="0"/>
              <w:bidi w:val="0"/>
              <w:spacing w:beforeAutospacing="0" w:afterAutospacing="0" w:line="360" w:lineRule="auto"/>
              <w:ind w:left="0" w:leftChars="0"/>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表1  企业准入条件一览表</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5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634"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类型</w:t>
                  </w: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行业类别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restar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鼓励类</w:t>
                  </w: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食品加工：充分依托当地的农产品资源优势，突出发展符合国家产业政策的粮油、畜禽、林草、果蔬等优势农产品深加工企业。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pct"/>
                  <w:vMerge w:val="continue"/>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ascii="宋体" w:hAnsi="宋体" w:eastAsia="宋体" w:cs="宋体"/>
                      <w:kern w:val="2"/>
                      <w:sz w:val="24"/>
                      <w:szCs w:val="24"/>
                      <w:lang w:val="en-US" w:eastAsia="zh-CN" w:bidi="ar-SA"/>
                    </w:rPr>
                  </w:pP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机械制造：农产品精深加工机械和包装机械、汽车和工业机械零部件及机电一体化产品、控机机床及专用数控设备、环保机械设备等制造企业。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ascii="宋体" w:hAnsi="宋体" w:eastAsia="宋体" w:cs="宋体"/>
                      <w:kern w:val="2"/>
                      <w:sz w:val="24"/>
                      <w:szCs w:val="24"/>
                      <w:lang w:val="en-US" w:eastAsia="zh-CN" w:bidi="ar-SA"/>
                    </w:rPr>
                  </w:pP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电子信息：高性能、智能化仪器仪表、工业控制系统、先进制造系统各类应用软件及平台建设等企业。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vMerge w:val="continue"/>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ascii="宋体" w:hAnsi="宋体" w:eastAsia="宋体" w:cs="宋体"/>
                      <w:kern w:val="2"/>
                      <w:sz w:val="24"/>
                      <w:szCs w:val="24"/>
                      <w:lang w:val="en-US" w:eastAsia="zh-CN" w:bidi="ar-SA"/>
                    </w:rPr>
                  </w:pP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其他：交通运输、邮电通信、供水、供电、污水处理等基础设施与环保治理项目；企业技术研发机构；环境科技咨询机构；无工业废水、工艺废气排放的环保型产业；仓储物流；外资技术和劳动密集型的一、二类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允许类</w:t>
                  </w: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与食品加工配套的食品添加剂等精细化工企业，食品包装、新型环保包装材料等生产企业。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4"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限制类</w:t>
                  </w: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气型污染重的企业，高耗能、高水耗、低效高污染以及市面上生产能力大，市场容量小的项目。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禁止类</w:t>
                  </w:r>
                </w:p>
              </w:tc>
              <w:tc>
                <w:tcPr>
                  <w:tcW w:w="4365" w:type="pct"/>
                  <w:tcBorders>
                    <w:tl2br w:val="nil"/>
                    <w:tr2bl w:val="nil"/>
                  </w:tcBorders>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不符合园区产业定位的企业进入：</w:t>
                  </w:r>
                </w:p>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产业结构调整指导目录（2011年本）》（2013年修正）中限制类和淘汰类企业；国家产业政策明令禁止的项目以及使用高、中硫煤等大量增加SO2和烟尘排放或COD排放的工业项目；不符合《湖南省湘江保护条例》的项目。</w:t>
                  </w:r>
                </w:p>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食品加工：畜禽手工屠宰、味精、饮料、发酵酿造等高耗水型企业；</w:t>
                  </w:r>
                </w:p>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机械制造：落后及淘汰设备的制造企业，涉及重金属废水排放的企业；</w:t>
                  </w:r>
                </w:p>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电子信息：落后及淘汰设备的制造企业，带电镀、磷化工艺和涉重金属废水排放的企业。</w:t>
                  </w:r>
                </w:p>
              </w:tc>
            </w:tr>
          </w:tbl>
          <w:p>
            <w:pPr>
              <w:pStyle w:val="8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textAlignment w:val="auto"/>
              <w:rPr>
                <w:rFonts w:hint="eastAsia" w:ascii="宋体" w:hAnsi="宋体" w:cs="宋体"/>
                <w:kern w:val="0"/>
                <w:sz w:val="24"/>
                <w:highlight w:val="none"/>
              </w:rPr>
            </w:pPr>
            <w:r>
              <w:rPr>
                <w:rFonts w:hint="eastAsia" w:ascii="宋体" w:hAnsi="宋体" w:cs="宋体"/>
                <w:kern w:val="0"/>
                <w:sz w:val="24"/>
                <w:highlight w:val="none"/>
              </w:rPr>
              <w:t>本项目为危险废物收集、贮存及转运项目，不属于其准入行业中的禁止类及限制类，与</w:t>
            </w:r>
            <w:r>
              <w:rPr>
                <w:rFonts w:hint="default" w:ascii="Times New Roman" w:hAnsi="Times New Roman" w:eastAsia="宋体" w:cs="Times New Roman"/>
                <w:snapToGrid w:val="0"/>
                <w:kern w:val="28"/>
                <w:u w:val="none"/>
                <w:lang w:val="en-US" w:eastAsia="zh-CN"/>
              </w:rPr>
              <w:t>《祁东经济园区归阳工业园总体规划（2012-2020年）》</w:t>
            </w:r>
            <w:r>
              <w:rPr>
                <w:rFonts w:hint="eastAsia" w:ascii="Times New Roman" w:hAnsi="Times New Roman" w:eastAsia="宋体" w:cs="Times New Roman"/>
                <w:snapToGrid w:val="0"/>
                <w:kern w:val="28"/>
                <w:u w:val="none"/>
              </w:rPr>
              <w:t>相符</w:t>
            </w:r>
            <w:r>
              <w:rPr>
                <w:rFonts w:hint="eastAsia" w:ascii="Times New Roman" w:hAnsi="Times New Roman" w:eastAsia="宋体" w:cs="Times New Roman"/>
                <w:snapToGrid w:val="0"/>
                <w:kern w:val="28"/>
                <w:u w:val="none"/>
                <w:lang w:eastAsia="zh-CN"/>
              </w:rPr>
              <w:t>，</w:t>
            </w:r>
            <w:r>
              <w:rPr>
                <w:rFonts w:hint="default" w:ascii="Times New Roman" w:hAnsi="Times New Roman" w:eastAsia="宋体" w:cs="Times New Roman"/>
                <w:snapToGrid w:val="0"/>
                <w:kern w:val="28"/>
                <w:u w:val="none"/>
              </w:rPr>
              <w:t>本项目的建设可以作为</w:t>
            </w:r>
            <w:r>
              <w:rPr>
                <w:rFonts w:hint="eastAsia" w:ascii="Times New Roman" w:hAnsi="Times New Roman" w:cs="Times New Roman"/>
                <w:snapToGrid w:val="0"/>
                <w:kern w:val="28"/>
                <w:u w:val="none"/>
                <w:lang w:val="en-US" w:eastAsia="zh-CN"/>
              </w:rPr>
              <w:t>祁东县</w:t>
            </w:r>
            <w:r>
              <w:rPr>
                <w:rFonts w:hint="default" w:ascii="Times New Roman" w:hAnsi="Times New Roman" w:eastAsia="宋体" w:cs="Times New Roman"/>
                <w:snapToGrid w:val="0"/>
                <w:kern w:val="28"/>
                <w:u w:val="none"/>
              </w:rPr>
              <w:t>一个重要的危险废物暂存</w:t>
            </w:r>
            <w:r>
              <w:rPr>
                <w:rFonts w:hint="eastAsia" w:ascii="Times New Roman" w:hAnsi="Times New Roman" w:eastAsia="宋体" w:cs="Times New Roman"/>
                <w:snapToGrid w:val="0"/>
                <w:kern w:val="28"/>
                <w:u w:val="none"/>
                <w:lang w:val="en-US" w:eastAsia="zh-CN"/>
              </w:rPr>
              <w:t>场所</w:t>
            </w:r>
            <w:r>
              <w:rPr>
                <w:rFonts w:hint="default" w:ascii="Times New Roman" w:hAnsi="Times New Roman" w:eastAsia="宋体" w:cs="Times New Roman"/>
                <w:snapToGrid w:val="0"/>
                <w:kern w:val="28"/>
                <w:u w:val="none"/>
              </w:rPr>
              <w:t>，对于危险废物管理起到促进作用。</w:t>
            </w:r>
          </w:p>
          <w:p>
            <w:pPr>
              <w:pStyle w:val="57"/>
              <w:keepNext w:val="0"/>
              <w:keepLines w:val="0"/>
              <w:pageBreakBefore w:val="0"/>
              <w:kinsoku/>
              <w:wordWrap/>
              <w:overflowPunct/>
              <w:topLinePunct w:val="0"/>
              <w:bidi w:val="0"/>
              <w:spacing w:beforeAutospacing="0" w:afterAutospacing="0" w:line="360" w:lineRule="auto"/>
              <w:ind w:left="0" w:leftChars="0"/>
              <w:rPr>
                <w:rFonts w:hint="eastAsia" w:ascii="宋体" w:hAnsi="宋体" w:cs="宋体"/>
                <w:kern w:val="0"/>
                <w:sz w:val="24"/>
                <w:highlight w:val="none"/>
              </w:rPr>
            </w:pPr>
            <w:r>
              <w:rPr>
                <w:rFonts w:hint="default" w:ascii="Times New Roman" w:hAnsi="Times New Roman" w:eastAsia="宋体" w:cs="Times New Roman"/>
                <w:snapToGrid w:val="0"/>
                <w:kern w:val="28"/>
                <w:u w:val="none"/>
              </w:rPr>
              <w:t>综上所述，项目</w:t>
            </w:r>
            <w:r>
              <w:rPr>
                <w:rFonts w:hint="eastAsia" w:ascii="Times New Roman" w:hAnsi="Times New Roman" w:cs="Times New Roman"/>
                <w:snapToGrid w:val="0"/>
                <w:kern w:val="28"/>
                <w:u w:val="none"/>
                <w:lang w:eastAsia="zh-CN"/>
              </w:rPr>
              <w:t>符合工业园入园条件，</w:t>
            </w:r>
            <w:r>
              <w:rPr>
                <w:rFonts w:hint="default" w:ascii="Times New Roman" w:hAnsi="Times New Roman" w:eastAsia="宋体" w:cs="Times New Roman"/>
                <w:snapToGrid w:val="0"/>
                <w:kern w:val="28"/>
                <w:u w:val="none"/>
              </w:rPr>
              <w:t>与</w:t>
            </w:r>
            <w:r>
              <w:rPr>
                <w:rFonts w:hint="eastAsia" w:ascii="Times New Roman" w:hAnsi="Times New Roman" w:cs="Times New Roman"/>
                <w:snapToGrid w:val="0"/>
                <w:kern w:val="28"/>
                <w:u w:val="none"/>
                <w:lang w:eastAsia="zh-CN"/>
              </w:rPr>
              <w:t>园区整体规划相符合</w:t>
            </w:r>
            <w:r>
              <w:rPr>
                <w:rFonts w:hint="default" w:ascii="Times New Roman" w:hAnsi="Times New Roman" w:eastAsia="宋体" w:cs="Times New Roman"/>
                <w:snapToGrid w:val="0"/>
                <w:kern w:val="28"/>
                <w:u w:val="none"/>
              </w:rPr>
              <w:t>。</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b/>
                <w:kern w:val="0"/>
                <w:sz w:val="24"/>
              </w:rPr>
              <w:t>2</w:t>
            </w:r>
            <w:r>
              <w:rPr>
                <w:rFonts w:hint="eastAsia"/>
                <w:b/>
                <w:kern w:val="0"/>
                <w:sz w:val="24"/>
              </w:rPr>
              <w:t>、与</w:t>
            </w:r>
            <w:r>
              <w:rPr>
                <w:rFonts w:hint="eastAsia" w:ascii="Times New Roman" w:hAnsi="Times New Roman" w:eastAsia="宋体" w:cs="Times New Roman"/>
                <w:b/>
                <w:kern w:val="0"/>
                <w:sz w:val="24"/>
              </w:rPr>
              <w:t>“</w:t>
            </w:r>
            <w:r>
              <w:rPr>
                <w:rFonts w:hint="eastAsia" w:ascii="Times New Roman" w:hAnsi="Times New Roman" w:eastAsia="宋体" w:cs="Times New Roman"/>
                <w:b/>
                <w:kern w:val="0"/>
                <w:sz w:val="24"/>
                <w:lang w:val="en-US" w:eastAsia="zh-CN"/>
              </w:rPr>
              <w:t>湘环评函</w:t>
            </w:r>
            <w:r>
              <w:rPr>
                <w:rFonts w:hint="default" w:ascii="Times New Roman" w:hAnsi="Times New Roman" w:eastAsia="宋体" w:cs="Times New Roman"/>
                <w:b/>
                <w:kern w:val="0"/>
                <w:sz w:val="24"/>
              </w:rPr>
              <w:t>[20</w:t>
            </w:r>
            <w:r>
              <w:rPr>
                <w:rFonts w:hint="eastAsia" w:ascii="Times New Roman" w:hAnsi="Times New Roman" w:eastAsia="宋体" w:cs="Times New Roman"/>
                <w:b/>
                <w:kern w:val="0"/>
                <w:sz w:val="24"/>
                <w:lang w:val="en-US" w:eastAsia="zh-CN"/>
              </w:rPr>
              <w:t>14</w:t>
            </w:r>
            <w:r>
              <w:rPr>
                <w:rFonts w:hint="default" w:ascii="Times New Roman" w:hAnsi="Times New Roman" w:eastAsia="宋体" w:cs="Times New Roman"/>
                <w:b/>
                <w:kern w:val="0"/>
                <w:sz w:val="24"/>
              </w:rPr>
              <w:t>]</w:t>
            </w:r>
            <w:r>
              <w:rPr>
                <w:rFonts w:hint="eastAsia" w:ascii="Times New Roman" w:hAnsi="Times New Roman" w:eastAsia="宋体" w:cs="Times New Roman"/>
                <w:b/>
                <w:kern w:val="0"/>
                <w:sz w:val="24"/>
                <w:lang w:val="en-US" w:eastAsia="zh-CN"/>
              </w:rPr>
              <w:t>89</w:t>
            </w:r>
            <w:r>
              <w:rPr>
                <w:rFonts w:hint="default" w:ascii="Times New Roman" w:hAnsi="Times New Roman" w:eastAsia="宋体" w:cs="Times New Roman"/>
                <w:b/>
                <w:kern w:val="0"/>
                <w:sz w:val="24"/>
              </w:rPr>
              <w:t>号</w:t>
            </w:r>
            <w:r>
              <w:rPr>
                <w:rFonts w:hint="eastAsia" w:ascii="Times New Roman" w:hAnsi="Times New Roman" w:eastAsia="宋体" w:cs="Times New Roman"/>
                <w:b/>
                <w:kern w:val="0"/>
                <w:sz w:val="24"/>
              </w:rPr>
              <w:t>”符合性分</w:t>
            </w:r>
            <w:r>
              <w:rPr>
                <w:rFonts w:hint="eastAsia"/>
                <w:b/>
                <w:kern w:val="0"/>
                <w:sz w:val="24"/>
              </w:rPr>
              <w:t>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ascii="宋体" w:hAnsi="宋体" w:cs="宋体"/>
                <w:kern w:val="0"/>
                <w:sz w:val="24"/>
              </w:rPr>
            </w:pPr>
            <w:r>
              <w:rPr>
                <w:rFonts w:hint="eastAsia" w:ascii="宋体" w:hAnsi="宋体" w:cs="宋体"/>
                <w:kern w:val="0"/>
                <w:sz w:val="24"/>
              </w:rPr>
              <w:t>根据</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关于祁东经济开发区归阳工业园环境影响报告书的批复的函</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湘环评函</w:t>
            </w:r>
            <w:r>
              <w:rPr>
                <w:rFonts w:hint="default" w:ascii="Times New Roman" w:hAnsi="Times New Roman" w:eastAsia="宋体" w:cs="Times New Roman"/>
                <w:color w:val="auto"/>
                <w:kern w:val="0"/>
                <w:sz w:val="24"/>
                <w:szCs w:val="24"/>
              </w:rPr>
              <w:t>[20</w:t>
            </w:r>
            <w:r>
              <w:rPr>
                <w:rFonts w:hint="eastAsia" w:ascii="Times New Roman" w:hAnsi="Times New Roman" w:eastAsia="宋体" w:cs="Times New Roman"/>
                <w:color w:val="auto"/>
                <w:kern w:val="0"/>
                <w:sz w:val="24"/>
                <w:szCs w:val="24"/>
                <w:lang w:val="en-US" w:eastAsia="zh-CN"/>
              </w:rPr>
              <w:t>14</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89</w:t>
            </w:r>
            <w:r>
              <w:rPr>
                <w:rFonts w:hint="default" w:ascii="Times New Roman" w:hAnsi="Times New Roman" w:eastAsia="宋体" w:cs="Times New Roman"/>
                <w:color w:val="auto"/>
                <w:kern w:val="0"/>
                <w:sz w:val="24"/>
                <w:szCs w:val="24"/>
              </w:rPr>
              <w:t>号）</w:t>
            </w:r>
            <w:r>
              <w:rPr>
                <w:rFonts w:hint="eastAsia" w:ascii="宋体" w:hAnsi="宋体" w:cs="宋体"/>
                <w:kern w:val="0"/>
                <w:sz w:val="24"/>
              </w:rPr>
              <w:t>可知，本项目与规划相符，具体符合性分析详见下表。</w:t>
            </w: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2"/>
              <w:rPr>
                <w:rFonts w:hint="eastAsia" w:ascii="宋体" w:hAnsi="宋体" w:cs="宋体"/>
                <w:kern w:val="0"/>
                <w:sz w:val="24"/>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r>
              <w:rPr>
                <w:rFonts w:hint="eastAsia"/>
                <w:sz w:val="21"/>
              </w:rPr>
              <w:t>表</w:t>
            </w:r>
            <w:r>
              <w:rPr>
                <w:rFonts w:hint="eastAsia"/>
                <w:sz w:val="21"/>
                <w:lang w:val="en-US" w:eastAsia="zh-CN"/>
              </w:rPr>
              <w:t>2</w:t>
            </w:r>
            <w:r>
              <w:rPr>
                <w:sz w:val="21"/>
              </w:rPr>
              <w:t xml:space="preserve"> </w:t>
            </w:r>
            <w:r>
              <w:rPr>
                <w:rFonts w:hint="eastAsia"/>
                <w:sz w:val="21"/>
              </w:rPr>
              <w:t xml:space="preserve"> 与</w:t>
            </w:r>
            <w:r>
              <w:rPr>
                <w:rFonts w:hint="eastAsia" w:ascii="Times New Roman" w:hAnsi="Times New Roman" w:cs="Times New Roman"/>
                <w:sz w:val="21"/>
              </w:rPr>
              <w:t>“</w:t>
            </w:r>
            <w:r>
              <w:rPr>
                <w:rFonts w:hint="eastAsia" w:ascii="Times New Roman" w:hAnsi="Times New Roman" w:cs="Times New Roman"/>
                <w:sz w:val="21"/>
                <w:lang w:val="en-US" w:eastAsia="zh-CN"/>
              </w:rPr>
              <w:t>湘环评函</w:t>
            </w:r>
            <w:r>
              <w:rPr>
                <w:rFonts w:hint="default" w:ascii="Times New Roman" w:hAnsi="Times New Roman" w:cs="Times New Roman"/>
                <w:sz w:val="21"/>
              </w:rPr>
              <w:t>[20</w:t>
            </w:r>
            <w:r>
              <w:rPr>
                <w:rFonts w:hint="eastAsia" w:ascii="Times New Roman" w:hAnsi="Times New Roman" w:cs="Times New Roman"/>
                <w:sz w:val="21"/>
                <w:lang w:val="en-US" w:eastAsia="zh-CN"/>
              </w:rPr>
              <w:t>14</w:t>
            </w:r>
            <w:r>
              <w:rPr>
                <w:rFonts w:hint="default" w:ascii="Times New Roman" w:hAnsi="Times New Roman" w:cs="Times New Roman"/>
                <w:sz w:val="21"/>
              </w:rPr>
              <w:t>]</w:t>
            </w:r>
            <w:r>
              <w:rPr>
                <w:rFonts w:hint="eastAsia" w:ascii="Times New Roman" w:hAnsi="Times New Roman" w:cs="Times New Roman"/>
                <w:sz w:val="21"/>
                <w:lang w:val="en-US" w:eastAsia="zh-CN"/>
              </w:rPr>
              <w:t>89</w:t>
            </w:r>
            <w:r>
              <w:rPr>
                <w:rFonts w:hint="default" w:ascii="Times New Roman" w:hAnsi="Times New Roman" w:cs="Times New Roman"/>
                <w:sz w:val="21"/>
              </w:rPr>
              <w:t>号</w:t>
            </w:r>
            <w:r>
              <w:rPr>
                <w:rFonts w:hint="eastAsia" w:ascii="Times New Roman" w:hAnsi="Times New Roman" w:cs="Times New Roman"/>
                <w:sz w:val="21"/>
              </w:rPr>
              <w:t>”</w:t>
            </w:r>
            <w:r>
              <w:rPr>
                <w:rFonts w:hint="eastAsia"/>
                <w:sz w:val="21"/>
              </w:rPr>
              <w:t>符合性分析</w:t>
            </w:r>
          </w:p>
          <w:tbl>
            <w:tblPr>
              <w:tblStyle w:val="22"/>
              <w:tblW w:w="6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535"/>
              <w:gridCol w:w="1934"/>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blHeader/>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jc w:val="center"/>
                    <w:rPr>
                      <w:b/>
                      <w:bCs/>
                      <w:highlight w:val="none"/>
                    </w:rPr>
                  </w:pPr>
                  <w:r>
                    <w:rPr>
                      <w:b/>
                      <w:bCs/>
                      <w:highlight w:val="none"/>
                    </w:rPr>
                    <w:t>序号</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jc w:val="center"/>
                    <w:rPr>
                      <w:b/>
                      <w:bCs/>
                      <w:highlight w:val="none"/>
                    </w:rPr>
                  </w:pPr>
                  <w:r>
                    <w:rPr>
                      <w:rFonts w:hint="eastAsia"/>
                      <w:b/>
                      <w:bCs/>
                      <w:szCs w:val="21"/>
                    </w:rPr>
                    <w:t>批复要求</w:t>
                  </w:r>
                </w:p>
              </w:tc>
              <w:tc>
                <w:tcPr>
                  <w:tcW w:w="1934" w:type="dxa"/>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right="0" w:rightChars="0" w:firstLine="201" w:firstLineChars="100"/>
                    <w:jc w:val="center"/>
                    <w:rPr>
                      <w:b/>
                      <w:bCs/>
                      <w:highlight w:val="none"/>
                      <w:u w:val="single"/>
                    </w:rPr>
                  </w:pPr>
                  <w:r>
                    <w:rPr>
                      <w:rFonts w:hint="eastAsia"/>
                      <w:b/>
                      <w:bCs/>
                      <w:szCs w:val="21"/>
                    </w:rPr>
                    <w:t>本项目情况</w:t>
                  </w:r>
                </w:p>
              </w:tc>
              <w:tc>
                <w:tcPr>
                  <w:tcW w:w="672" w:type="dxa"/>
                  <w:noWrap w:val="0"/>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right="0" w:rightChars="0" w:firstLine="0" w:firstLineChars="0"/>
                    <w:jc w:val="center"/>
                    <w:rPr>
                      <w:b/>
                      <w:bCs/>
                      <w:highlight w:val="none"/>
                      <w:u w:val="single"/>
                    </w:rPr>
                  </w:pPr>
                  <w:r>
                    <w:rPr>
                      <w:rFonts w:hint="eastAsia"/>
                      <w:b/>
                      <w:bCs/>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7"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00"/>
                      <w:highlight w:val="none"/>
                    </w:rPr>
                  </w:pPr>
                  <w:r>
                    <w:rPr>
                      <w:color w:val="000000"/>
                      <w:highlight w:val="none"/>
                    </w:rPr>
                    <w:t>1</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进一步优化规划布局，园区内各功能区相对集中布置，严格按照功能区划进行有序开发建设，处理好园区内部各功能组团及园区与周边工业、生活、配套服务等各功能组团间的关系，充分利用自然地形和绿化隔离带使各功能区隔离，确保功能区划明确、产业相对集中、生态环境优良，减轻功能区相互干扰影响。按报告书要求严格控制在规划道路两侧新建对噪声敏感的建设物，在园区西部靠近生活安置区和归阳镇部分，禁止布置气型污染企业；园区三类工业用地仅为现有顺隆能源有限公司用地，不再新增设三类工业用地指标。</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本项目租赁工业园厂房进行生产，厂界噪声满足《声环境质量标准》（GB3096-2008）3类标准，对周边环境影响小，且符合园区空间功能布局。</w:t>
                  </w:r>
                </w:p>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p>
              </w:tc>
              <w:tc>
                <w:tcPr>
                  <w:tcW w:w="672"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53"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00"/>
                      <w:highlight w:val="none"/>
                    </w:rPr>
                  </w:pPr>
                  <w:r>
                    <w:rPr>
                      <w:color w:val="000000"/>
                      <w:highlight w:val="none"/>
                    </w:rPr>
                    <w:t>2</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严格执行园区企业准入制度，入园项目选址必须符合湖南省湘江保护条例、园区总体发展规划、用地规划、环保规划及总体产业定位要求，不得引进国家明令淘汰和禁止发展的能耗物耗高、环境污染严重、不符合产业政策的建设项目，严格限制气型污染物企业进入，禁止涉重金属企业入驻。管委会和地方环保行政主管部门必须按照报告书提出的园区企业准入条件一览表做好项目的招商把关，在入园项目前期和建设期，必须严格执行建设项目环境影响评价和“三同时”管理制度，推行清洁生产工艺，确保排污浓度、总量满足达标排放和总量控制要求；加强对规划区内企业的环境监管，确保防污设施正常运营，达标排放，总体满足产业定位和地方环保管理要求。</w:t>
                  </w:r>
                </w:p>
              </w:tc>
              <w:tc>
                <w:tcPr>
                  <w:tcW w:w="1934"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本项目为危险废物收集、贮存及转运项目，不属于其准入行业中的禁止类及限制类，</w:t>
                  </w:r>
                  <w:r>
                    <w:rPr>
                      <w:rFonts w:hint="default" w:ascii="宋体" w:hAnsi="宋体" w:eastAsia="宋体" w:cs="宋体"/>
                      <w:b w:val="0"/>
                      <w:kern w:val="2"/>
                      <w:sz w:val="24"/>
                      <w:szCs w:val="24"/>
                      <w:lang w:val="en-US" w:eastAsia="zh-CN" w:bidi="ar-SA"/>
                    </w:rPr>
                    <w:t>本项目的建设可以作为</w:t>
                  </w:r>
                  <w:r>
                    <w:rPr>
                      <w:rFonts w:hint="eastAsia" w:ascii="宋体" w:hAnsi="宋体" w:eastAsia="宋体" w:cs="宋体"/>
                      <w:b w:val="0"/>
                      <w:kern w:val="2"/>
                      <w:sz w:val="24"/>
                      <w:szCs w:val="24"/>
                      <w:lang w:val="en-US" w:eastAsia="zh-CN" w:bidi="ar-SA"/>
                    </w:rPr>
                    <w:t>祁东县</w:t>
                  </w:r>
                  <w:r>
                    <w:rPr>
                      <w:rFonts w:hint="default" w:ascii="宋体" w:hAnsi="宋体" w:eastAsia="宋体" w:cs="宋体"/>
                      <w:b w:val="0"/>
                      <w:kern w:val="2"/>
                      <w:sz w:val="24"/>
                      <w:szCs w:val="24"/>
                      <w:lang w:val="en-US" w:eastAsia="zh-CN" w:bidi="ar-SA"/>
                    </w:rPr>
                    <w:t>一个重要的危险废物暂存</w:t>
                  </w:r>
                  <w:r>
                    <w:rPr>
                      <w:rFonts w:hint="eastAsia" w:ascii="宋体" w:hAnsi="宋体" w:eastAsia="宋体" w:cs="宋体"/>
                      <w:b w:val="0"/>
                      <w:kern w:val="2"/>
                      <w:sz w:val="24"/>
                      <w:szCs w:val="24"/>
                      <w:lang w:val="en-US" w:eastAsia="zh-CN" w:bidi="ar-SA"/>
                    </w:rPr>
                    <w:t>场所</w:t>
                  </w:r>
                  <w:r>
                    <w:rPr>
                      <w:rFonts w:hint="default" w:ascii="宋体" w:hAnsi="宋体" w:eastAsia="宋体" w:cs="宋体"/>
                      <w:b w:val="0"/>
                      <w:kern w:val="2"/>
                      <w:sz w:val="24"/>
                      <w:szCs w:val="24"/>
                      <w:lang w:val="en-US" w:eastAsia="zh-CN" w:bidi="ar-SA"/>
                    </w:rPr>
                    <w:t>，对于危险废物管理起到促进作用。</w:t>
                  </w:r>
                </w:p>
              </w:tc>
              <w:tc>
                <w:tcPr>
                  <w:tcW w:w="672"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1"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FF"/>
                      <w:highlight w:val="none"/>
                    </w:rPr>
                  </w:pPr>
                  <w:r>
                    <w:rPr>
                      <w:highlight w:val="none"/>
                    </w:rPr>
                    <w:t>3</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落实园区谁污染控制措施。园区排水实施雨污分流，加快归阳污水处理厂、排水管网等配套基础设施建设，截污、排污管网必须与路网建设、区域开发、项目引进同步进行，保障园区污废水实现统一处理。归阳污水处理厂建设兼顾归阳镇镇区污水处理要求，尾水排放执行《城镇污水处理厂污染物排放标准》（GB18918-2002）中的一级B标准，经专用管网排入湘江。园区污水厂建成投产运营前，现有企业废水应经自行处理满足《污水综合排放标准》(GB8978-1996)中的一级标准方可外排，并限制新引进水型污染企业。</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jc w:val="both"/>
                    <w:rPr>
                      <w:rFonts w:hint="default" w:ascii="宋体" w:hAnsi="宋体" w:eastAsia="宋体" w:cs="宋体"/>
                      <w:b w:val="0"/>
                      <w:kern w:val="2"/>
                      <w:sz w:val="24"/>
                      <w:szCs w:val="24"/>
                      <w:lang w:val="en-US" w:eastAsia="zh-CN" w:bidi="ar-SA"/>
                    </w:rPr>
                  </w:pPr>
                </w:p>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本项目雨污分流，雨水经雨水管网收集后排入园区雨水管网，生活污水经化粪池处理后排入园区污水管网，汇入</w:t>
                  </w:r>
                  <w:r>
                    <w:rPr>
                      <w:rFonts w:hint="default" w:ascii="宋体" w:hAnsi="宋体" w:eastAsia="宋体" w:cs="宋体"/>
                      <w:b w:val="0"/>
                      <w:kern w:val="2"/>
                      <w:sz w:val="24"/>
                      <w:szCs w:val="24"/>
                      <w:lang w:val="en-US" w:eastAsia="zh-CN" w:bidi="ar-SA"/>
                    </w:rPr>
                    <w:t>归阳污水处理厂</w:t>
                  </w:r>
                  <w:r>
                    <w:rPr>
                      <w:rFonts w:hint="eastAsia" w:ascii="宋体" w:hAnsi="宋体" w:eastAsia="宋体" w:cs="宋体"/>
                      <w:b w:val="0"/>
                      <w:kern w:val="2"/>
                      <w:sz w:val="24"/>
                      <w:szCs w:val="24"/>
                      <w:lang w:val="en-US" w:eastAsia="zh-CN" w:bidi="ar-SA"/>
                    </w:rPr>
                    <w:t>处理，本项目不涉及生产废水。</w:t>
                  </w:r>
                </w:p>
              </w:tc>
              <w:tc>
                <w:tcPr>
                  <w:tcW w:w="672"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0"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FF"/>
                      <w:highlight w:val="none"/>
                    </w:rPr>
                  </w:pPr>
                  <w:r>
                    <w:rPr>
                      <w:color w:val="000000"/>
                      <w:highlight w:val="none"/>
                    </w:rPr>
                    <w:t>4</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按报告书要求做好园区大气污染控制措施。管委会应积极推广清洁能源，严格控制新建4t/h一下燃煤锅炉，并控制园区燃煤率在1%以内。建立园区清洁生产管理考核机制，对各企业工业废气产出的生产节点配置废气收集与净化装置，确保达标排放；入园各企业产生的废气须经处理达到相应的行业排放标准及《大气污染物综合排放标准》中二级标准要求。</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jc w:val="center"/>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本项目使用电能，为清洁能源；本项目产生的</w:t>
                  </w:r>
                  <w:r>
                    <w:rPr>
                      <w:rFonts w:hint="default" w:ascii="宋体" w:hAnsi="宋体" w:eastAsia="宋体" w:cs="宋体"/>
                      <w:b w:val="0"/>
                      <w:kern w:val="2"/>
                      <w:sz w:val="24"/>
                      <w:szCs w:val="24"/>
                      <w:lang w:val="en-US" w:eastAsia="zh-CN" w:bidi="ar-SA"/>
                    </w:rPr>
                    <w:t>废气收集</w:t>
                  </w:r>
                  <w:r>
                    <w:rPr>
                      <w:rFonts w:hint="eastAsia" w:ascii="宋体" w:hAnsi="宋体" w:eastAsia="宋体" w:cs="宋体"/>
                      <w:b w:val="0"/>
                      <w:kern w:val="2"/>
                      <w:sz w:val="24"/>
                      <w:szCs w:val="24"/>
                      <w:lang w:val="en-US" w:eastAsia="zh-CN" w:bidi="ar-SA"/>
                    </w:rPr>
                    <w:t>、处理后达标排放。</w:t>
                  </w:r>
                </w:p>
              </w:tc>
              <w:tc>
                <w:tcPr>
                  <w:tcW w:w="672"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3"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00"/>
                      <w:highlight w:val="none"/>
                    </w:rPr>
                  </w:pPr>
                  <w:r>
                    <w:rPr>
                      <w:color w:val="000000"/>
                      <w:highlight w:val="none"/>
                    </w:rPr>
                    <w:t>5</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做好园区工业固体废物和生活垃圾的分类收集、转运、综合利用和无害化处理，建立统一的固废收集、贮存、运输、综合利用和安全处置的运营管理体系。推行清洁生产，减少固体废物产生量；加强固体废物资源化进程，提高综合利用率</w:t>
                  </w:r>
                  <w:r>
                    <w:rPr>
                      <w:rFonts w:hint="eastAsia" w:ascii="宋体" w:hAnsi="宋体" w:eastAsia="宋体" w:cs="宋体"/>
                      <w:b w:val="0"/>
                      <w:kern w:val="2"/>
                      <w:sz w:val="24"/>
                      <w:szCs w:val="24"/>
                      <w:lang w:val="en-US" w:eastAsia="zh-CN" w:bidi="ar-SA"/>
                    </w:rPr>
                    <w:t>。</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本项目不产生一般工业固体废物，生活垃圾收集后交由当地环卫部门处理，项目自身产生的危险废物在厂区危废暂存区分类暂存，定期与本项目周转的危险废物一同交由有资质的单位处置。</w:t>
                  </w:r>
                </w:p>
              </w:tc>
              <w:tc>
                <w:tcPr>
                  <w:tcW w:w="672"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1"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color w:val="000000"/>
                      <w:highlight w:val="none"/>
                    </w:rPr>
                  </w:pPr>
                  <w:r>
                    <w:rPr>
                      <w:color w:val="000000"/>
                      <w:highlight w:val="none"/>
                    </w:rPr>
                    <w:t>6</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default" w:ascii="宋体" w:hAnsi="宋体" w:eastAsia="宋体" w:cs="宋体"/>
                      <w:b w:val="0"/>
                      <w:kern w:val="2"/>
                      <w:sz w:val="24"/>
                      <w:szCs w:val="24"/>
                      <w:lang w:val="en-US" w:eastAsia="zh-CN" w:bidi="ar-SA"/>
                    </w:rPr>
                    <w:t>园区要建立专职环境监督管理机构，建立健全环境风险防范措施和应急预案，严防环境风险事故发生。</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本项目地面将进行硬化及防渗防腐处理，并配合园区环境监督管理机构，落实环境风险防控措施，制定应急预案等，提升企业风险防控和事故应急处置能力。</w:t>
                  </w:r>
                </w:p>
              </w:tc>
              <w:tc>
                <w:tcPr>
                  <w:tcW w:w="672" w:type="dxa"/>
                  <w:noWrap w:val="0"/>
                  <w:vAlign w:val="center"/>
                </w:tcPr>
                <w:p>
                  <w:pPr>
                    <w:keepNext w:val="0"/>
                    <w:keepLines w:val="0"/>
                    <w:pageBreakBefore w:val="0"/>
                    <w:kinsoku/>
                    <w:wordWrap/>
                    <w:overflowPunct/>
                    <w:topLinePunct w:val="0"/>
                    <w:bidi w:val="0"/>
                    <w:spacing w:beforeAutospacing="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0" w:hRule="atLeast"/>
                <w:jc w:val="center"/>
              </w:trPr>
              <w:tc>
                <w:tcPr>
                  <w:tcW w:w="496"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eastAsia="宋体"/>
                      <w:color w:val="000000"/>
                      <w:highlight w:val="none"/>
                      <w:lang w:val="en-US" w:eastAsia="zh-CN"/>
                    </w:rPr>
                  </w:pPr>
                  <w:r>
                    <w:rPr>
                      <w:rFonts w:hint="eastAsia"/>
                      <w:color w:val="000000"/>
                      <w:highlight w:val="none"/>
                      <w:lang w:val="en-US" w:eastAsia="zh-CN"/>
                    </w:rPr>
                    <w:t>7</w:t>
                  </w:r>
                </w:p>
              </w:tc>
              <w:tc>
                <w:tcPr>
                  <w:tcW w:w="3535"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default"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做好建设期的生态保护和水土保持工作。园区建设过程中，应切实做好对湘江水质的保护，防止弃土弃渣进入水体；按照景观设计和功能分隔要求保留一定的自然山体绿地，切实做好生态环境的保护、恢复和补偿工作；落实水土保持措施，以减少工业园开发建设过程中对区域生态环境的影响。</w:t>
                  </w:r>
                </w:p>
              </w:tc>
              <w:tc>
                <w:tcPr>
                  <w:tcW w:w="1934" w:type="dxa"/>
                  <w:noWrap w:val="0"/>
                  <w:vAlign w:val="center"/>
                </w:tcPr>
                <w:p>
                  <w:pPr>
                    <w:pStyle w:val="95"/>
                    <w:keepNext w:val="0"/>
                    <w:keepLines w:val="0"/>
                    <w:pageBreakBefore w:val="0"/>
                    <w:kinsoku/>
                    <w:wordWrap/>
                    <w:overflowPunct/>
                    <w:topLinePunct w:val="0"/>
                    <w:bidi w:val="0"/>
                    <w:spacing w:before="0" w:beforeLines="0" w:beforeAutospacing="0" w:after="0" w:afterLines="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本项目租赁工业园厂房进行生产，不存在建设期。</w:t>
                  </w:r>
                </w:p>
              </w:tc>
              <w:tc>
                <w:tcPr>
                  <w:tcW w:w="672" w:type="dxa"/>
                  <w:noWrap w:val="0"/>
                  <w:vAlign w:val="center"/>
                </w:tcPr>
                <w:p>
                  <w:pPr>
                    <w:keepNext w:val="0"/>
                    <w:keepLines w:val="0"/>
                    <w:pageBreakBefore w:val="0"/>
                    <w:kinsoku/>
                    <w:wordWrap/>
                    <w:overflowPunct/>
                    <w:topLinePunct w:val="0"/>
                    <w:bidi w:val="0"/>
                    <w:spacing w:beforeAutospacing="0" w:afterAutospacing="0" w:line="360" w:lineRule="auto"/>
                    <w:ind w:left="0" w:left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符合</w:t>
                  </w:r>
                </w:p>
              </w:tc>
            </w:tr>
          </w:tbl>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rFonts w:ascii="宋体" w:hAnsi="宋体" w:cs="宋体"/>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33" w:type="dxa"/>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其他符合性分析</w:t>
            </w:r>
          </w:p>
        </w:tc>
        <w:tc>
          <w:tcPr>
            <w:tcW w:w="6991" w:type="dxa"/>
            <w:gridSpan w:val="3"/>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b/>
                <w:kern w:val="0"/>
                <w:sz w:val="24"/>
              </w:rPr>
              <w:t>1、产业政策符合性分析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本项目不属于《产业结构调整指导目录（2019）》及其修改单中“鼓励类”、“限制类”及“淘汰类”，可视为“允许类”。因此，项目建设符合国家产业政策要求。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rFonts w:hint="eastAsia"/>
                <w:b/>
                <w:kern w:val="0"/>
                <w:sz w:val="24"/>
              </w:rPr>
              <w:t>2、选址可行性分析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Cs/>
                <w:kern w:val="0"/>
                <w:sz w:val="24"/>
              </w:rPr>
            </w:pPr>
            <w:r>
              <w:rPr>
                <w:rFonts w:hint="eastAsia" w:ascii="宋体" w:hAnsi="宋体"/>
                <w:bCs/>
                <w:kern w:val="0"/>
                <w:sz w:val="24"/>
              </w:rPr>
              <w:t>（</w:t>
            </w:r>
            <w:r>
              <w:rPr>
                <w:rFonts w:hint="eastAsia"/>
                <w:bCs/>
                <w:kern w:val="0"/>
                <w:sz w:val="24"/>
              </w:rPr>
              <w:t>1</w:t>
            </w:r>
            <w:r>
              <w:rPr>
                <w:rFonts w:hint="eastAsia" w:ascii="宋体" w:hAnsi="宋体"/>
                <w:bCs/>
                <w:kern w:val="0"/>
                <w:sz w:val="24"/>
              </w:rPr>
              <w:t>）地理条件分析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bCs/>
                <w:kern w:val="0"/>
                <w:sz w:val="24"/>
                <w:lang w:val="en-US" w:eastAsia="zh-CN"/>
              </w:rPr>
            </w:pPr>
            <w:r>
              <w:rPr>
                <w:rFonts w:hint="eastAsia" w:ascii="Times New Roman" w:hAnsi="Times New Roman" w:eastAsia="宋体" w:cs="Times New Roman"/>
                <w:bCs/>
                <w:kern w:val="0"/>
                <w:sz w:val="24"/>
              </w:rPr>
              <w:t>本</w:t>
            </w:r>
            <w:r>
              <w:rPr>
                <w:rFonts w:hint="eastAsia"/>
                <w:color w:val="auto"/>
                <w:sz w:val="24"/>
                <w:szCs w:val="24"/>
              </w:rPr>
              <w:t>项目选址在祁东经济开发区归阳工业园内</w:t>
            </w:r>
            <w:r>
              <w:rPr>
                <w:rFonts w:hint="eastAsia" w:ascii="Times New Roman" w:hAnsi="Times New Roman" w:eastAsia="宋体" w:cs="Times New Roman"/>
                <w:bCs/>
                <w:kern w:val="0"/>
                <w:sz w:val="24"/>
              </w:rPr>
              <w:t>，</w:t>
            </w:r>
            <w:r>
              <w:rPr>
                <w:rFonts w:hint="eastAsia"/>
                <w:color w:val="auto"/>
                <w:sz w:val="24"/>
                <w:szCs w:val="24"/>
              </w:rPr>
              <w:t>租赁工业园厂房进行生产，</w:t>
            </w:r>
            <w:r>
              <w:rPr>
                <w:rFonts w:hint="eastAsia" w:ascii="Times New Roman" w:hAnsi="Times New Roman" w:eastAsia="宋体" w:cs="Times New Roman"/>
                <w:bCs/>
                <w:kern w:val="0"/>
                <w:sz w:val="24"/>
                <w:lang w:val="en-US" w:eastAsia="zh-CN"/>
              </w:rPr>
              <w:t>符合园区用地规划。本项目主要收集</w:t>
            </w:r>
            <w:r>
              <w:rPr>
                <w:rFonts w:hint="eastAsia" w:cs="Times New Roman"/>
                <w:bCs/>
                <w:kern w:val="0"/>
                <w:sz w:val="24"/>
                <w:lang w:val="en-US" w:eastAsia="zh-CN"/>
              </w:rPr>
              <w:t>祁东县废油、废旧电池以及</w:t>
            </w:r>
            <w:r>
              <w:rPr>
                <w:rFonts w:hint="eastAsia" w:ascii="Times New Roman" w:hAnsi="Times New Roman" w:eastAsia="宋体" w:cs="Times New Roman"/>
                <w:bCs/>
                <w:kern w:val="0"/>
                <w:sz w:val="24"/>
                <w:lang w:val="en-US" w:eastAsia="zh-CN"/>
              </w:rPr>
              <w:t>园区危险废物，地理位置较好。</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rFonts w:ascii="宋体" w:hAnsi="宋体"/>
                <w:bCs/>
                <w:kern w:val="0"/>
                <w:sz w:val="24"/>
              </w:rPr>
            </w:pPr>
            <w:r>
              <w:rPr>
                <w:rFonts w:hint="eastAsia" w:ascii="宋体" w:hAnsi="宋体"/>
                <w:bCs/>
                <w:kern w:val="0"/>
                <w:sz w:val="24"/>
              </w:rPr>
              <w:t>（</w:t>
            </w:r>
            <w:r>
              <w:rPr>
                <w:rFonts w:hint="eastAsia"/>
                <w:bCs/>
                <w:kern w:val="0"/>
                <w:sz w:val="24"/>
              </w:rPr>
              <w:t>2</w:t>
            </w:r>
            <w:r>
              <w:rPr>
                <w:rFonts w:hint="eastAsia" w:ascii="宋体" w:hAnsi="宋体"/>
                <w:bCs/>
                <w:kern w:val="0"/>
                <w:sz w:val="24"/>
              </w:rPr>
              <w:t>）交通运输条件分析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lang w:eastAsia="zh-CN"/>
              </w:rPr>
            </w:pPr>
            <w:r>
              <w:rPr>
                <w:rFonts w:hint="eastAsia"/>
                <w:bCs/>
                <w:kern w:val="0"/>
                <w:sz w:val="24"/>
              </w:rPr>
              <w:t>本项目园区位于湘江中游北岸，</w:t>
            </w:r>
            <w:r>
              <w:rPr>
                <w:rFonts w:hint="eastAsia"/>
                <w:bCs/>
                <w:kern w:val="0"/>
                <w:sz w:val="24"/>
              </w:rPr>
              <w:fldChar w:fldCharType="begin"/>
            </w:r>
            <w:r>
              <w:rPr>
                <w:rFonts w:hint="eastAsia"/>
                <w:bCs/>
                <w:kern w:val="0"/>
                <w:sz w:val="24"/>
              </w:rPr>
              <w:instrText xml:space="preserve"> HYPERLINK "https://baike.baidu.com/item/%E8%A1%A1%E6%98%86%E9%AB%98%E9%80%9F%E5%85%AC%E8%B7%AF/4976622" \t "https://baike.baidu.com/item/%E5%BD%92%E9%98%B3%E5%B7%A5%E4%B8%9A%E5%9B%AD/_blank" </w:instrText>
            </w:r>
            <w:r>
              <w:rPr>
                <w:rFonts w:hint="eastAsia"/>
                <w:bCs/>
                <w:kern w:val="0"/>
                <w:sz w:val="24"/>
              </w:rPr>
              <w:fldChar w:fldCharType="separate"/>
            </w:r>
            <w:r>
              <w:rPr>
                <w:rFonts w:hint="default"/>
                <w:bCs/>
                <w:kern w:val="0"/>
                <w:sz w:val="24"/>
              </w:rPr>
              <w:t>衡昆高速公路</w:t>
            </w:r>
            <w:r>
              <w:rPr>
                <w:rFonts w:hint="default"/>
                <w:bCs/>
                <w:kern w:val="0"/>
                <w:sz w:val="24"/>
              </w:rPr>
              <w:fldChar w:fldCharType="end"/>
            </w:r>
            <w:r>
              <w:rPr>
                <w:rFonts w:hint="default"/>
                <w:bCs/>
                <w:kern w:val="0"/>
                <w:sz w:val="24"/>
              </w:rPr>
              <w:t>穿镇而过，省道210线、317线在境内交汇。湘江水位平稳，水运四季通航</w:t>
            </w:r>
            <w:r>
              <w:rPr>
                <w:rFonts w:hint="eastAsia"/>
                <w:bCs/>
                <w:kern w:val="0"/>
                <w:sz w:val="24"/>
                <w:lang w:eastAsia="zh-CN"/>
              </w:rPr>
              <w:t>。</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Cs/>
                <w:kern w:val="0"/>
                <w:sz w:val="24"/>
                <w:highlight w:val="none"/>
              </w:rPr>
            </w:pPr>
            <w:r>
              <w:rPr>
                <w:rFonts w:hint="eastAsia" w:ascii="宋体" w:hAnsi="宋体"/>
                <w:bCs/>
                <w:kern w:val="0"/>
                <w:sz w:val="24"/>
              </w:rPr>
              <w:t>（</w:t>
            </w:r>
            <w:r>
              <w:rPr>
                <w:rFonts w:hint="eastAsia"/>
                <w:bCs/>
                <w:kern w:val="0"/>
                <w:sz w:val="24"/>
              </w:rPr>
              <w:t>3</w:t>
            </w:r>
            <w:r>
              <w:rPr>
                <w:rFonts w:hint="eastAsia" w:ascii="宋体" w:hAnsi="宋体"/>
                <w:bCs/>
                <w:kern w:val="0"/>
                <w:sz w:val="24"/>
              </w:rPr>
              <w:t>）</w:t>
            </w:r>
            <w:r>
              <w:rPr>
                <w:rFonts w:hint="eastAsia" w:ascii="宋体" w:hAnsi="宋体"/>
                <w:bCs/>
                <w:kern w:val="0"/>
                <w:sz w:val="24"/>
                <w:highlight w:val="none"/>
              </w:rPr>
              <w:t>建设条件分析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项目园区采取</w:t>
            </w:r>
            <w:r>
              <w:rPr>
                <w:rFonts w:hint="eastAsia"/>
                <w:bCs/>
                <w:kern w:val="0"/>
                <w:sz w:val="24"/>
                <w:highlight w:val="none"/>
              </w:rPr>
              <w:t>雨污分流</w:t>
            </w:r>
            <w:r>
              <w:rPr>
                <w:rFonts w:hint="eastAsia"/>
                <w:bCs/>
                <w:kern w:val="0"/>
                <w:sz w:val="24"/>
                <w:highlight w:val="none"/>
                <w:lang w:val="en-US" w:eastAsia="zh-CN"/>
              </w:rPr>
              <w:t>制</w:t>
            </w:r>
            <w:r>
              <w:rPr>
                <w:rFonts w:hint="eastAsia"/>
                <w:bCs/>
                <w:kern w:val="0"/>
                <w:sz w:val="24"/>
              </w:rPr>
              <w:t>，供排水及供配电工程均已建设完善，故项目建设条件良好。</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kern w:val="0"/>
                <w:sz w:val="24"/>
              </w:rPr>
            </w:pPr>
            <w:r>
              <w:rPr>
                <w:rFonts w:hint="eastAsia" w:ascii="宋体" w:hAnsi="宋体"/>
                <w:kern w:val="0"/>
                <w:sz w:val="24"/>
              </w:rPr>
              <w:t>（</w:t>
            </w:r>
            <w:r>
              <w:rPr>
                <w:rFonts w:hint="eastAsia"/>
                <w:kern w:val="0"/>
                <w:sz w:val="24"/>
              </w:rPr>
              <w:t>4</w:t>
            </w:r>
            <w:r>
              <w:rPr>
                <w:rFonts w:hint="eastAsia" w:ascii="宋体" w:hAnsi="宋体"/>
                <w:kern w:val="0"/>
                <w:sz w:val="24"/>
              </w:rPr>
              <w:t>）</w:t>
            </w:r>
            <w:r>
              <w:rPr>
                <w:rFonts w:hint="eastAsia" w:ascii="宋体" w:hAnsi="宋体"/>
                <w:kern w:val="0"/>
                <w:sz w:val="24"/>
                <w:highlight w:val="none"/>
              </w:rPr>
              <w:t>环境条件分析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本项目位于</w:t>
            </w:r>
            <w:r>
              <w:rPr>
                <w:rFonts w:hint="eastAsia"/>
                <w:color w:val="auto"/>
                <w:sz w:val="24"/>
                <w:szCs w:val="24"/>
              </w:rPr>
              <w:t>祁东经济开发区归阳工业园</w:t>
            </w:r>
            <w:r>
              <w:rPr>
                <w:rFonts w:hint="eastAsia"/>
                <w:bCs/>
                <w:kern w:val="0"/>
                <w:sz w:val="24"/>
              </w:rPr>
              <w:t>，区域环境质量较好。根据工程分析，危废仓库设置负压收集系统，废气经</w:t>
            </w:r>
            <w:r>
              <w:rPr>
                <w:rFonts w:hint="eastAsia"/>
                <w:bCs/>
                <w:kern w:val="0"/>
                <w:sz w:val="24"/>
                <w:lang w:val="en-US" w:eastAsia="zh-CN"/>
              </w:rPr>
              <w:t>三级</w:t>
            </w:r>
            <w:r>
              <w:rPr>
                <w:rFonts w:hint="eastAsia"/>
                <w:bCs/>
                <w:kern w:val="0"/>
                <w:sz w:val="24"/>
              </w:rPr>
              <w:t>活性炭处理后通过15m排气筒排放；工程不</w:t>
            </w:r>
            <w:r>
              <w:rPr>
                <w:rFonts w:hint="eastAsia"/>
                <w:bCs/>
                <w:kern w:val="0"/>
                <w:sz w:val="24"/>
                <w:lang w:val="en-US" w:eastAsia="zh-CN"/>
              </w:rPr>
              <w:t>产生</w:t>
            </w:r>
            <w:r>
              <w:rPr>
                <w:rFonts w:hint="eastAsia"/>
                <w:bCs/>
                <w:kern w:val="0"/>
                <w:sz w:val="24"/>
              </w:rPr>
              <w:t>生产废水，生活污水经化粪池处理后排放至园区污水管网，进入园区污水处理厂进一步处理达标后外排；设备噪声主要为风机、叉车等设备运行产生的噪声，生产设备噪声源位于封闭的车间内，采取隔声、减振等噪声污染防治措施后，项目噪声对周边环境影响不大；不产生一般工业固体废物，生活垃圾收集后交由当地环卫部门处理，项目自身产生的危险废物在厂区危废暂存区</w:t>
            </w:r>
            <w:r>
              <w:rPr>
                <w:rFonts w:hint="eastAsia"/>
                <w:bCs/>
                <w:kern w:val="0"/>
                <w:sz w:val="24"/>
                <w:lang w:val="en-US" w:eastAsia="zh-CN"/>
              </w:rPr>
              <w:t>分类</w:t>
            </w:r>
            <w:r>
              <w:rPr>
                <w:rFonts w:hint="eastAsia"/>
                <w:bCs/>
                <w:kern w:val="0"/>
                <w:sz w:val="24"/>
              </w:rPr>
              <w:t>暂存，定期与本项目周转的危险废物一同交由有资质的单位处置。从对环境的影响分析，项目废气、废水、噪声均能达标排放。</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综上，本项目选址可行。</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rFonts w:hint="eastAsia"/>
                <w:b/>
                <w:kern w:val="0"/>
                <w:sz w:val="24"/>
              </w:rPr>
              <w:t>3、</w:t>
            </w:r>
            <w:r>
              <w:rPr>
                <w:rFonts w:hint="eastAsia"/>
                <w:b/>
                <w:kern w:val="0"/>
                <w:sz w:val="24"/>
                <w:highlight w:val="none"/>
              </w:rPr>
              <w:t>项目仓储能力分析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rPr>
            </w:pPr>
            <w:r>
              <w:rPr>
                <w:rFonts w:hint="eastAsia"/>
                <w:bCs/>
                <w:kern w:val="0"/>
                <w:sz w:val="24"/>
              </w:rPr>
              <w:t>本项目危险废物主要采用桶装、箱装储存，其中箱装的包装规格为</w:t>
            </w:r>
            <w:r>
              <w:rPr>
                <w:bCs/>
                <w:kern w:val="0"/>
                <w:sz w:val="24"/>
              </w:rPr>
              <w:t>0.5m×0.5m×0.5m</w:t>
            </w:r>
            <w:r>
              <w:rPr>
                <w:rFonts w:hint="eastAsia"/>
                <w:bCs/>
                <w:kern w:val="0"/>
                <w:sz w:val="24"/>
              </w:rPr>
              <w:t>，堆存方式为码垛，堆放层数为4层，桶装的包装规格为2</w:t>
            </w:r>
            <w:r>
              <w:rPr>
                <w:bCs/>
                <w:kern w:val="0"/>
                <w:sz w:val="24"/>
              </w:rPr>
              <w:t>00L</w:t>
            </w:r>
            <w:r>
              <w:rPr>
                <w:rFonts w:hint="eastAsia"/>
                <w:bCs/>
                <w:kern w:val="0"/>
                <w:sz w:val="24"/>
              </w:rPr>
              <w:t>，为平堆，堆放层数为1层，根据堆存区面积可分析项目的堆存能力，具体分析见下表：</w:t>
            </w:r>
          </w:p>
          <w:p>
            <w:pPr>
              <w:pStyle w:val="2"/>
              <w:rPr>
                <w:rFonts w:hint="eastAsia"/>
                <w:bCs/>
                <w:kern w:val="0"/>
                <w:sz w:val="24"/>
              </w:rPr>
            </w:pPr>
          </w:p>
          <w:p>
            <w:pPr>
              <w:pStyle w:val="2"/>
              <w:rPr>
                <w:rFonts w:hint="eastAsia"/>
                <w:bCs/>
                <w:kern w:val="0"/>
                <w:sz w:val="24"/>
              </w:rPr>
            </w:pPr>
          </w:p>
          <w:p>
            <w:pPr>
              <w:pStyle w:val="2"/>
              <w:rPr>
                <w:rFonts w:hint="eastAsia"/>
                <w:bCs/>
                <w:kern w:val="0"/>
                <w:sz w:val="24"/>
              </w:rPr>
            </w:pPr>
          </w:p>
          <w:p>
            <w:pPr>
              <w:pStyle w:val="2"/>
              <w:rPr>
                <w:rFonts w:hint="eastAsia"/>
                <w:bCs/>
                <w:kern w:val="0"/>
                <w:sz w:val="24"/>
              </w:rPr>
            </w:pPr>
          </w:p>
          <w:p>
            <w:pPr>
              <w:pStyle w:val="2"/>
              <w:rPr>
                <w:rFonts w:hint="eastAsia"/>
                <w:bCs/>
                <w:kern w:val="0"/>
                <w:sz w:val="24"/>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r>
              <w:rPr>
                <w:rFonts w:hint="eastAsia"/>
                <w:sz w:val="21"/>
              </w:rPr>
              <w:t>表</w:t>
            </w:r>
            <w:r>
              <w:rPr>
                <w:sz w:val="21"/>
              </w:rPr>
              <w:t>1</w:t>
            </w:r>
            <w:r>
              <w:rPr>
                <w:rFonts w:hint="eastAsia"/>
                <w:sz w:val="21"/>
              </w:rPr>
              <w:t>-</w:t>
            </w:r>
            <w:r>
              <w:rPr>
                <w:sz w:val="21"/>
              </w:rPr>
              <w:t xml:space="preserve">2  </w:t>
            </w:r>
            <w:r>
              <w:rPr>
                <w:rFonts w:hint="eastAsia"/>
                <w:sz w:val="21"/>
              </w:rPr>
              <w:t>仓库面积最大可容纳量分析</w:t>
            </w:r>
          </w:p>
          <w:tbl>
            <w:tblPr>
              <w:tblStyle w:val="22"/>
              <w:tblW w:w="68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5"/>
              <w:gridCol w:w="607"/>
              <w:gridCol w:w="957"/>
              <w:gridCol w:w="1359"/>
              <w:gridCol w:w="970"/>
              <w:gridCol w:w="918"/>
              <w:gridCol w:w="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4"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废物代码</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包装形式</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堆存区面积</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w:t>
                  </w:r>
                  <w:r>
                    <w:rPr>
                      <w:rFonts w:hint="eastAsia" w:ascii="宋体" w:hAnsi="宋体" w:cs="宋体"/>
                      <w:b/>
                      <w:bCs/>
                      <w:i w:val="0"/>
                      <w:iCs w:val="0"/>
                      <w:color w:val="000000"/>
                      <w:kern w:val="0"/>
                      <w:sz w:val="18"/>
                      <w:szCs w:val="18"/>
                      <w:u w:val="none"/>
                      <w:lang w:val="en-US" w:eastAsia="zh-CN" w:bidi="ar"/>
                    </w:rPr>
                    <w:t>）</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可容纳包装数</w:t>
                  </w:r>
                  <w:r>
                    <w:rPr>
                      <w:rFonts w:hint="eastAsia" w:ascii="宋体" w:hAnsi="宋体" w:cs="宋体"/>
                      <w:b/>
                      <w:bCs/>
                      <w:i w:val="0"/>
                      <w:iCs w:val="0"/>
                      <w:color w:val="000000"/>
                      <w:kern w:val="0"/>
                      <w:sz w:val="18"/>
                      <w:szCs w:val="18"/>
                      <w:u w:val="none"/>
                      <w:lang w:val="en-US" w:eastAsia="zh-CN" w:bidi="ar"/>
                    </w:rPr>
                    <w:t>（个）</w:t>
                  </w:r>
                  <w:r>
                    <w:rPr>
                      <w:rFonts w:hint="eastAsia" w:ascii="宋体" w:hAnsi="宋体" w:eastAsia="宋体" w:cs="宋体"/>
                      <w:b/>
                      <w:bCs/>
                      <w:i w:val="0"/>
                      <w:iCs w:val="0"/>
                      <w:color w:val="000000"/>
                      <w:kern w:val="0"/>
                      <w:sz w:val="18"/>
                      <w:szCs w:val="18"/>
                      <w:u w:val="none"/>
                      <w:lang w:val="en-US" w:eastAsia="zh-CN" w:bidi="ar"/>
                    </w:rPr>
                    <w:t>（取整）</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单容器贮存量</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t</w:t>
                  </w:r>
                  <w:r>
                    <w:rPr>
                      <w:rFonts w:hint="eastAsia" w:ascii="宋体" w:hAnsi="宋体" w:cs="宋体"/>
                      <w:b/>
                      <w:bCs/>
                      <w:i w:val="0"/>
                      <w:iCs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最大容纳量</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t</w:t>
                  </w:r>
                  <w:r>
                    <w:rPr>
                      <w:rFonts w:hint="eastAsia" w:ascii="宋体" w:hAnsi="宋体" w:cs="宋体"/>
                      <w:b/>
                      <w:bCs/>
                      <w:i w:val="0"/>
                      <w:iCs w:val="0"/>
                      <w:color w:val="000000"/>
                      <w:kern w:val="0"/>
                      <w:sz w:val="18"/>
                      <w:szCs w:val="18"/>
                      <w:u w:val="none"/>
                      <w:lang w:val="en-US" w:eastAsia="zh-CN" w:bidi="ar"/>
                    </w:rPr>
                    <w:t>）</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最大贮存量</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t</w:t>
                  </w:r>
                  <w:r>
                    <w:rPr>
                      <w:rFonts w:hint="eastAsia" w:ascii="宋体" w:hAnsi="宋体" w:cs="宋体"/>
                      <w:b/>
                      <w:bCs/>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900-401-06</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291-001-08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900-199-08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900-200-08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900-201-08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900-203-08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900-204-08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900-205-08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900-209-08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900-214-08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900-216-08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900-217-08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900-218-08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900-219-08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900-220-08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900-221-08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900-249-08</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33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4.95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900-006-09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451-003-11</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900-013-11</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900-252-12</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132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265-103-13</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900-016-13</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66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9.90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900-024-29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198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29.70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900-039-49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900-041-49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900-044-49</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7" w:hRule="atLeast"/>
                <w:jc w:val="center"/>
              </w:trPr>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900-049-50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bl>
          <w:p>
            <w:pPr>
              <w:pStyle w:val="8"/>
              <w:keepNext w:val="0"/>
              <w:keepLines w:val="0"/>
              <w:pageBreakBefore w:val="0"/>
              <w:kinsoku/>
              <w:wordWrap/>
              <w:overflowPunct/>
              <w:topLinePunct w:val="0"/>
              <w:bidi w:val="0"/>
              <w:spacing w:before="0" w:beforeAutospacing="0" w:after="0" w:afterAutospacing="0" w:line="360" w:lineRule="auto"/>
              <w:ind w:left="0" w:leftChars="0"/>
              <w:rPr>
                <w:rFonts w:hint="eastAsia"/>
                <w:sz w:val="21"/>
              </w:rPr>
            </w:pP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 xml:space="preserve">根据上表可知，所有危废贮存间可容纳危废量，均比设计最大贮存量高，可以满足最大设计贮存需求。 </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b/>
                <w:kern w:val="0"/>
                <w:sz w:val="24"/>
              </w:rPr>
              <w:t>4</w:t>
            </w:r>
            <w:r>
              <w:rPr>
                <w:rFonts w:hint="eastAsia"/>
                <w:b/>
                <w:kern w:val="0"/>
                <w:sz w:val="24"/>
              </w:rPr>
              <w:t>、“三线一单”相符性分析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kern w:val="0"/>
                <w:sz w:val="24"/>
              </w:rPr>
            </w:pPr>
            <w:r>
              <w:rPr>
                <w:rFonts w:hint="eastAsia"/>
                <w:kern w:val="0"/>
                <w:sz w:val="24"/>
              </w:rPr>
              <w:t>（1）生态保护红线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本项目位于</w:t>
            </w:r>
            <w:r>
              <w:rPr>
                <w:rFonts w:hint="eastAsia"/>
                <w:color w:val="auto"/>
                <w:sz w:val="24"/>
                <w:szCs w:val="24"/>
              </w:rPr>
              <w:t>祁东经济开发区归阳工业园</w:t>
            </w:r>
            <w:r>
              <w:rPr>
                <w:rFonts w:hint="eastAsia"/>
                <w:kern w:val="0"/>
                <w:sz w:val="24"/>
              </w:rPr>
              <w:t>，根据《湖南省人民政府关于印发&lt;湖南省生态保护红线&gt;的通知》（湘政发〔2018〕20号）可知，项目选址不在湖南省生态保护红线内。</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kern w:val="0"/>
                <w:sz w:val="24"/>
              </w:rPr>
            </w:pPr>
            <w:r>
              <w:rPr>
                <w:rFonts w:hint="eastAsia"/>
                <w:kern w:val="0"/>
                <w:sz w:val="24"/>
              </w:rPr>
              <w:t>（2）环境质量底线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①环境质量底线相符性分析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环境质量底线分为大气环境质量底线、水环境质量底线、土壤环境风险防控底线。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根据衡阳市生态环境局发布的“关于202</w:t>
            </w:r>
            <w:r>
              <w:rPr>
                <w:rFonts w:hint="eastAsia"/>
                <w:kern w:val="0"/>
                <w:sz w:val="24"/>
                <w:lang w:val="en-US" w:eastAsia="zh-CN"/>
              </w:rPr>
              <w:t>1</w:t>
            </w:r>
            <w:r>
              <w:rPr>
                <w:rFonts w:hint="eastAsia"/>
                <w:kern w:val="0"/>
                <w:sz w:val="24"/>
              </w:rPr>
              <w:t>年12月及1-12月全市环境质量状况的通报”中相关数据可知，项目所在区域的环境空气质量数据SO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、PM</w:t>
            </w:r>
            <w:r>
              <w:rPr>
                <w:rFonts w:hint="eastAsia"/>
                <w:kern w:val="0"/>
                <w:sz w:val="24"/>
                <w:vertAlign w:val="subscript"/>
              </w:rPr>
              <w:t>10</w:t>
            </w:r>
            <w:r>
              <w:rPr>
                <w:rFonts w:hint="eastAsia"/>
                <w:kern w:val="0"/>
                <w:sz w:val="24"/>
              </w:rPr>
              <w:t>、PM</w:t>
            </w:r>
            <w:r>
              <w:rPr>
                <w:rFonts w:hint="eastAsia"/>
                <w:kern w:val="0"/>
                <w:sz w:val="24"/>
                <w:vertAlign w:val="subscript"/>
              </w:rPr>
              <w:t>2.5</w:t>
            </w:r>
            <w:r>
              <w:rPr>
                <w:rFonts w:hint="eastAsia"/>
                <w:kern w:val="0"/>
                <w:sz w:val="24"/>
              </w:rPr>
              <w:t>、CO、O</w:t>
            </w:r>
            <w:r>
              <w:rPr>
                <w:rFonts w:hint="eastAsia"/>
                <w:kern w:val="0"/>
                <w:sz w:val="24"/>
                <w:vertAlign w:val="subscript"/>
              </w:rPr>
              <w:t>3</w:t>
            </w:r>
            <w:r>
              <w:rPr>
                <w:rFonts w:hint="eastAsia"/>
                <w:kern w:val="0"/>
                <w:sz w:val="24"/>
              </w:rPr>
              <w:t>各项检测指标满足《环境空气质量标准》（GB3095-2012）二级标准，满足大气环境质量底线要求。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color w:val="FF0000"/>
                <w:kern w:val="0"/>
                <w:sz w:val="24"/>
              </w:rPr>
            </w:pPr>
            <w:r>
              <w:rPr>
                <w:rFonts w:hint="eastAsia"/>
                <w:kern w:val="0"/>
                <w:sz w:val="24"/>
              </w:rPr>
              <w:t>项目区域主要地表水体为</w:t>
            </w:r>
            <w:r>
              <w:rPr>
                <w:rFonts w:hint="default" w:ascii="Times New Roman" w:hAnsi="Times New Roman" w:eastAsia="宋体" w:cs="Times New Roman"/>
                <w:color w:val="auto"/>
                <w:spacing w:val="0"/>
                <w:position w:val="0"/>
                <w:sz w:val="24"/>
                <w:szCs w:val="24"/>
                <w:lang w:val="en-US" w:eastAsia="zh-CN"/>
              </w:rPr>
              <w:t>西</w:t>
            </w:r>
            <w:r>
              <w:rPr>
                <w:rFonts w:hint="eastAsia" w:ascii="Times New Roman" w:hAnsi="Times New Roman" w:eastAsia="宋体" w:cs="Times New Roman"/>
                <w:color w:val="auto"/>
                <w:spacing w:val="0"/>
                <w:position w:val="0"/>
                <w:sz w:val="24"/>
                <w:szCs w:val="24"/>
                <w:lang w:val="en-US" w:eastAsia="zh-CN"/>
              </w:rPr>
              <w:t>面</w:t>
            </w:r>
            <w:r>
              <w:rPr>
                <w:rFonts w:hint="default" w:ascii="Times New Roman" w:hAnsi="Times New Roman" w:eastAsia="宋体" w:cs="Times New Roman"/>
                <w:color w:val="auto"/>
                <w:spacing w:val="0"/>
                <w:position w:val="0"/>
                <w:sz w:val="24"/>
                <w:szCs w:val="24"/>
                <w:lang w:val="en-US" w:eastAsia="zh-CN"/>
              </w:rPr>
              <w:t>归阳河及南</w:t>
            </w:r>
            <w:r>
              <w:rPr>
                <w:rFonts w:hint="eastAsia" w:ascii="Times New Roman" w:hAnsi="Times New Roman" w:eastAsia="宋体" w:cs="Times New Roman"/>
                <w:color w:val="auto"/>
                <w:spacing w:val="0"/>
                <w:position w:val="0"/>
                <w:sz w:val="24"/>
                <w:szCs w:val="24"/>
                <w:lang w:val="en-US" w:eastAsia="zh-CN"/>
              </w:rPr>
              <w:t>面</w:t>
            </w:r>
            <w:r>
              <w:rPr>
                <w:rFonts w:hint="default" w:ascii="Times New Roman" w:hAnsi="Times New Roman" w:eastAsia="宋体" w:cs="Times New Roman"/>
                <w:color w:val="auto"/>
                <w:spacing w:val="0"/>
                <w:position w:val="0"/>
                <w:sz w:val="24"/>
                <w:szCs w:val="24"/>
                <w:lang w:val="en-US" w:eastAsia="zh-CN"/>
              </w:rPr>
              <w:t>湘江</w:t>
            </w:r>
            <w:r>
              <w:rPr>
                <w:rFonts w:hint="eastAsia"/>
                <w:kern w:val="0"/>
                <w:sz w:val="24"/>
              </w:rPr>
              <w:t>，</w:t>
            </w:r>
            <w:r>
              <w:rPr>
                <w:rFonts w:hint="default" w:ascii="Times New Roman" w:hAnsi="Times New Roman" w:eastAsia="宋体" w:cs="Times New Roman"/>
                <w:color w:val="auto"/>
                <w:spacing w:val="0"/>
                <w:position w:val="0"/>
                <w:sz w:val="24"/>
                <w:szCs w:val="24"/>
                <w:lang w:val="en-US" w:eastAsia="zh-CN"/>
              </w:rPr>
              <w:t>距离本项目最近的地表水监测断面为状元桥（白河入湘江口）监测断面，</w:t>
            </w:r>
            <w:r>
              <w:rPr>
                <w:rFonts w:hint="eastAsia"/>
                <w:kern w:val="0"/>
                <w:sz w:val="24"/>
              </w:rPr>
              <w:t>根据湖南省生态环境厅发布的2020年1月-12月份湖南省地表水环境质量月报，</w:t>
            </w:r>
            <w:r>
              <w:rPr>
                <w:rFonts w:hint="eastAsia"/>
                <w:kern w:val="0"/>
                <w:sz w:val="24"/>
                <w:lang w:val="en-US" w:eastAsia="zh-CN"/>
              </w:rPr>
              <w:t>该</w:t>
            </w:r>
            <w:r>
              <w:rPr>
                <w:rFonts w:hint="eastAsia"/>
                <w:kern w:val="0"/>
                <w:sz w:val="24"/>
              </w:rPr>
              <w:t>断面地表水水质均满足《地表水环境质量标准》（GB3838-2002）中Ⅲ类标准限值要求，满足水环境质量底线要求。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rPr>
            </w:pPr>
            <w:r>
              <w:rPr>
                <w:rFonts w:hint="eastAsia"/>
                <w:kern w:val="0"/>
                <w:sz w:val="24"/>
              </w:rPr>
              <w:t>本项目所在地为工业用地，</w:t>
            </w:r>
            <w:r>
              <w:rPr>
                <w:rFonts w:hint="eastAsia" w:ascii="Times New Roman" w:hAnsi="Times New Roman" w:eastAsia="宋体" w:cs="Times New Roman"/>
                <w:kern w:val="0"/>
                <w:sz w:val="24"/>
              </w:rPr>
              <w:t>未占用农地及耕地，满足土壤环境风险防控底线要求。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kern w:val="0"/>
                <w:sz w:val="24"/>
              </w:rPr>
            </w:pPr>
            <w:r>
              <w:rPr>
                <w:rFonts w:hint="eastAsia"/>
                <w:kern w:val="0"/>
                <w:sz w:val="24"/>
              </w:rPr>
              <w:t>（3）资源利用上线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①能源利用上线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本项目主要使用清洁能源电能，符合能源利用总量、结构和利用效率要求，同时不涉及到高污染燃料禁燃区，未达到能源资源利用上线。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highlight w:val="none"/>
              </w:rPr>
            </w:pPr>
            <w:r>
              <w:rPr>
                <w:rFonts w:hint="eastAsia"/>
                <w:kern w:val="0"/>
                <w:sz w:val="24"/>
                <w:highlight w:val="none"/>
              </w:rPr>
              <w:t>②水资源利用上线</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本项目不涉及到自然资源资产核算及管控，无相关利用上线要求；本项目用水采用自来水，为地表水资源，不涉及地下水、生态用水要求，项目用水</w:t>
            </w:r>
            <w:r>
              <w:rPr>
                <w:rFonts w:hint="eastAsia" w:ascii="Times New Roman" w:hAnsi="Times New Roman" w:eastAsia="宋体" w:cs="Times New Roman"/>
                <w:kern w:val="0"/>
                <w:sz w:val="24"/>
                <w:lang w:val="en-US" w:eastAsia="zh-CN"/>
              </w:rPr>
              <w:t>量相对区域水资源利用总量较小，符合资源利用上限要求。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③土地资源利用上线目标</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rPr>
            </w:pPr>
            <w:r>
              <w:rPr>
                <w:rFonts w:hint="eastAsia"/>
                <w:kern w:val="0"/>
                <w:sz w:val="24"/>
              </w:rPr>
              <w:t>本项目位于</w:t>
            </w:r>
            <w:r>
              <w:rPr>
                <w:rFonts w:hint="eastAsia"/>
                <w:color w:val="auto"/>
                <w:sz w:val="24"/>
                <w:szCs w:val="24"/>
              </w:rPr>
              <w:t>祁东经济开发区归阳工业园</w:t>
            </w:r>
            <w:r>
              <w:rPr>
                <w:rFonts w:hint="eastAsia"/>
                <w:kern w:val="0"/>
                <w:sz w:val="24"/>
              </w:rPr>
              <w:t>，用地性质为工业用地，已具备相关不动产权证和</w:t>
            </w:r>
            <w:r>
              <w:rPr>
                <w:rFonts w:hint="eastAsia"/>
                <w:kern w:val="0"/>
                <w:sz w:val="24"/>
                <w:lang w:val="en-US" w:eastAsia="zh-CN"/>
              </w:rPr>
              <w:t>租赁合同</w:t>
            </w:r>
            <w:r>
              <w:rPr>
                <w:rFonts w:hint="eastAsia"/>
                <w:kern w:val="0"/>
                <w:sz w:val="24"/>
              </w:rPr>
              <w:t>等用地用房手续，不新征用地，可实现土地资源有序利用与有效保护，</w:t>
            </w:r>
            <w:r>
              <w:rPr>
                <w:rFonts w:hint="eastAsia" w:ascii="Times New Roman" w:hAnsi="Times New Roman" w:eastAsia="宋体" w:cs="Times New Roman"/>
                <w:kern w:val="0"/>
                <w:sz w:val="24"/>
              </w:rPr>
              <w:t xml:space="preserve">未达到土地资源利用上线。 </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kern w:val="0"/>
                <w:sz w:val="24"/>
              </w:rPr>
            </w:pPr>
            <w:r>
              <w:rPr>
                <w:rFonts w:hint="eastAsia"/>
                <w:kern w:val="0"/>
                <w:sz w:val="24"/>
              </w:rPr>
              <w:t>综上，本项目满足资源利用上线要求。</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kern w:val="0"/>
                <w:sz w:val="24"/>
              </w:rPr>
            </w:pPr>
            <w:r>
              <w:rPr>
                <w:rFonts w:hint="eastAsia"/>
                <w:kern w:val="0"/>
                <w:sz w:val="24"/>
              </w:rPr>
              <w:t>（4）生态环境准入清单</w:t>
            </w:r>
          </w:p>
          <w:p>
            <w:pPr>
              <w:pStyle w:val="84"/>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根据《湖南省“三线一单”生态环境总体管控要求暨省级以上产业园区生态环境准入清单》中</w:t>
            </w:r>
            <w:r>
              <w:rPr>
                <w:rFonts w:hint="default" w:ascii="Times New Roman" w:hAnsi="Times New Roman" w:eastAsia="宋体" w:cs="Times New Roman"/>
                <w:color w:val="auto"/>
                <w:sz w:val="24"/>
                <w:szCs w:val="24"/>
              </w:rPr>
              <w:t>祁东经济开发区归阳工业园空间布局约束规定：各功能区相对集中布置，充分利用自然地形和绿化隔离带使各功能区隔离。禁止涉重金属企业入驻，严格限制气型污染企业进入。园区西部靠近生活安置区和归阳镇部分禁止布置气型污染企业。</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411"/>
              <w:gridCol w:w="1848"/>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管控维度</w:t>
                  </w: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祁东经济开发区归阳工业园的环境准备及管控要求</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本项目情况</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空间布局约束</w:t>
                  </w: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各功能区相对集中布置，充分利用自然地形和绿化隔离带使各功能区隔离。禁止涉重金属企业入驻，严格限制气 型污染企业进入。园区西部靠近生活安置区和归阳镇部分禁止布置气型污染企业。</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项目位于工业园西南侧，不位于禁止布置气型污染企业的区域，不属于重度气型污染企业</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restar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污染物排放管控</w:t>
                  </w: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1.废水：园区排水实施雨污分流，进一步加快园区污水管网的建设。园区污水处理厂建成投产运营前，限制引进水型污染企业。工业废水、生活污水纳入园区污水处理厂，处理达标后经专用管道外排湘江。</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lang w:val="en-US" w:eastAsia="zh-CN"/>
                    </w:rPr>
                  </w:pPr>
                  <w:r>
                    <w:rPr>
                      <w:rFonts w:hint="default"/>
                      <w:lang w:val="en-US" w:eastAsia="zh-CN"/>
                    </w:rPr>
                    <w:t>本项目</w:t>
                  </w:r>
                  <w:r>
                    <w:rPr>
                      <w:rFonts w:hint="eastAsia"/>
                      <w:sz w:val="21"/>
                      <w:szCs w:val="22"/>
                      <w:highlight w:val="none"/>
                      <w:lang w:val="en-US" w:eastAsia="zh-CN"/>
                    </w:rPr>
                    <w:t>不产生</w:t>
                  </w:r>
                  <w:r>
                    <w:rPr>
                      <w:rFonts w:hint="eastAsia"/>
                      <w:sz w:val="21"/>
                      <w:szCs w:val="22"/>
                      <w:highlight w:val="none"/>
                    </w:rPr>
                    <w:t>生产废水</w:t>
                  </w:r>
                  <w:r>
                    <w:rPr>
                      <w:rFonts w:hint="eastAsia"/>
                      <w:sz w:val="21"/>
                      <w:szCs w:val="22"/>
                      <w:highlight w:val="none"/>
                      <w:lang w:eastAsia="zh-CN"/>
                    </w:rPr>
                    <w:t>；</w:t>
                  </w:r>
                  <w:r>
                    <w:rPr>
                      <w:rFonts w:hint="eastAsia"/>
                      <w:sz w:val="21"/>
                      <w:szCs w:val="22"/>
                      <w:lang w:val="en-US"/>
                    </w:rPr>
                    <w:t>生活污水经</w:t>
                  </w:r>
                  <w:r>
                    <w:rPr>
                      <w:rFonts w:hint="eastAsia"/>
                      <w:sz w:val="21"/>
                      <w:szCs w:val="22"/>
                      <w:lang w:val="en-US" w:eastAsia="zh-CN"/>
                    </w:rPr>
                    <w:t>化粪池</w:t>
                  </w:r>
                  <w:r>
                    <w:rPr>
                      <w:rFonts w:hint="eastAsia"/>
                      <w:sz w:val="21"/>
                      <w:szCs w:val="22"/>
                      <w:lang w:val="en-US"/>
                    </w:rPr>
                    <w:t>处理后</w:t>
                  </w:r>
                  <w:r>
                    <w:rPr>
                      <w:rFonts w:hint="eastAsia"/>
                      <w:sz w:val="21"/>
                      <w:szCs w:val="22"/>
                      <w:lang w:val="en-US" w:eastAsia="zh-CN"/>
                    </w:rPr>
                    <w:t>排入园区</w:t>
                  </w:r>
                  <w:r>
                    <w:rPr>
                      <w:rFonts w:hint="eastAsia"/>
                      <w:sz w:val="21"/>
                      <w:szCs w:val="22"/>
                      <w:lang w:val="en-US"/>
                    </w:rPr>
                    <w:t>污水管网</w:t>
                  </w:r>
                  <w:r>
                    <w:rPr>
                      <w:rFonts w:hint="eastAsia"/>
                      <w:sz w:val="21"/>
                      <w:szCs w:val="22"/>
                      <w:lang w:val="en-US" w:eastAsia="zh-CN"/>
                    </w:rPr>
                    <w:t>，</w:t>
                  </w:r>
                  <w:r>
                    <w:rPr>
                      <w:rFonts w:hint="eastAsia"/>
                      <w:sz w:val="21"/>
                      <w:szCs w:val="22"/>
                      <w:lang w:val="en-US"/>
                    </w:rPr>
                    <w:t>汇入</w:t>
                  </w:r>
                  <w:r>
                    <w:rPr>
                      <w:rFonts w:hint="eastAsia"/>
                      <w:sz w:val="21"/>
                      <w:szCs w:val="22"/>
                      <w:lang w:val="en-US" w:eastAsia="zh-CN"/>
                    </w:rPr>
                    <w:t>园区</w:t>
                  </w:r>
                  <w:r>
                    <w:rPr>
                      <w:rFonts w:hint="eastAsia"/>
                      <w:sz w:val="21"/>
                      <w:szCs w:val="22"/>
                      <w:lang w:val="en-US"/>
                    </w:rPr>
                    <w:t>污水处理厂处理达标后外排</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对各企业工艺废气产出的生产节点，应配置废气收集与净化处理装置，确保达标排放；采取有效措施，减少入园企业工艺废气的无组织排放。强化末端治理，加快推进有机化工、工业涂装、包装印刷、沥青搅拌等行业企业VOCs 治理，确保达标排放。交通 运输设备制造、汽车制造、工程机械制造和家具制造行业全面实施油性漆改水性漆，减少 VOCs 产生量。</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lang w:val="en-US" w:eastAsia="zh-CN"/>
                    </w:rPr>
                  </w:pPr>
                  <w:r>
                    <w:rPr>
                      <w:rFonts w:hint="default"/>
                      <w:lang w:val="en-US" w:eastAsia="zh-CN"/>
                    </w:rPr>
                    <w:t>本项目废气配置废气收集与净化处理装置，确保达标排放</w:t>
                  </w:r>
                  <w:r>
                    <w:rPr>
                      <w:rFonts w:hint="eastAsia"/>
                      <w:lang w:val="en-US" w:eastAsia="zh-CN"/>
                    </w:rPr>
                    <w:t>；</w:t>
                  </w:r>
                  <w:r>
                    <w:rPr>
                      <w:rFonts w:hint="eastAsia"/>
                      <w:sz w:val="21"/>
                      <w:szCs w:val="22"/>
                    </w:rPr>
                    <w:t>本项目将严格按照防风、防雨、防渗</w:t>
                  </w:r>
                  <w:r>
                    <w:rPr>
                      <w:rFonts w:hint="eastAsia"/>
                      <w:sz w:val="21"/>
                      <w:szCs w:val="22"/>
                      <w:lang w:eastAsia="zh-CN"/>
                    </w:rPr>
                    <w:t>、</w:t>
                  </w:r>
                  <w:r>
                    <w:rPr>
                      <w:rFonts w:hint="eastAsia"/>
                      <w:sz w:val="21"/>
                      <w:szCs w:val="22"/>
                      <w:lang w:val="en-US" w:eastAsia="zh-CN"/>
                    </w:rPr>
                    <w:t>防腐</w:t>
                  </w:r>
                  <w:r>
                    <w:rPr>
                      <w:rFonts w:hint="eastAsia"/>
                      <w:sz w:val="21"/>
                      <w:szCs w:val="22"/>
                    </w:rPr>
                    <w:t>要求建设，并配合园区日常环境监管</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3.固废：做好工业固体废物和生活垃圾的分类收集、转运、综合利用和无害化处置，建立统一的固废收集、贮存、运输、综合利 用和安全处置的运营管理体系；推进清洁生产，减少固体废物产生量；加强固体废物的资源化进程，提高综合利用率；规范固体废物处置措施，对工业企业产生的固体废物特别是危险固废应按国家有关规定综合利用或妥善处置，严防二次污染。</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lang w:val="en-US" w:eastAsia="zh-CN"/>
                    </w:rPr>
                  </w:pPr>
                  <w:r>
                    <w:rPr>
                      <w:rFonts w:hint="default"/>
                      <w:lang w:val="en-US" w:eastAsia="zh-CN"/>
                    </w:rPr>
                    <w:t>本项目</w:t>
                  </w:r>
                  <w:r>
                    <w:rPr>
                      <w:rFonts w:hint="eastAsia"/>
                      <w:sz w:val="21"/>
                      <w:szCs w:val="22"/>
                      <w:lang w:val="en-US"/>
                    </w:rPr>
                    <w:t>不</w:t>
                  </w:r>
                  <w:r>
                    <w:rPr>
                      <w:rFonts w:hint="eastAsia"/>
                      <w:sz w:val="21"/>
                      <w:szCs w:val="22"/>
                      <w:lang w:val="en-US" w:eastAsia="zh-CN"/>
                    </w:rPr>
                    <w:t>产生</w:t>
                  </w:r>
                  <w:r>
                    <w:rPr>
                      <w:rFonts w:hint="eastAsia"/>
                      <w:sz w:val="21"/>
                      <w:szCs w:val="22"/>
                      <w:lang w:val="en-US"/>
                    </w:rPr>
                    <w:t>一般工业固体废物，生活垃圾分类收集后交由当地环卫部门处理，项目自身产生的危险废物在厂区危废暂存区</w:t>
                  </w:r>
                  <w:r>
                    <w:rPr>
                      <w:rFonts w:hint="eastAsia"/>
                      <w:sz w:val="21"/>
                      <w:szCs w:val="22"/>
                      <w:lang w:val="en-US" w:eastAsia="zh-CN"/>
                    </w:rPr>
                    <w:t>分类</w:t>
                  </w:r>
                  <w:r>
                    <w:rPr>
                      <w:rFonts w:hint="eastAsia"/>
                      <w:sz w:val="21"/>
                      <w:szCs w:val="22"/>
                      <w:lang w:val="en-US"/>
                    </w:rPr>
                    <w:t>暂存，定期与本项目周转的危险废物一同交由有资质的单位处置</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4.到 2020 年，全市重点行业的重点重金属排放量比 2013 年下降 12%。</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本项目不属于水泥钢铁等行业</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restar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环境风险防控</w:t>
                  </w: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1.园区应建立健全环境风险防控体系，严格落实《祁东县归阳工业园突发环境事件应急预案》中提出的各项环境风险事故防范措 施，严防环境风险事故发生，提高应急处置能力。</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本项目已建立了风险防范措施，严防环境风险事故发生</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2.园区可能发生突发环境事件的污染物排放企业，生产、储存、运输、使用危险化学品的企业，产生、收集、贮存、运输、利用、 处置危险废物的企业，尾矿库企业等应当编制和实施环境应急预案；鼓励其他企业制定单独的环境应急预案，或在突发事件应急预案中制 定环境应急预案专章，并备案。</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本环评要求项目尽快编制突发环境事件应急预案，并备案</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3.建设用地土壤风险防控： 结合土壤污染状况详查情况，根据建设用地土壤环境调查评估及现有重金属污染场地调查结果，逐步建立污染地块名录及其开发利用 的负面清单，合理确定土地用途。土地开发利用必须符合土壤环境质量要求。各部门在编制土地利用总体规划、城市总体规划、控制性详 细规划等相关规划时，应充分考虑污染地块的环境风险，合理确定土地用途。</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本项目不涉及污染地块</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4.农用地风险防控： 划定农用地土壤环境质量类别，加大农用地保护力度，禁止在优先保护类耕地集中区域新建有色金属冶炼、有色金属矿采选、化工、电解 锰、电镀、制革、石油加工、农药生产、危险废物经营等行业企业。制定实施受污染耕地安全利用方案，采取农艺调控、化学阻控、替代 种植等措施，降低农产品重金属超标风险。</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本项目用地为工业用地</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restar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资源开发效率要求</w:t>
                  </w: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1.能源：推广清洁能源，归阳工业园燃煤含硫率在 1%以内。园区应按“湖南省工程建设项目审批制度改革工作领导小组办公室关 于印发《工程建设项目区域评估工作实施方案》的通知”，尽快开展节能评估工作。</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w:t>
                  </w:r>
                  <w:r>
                    <w:rPr>
                      <w:rFonts w:hint="default" w:ascii="Times New Roman" w:hAnsi="Times New Roman" w:eastAsia="宋体" w:cs="Times New Roman"/>
                    </w:rPr>
                    <w:t>生产使用电能，不使用煤、高硫、中硫原煤及重油等燃料</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2.水资源：强化工业节水，淘汰落后的用水技术、工艺、产品和设备，开展高耗水工业行业节水技术改造， 开展水平衡测试和 用水效率评估，大力推广工业水循环利用， 推进节水型企业、节水型工业园区建设。实施最严格水资源管理制度考核，突出用水总量和 强度控制目标，到 2020 年，祁东县万元工业增加值用水量比 2015 年下降 32.7%，万元 GDP 用水量应比 2015 年下降 30%。</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本项目不属于高耗水工业行业</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continue"/>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p>
              </w:tc>
              <w:tc>
                <w:tcPr>
                  <w:tcW w:w="2521"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3.土地资源：提高土地使用效率和节约集约程度，园区土地投资强度达到 3000 万元/公顷。严格执行土地使用标准，工业项目投 资强度执行《湖南省建设用地指标》（2020 版）十二等区域控制指标要求。</w:t>
                  </w:r>
                </w:p>
              </w:tc>
              <w:tc>
                <w:tcPr>
                  <w:tcW w:w="1366"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本项目布局紧凑，满足节约集约要求</w:t>
                  </w:r>
                </w:p>
              </w:tc>
              <w:tc>
                <w:tcPr>
                  <w:tcW w:w="608" w:type="pct"/>
                  <w:tcBorders>
                    <w:tl2br w:val="nil"/>
                    <w:tr2bl w:val="nil"/>
                  </w:tcBorders>
                  <w:noWrap w:val="0"/>
                  <w:vAlign w:val="center"/>
                </w:tcPr>
                <w:p>
                  <w:pPr>
                    <w:pStyle w:val="39"/>
                    <w:keepNext w:val="0"/>
                    <w:keepLines w:val="0"/>
                    <w:pageBreakBefore w:val="0"/>
                    <w:kinsoku/>
                    <w:wordWrap/>
                    <w:overflowPunct/>
                    <w:topLinePunct w:val="0"/>
                    <w:bidi w:val="0"/>
                    <w:spacing w:beforeLines="0" w:beforeAutospacing="0" w:afterLines="0" w:afterAutospacing="0" w:line="360" w:lineRule="auto"/>
                    <w:ind w:left="0" w:lef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相符</w:t>
                  </w:r>
                </w:p>
              </w:tc>
            </w:tr>
          </w:tbl>
          <w:p>
            <w:pPr>
              <w:pStyle w:val="84"/>
              <w:keepNext w:val="0"/>
              <w:keepLines w:val="0"/>
              <w:pageBreakBefore w:val="0"/>
              <w:kinsoku/>
              <w:wordWrap/>
              <w:overflowPunct/>
              <w:topLinePunct w:val="0"/>
              <w:bidi w:val="0"/>
              <w:spacing w:beforeAutospacing="0" w:afterAutospacing="0" w:line="360" w:lineRule="auto"/>
              <w:ind w:left="0" w:leftChars="0" w:firstLine="480"/>
            </w:pPr>
            <w:r>
              <w:rPr>
                <w:rFonts w:hint="default" w:ascii="Times New Roman" w:hAnsi="Times New Roman" w:eastAsia="宋体" w:cs="Times New Roman"/>
                <w:color w:val="auto"/>
                <w:sz w:val="24"/>
                <w:szCs w:val="24"/>
                <w:lang w:val="en-US" w:eastAsia="zh-CN"/>
              </w:rPr>
              <w:t>本项目建设符合《湖南省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三线一单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生态环境总体管控要求暨省级以上产业园区生态环境准入清单》的文件要求</w:t>
            </w:r>
            <w:r>
              <w:rPr>
                <w:rFonts w:hint="eastAsia" w:eastAsia="宋体" w:cs="Times New Roman"/>
                <w:color w:val="auto"/>
                <w:sz w:val="24"/>
                <w:szCs w:val="24"/>
                <w:lang w:val="en-US" w:eastAsia="zh-CN"/>
              </w:rPr>
              <w:t>。</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b/>
                <w:kern w:val="0"/>
                <w:sz w:val="24"/>
              </w:rPr>
              <w:t>5</w:t>
            </w:r>
            <w:r>
              <w:rPr>
                <w:rFonts w:hint="eastAsia"/>
                <w:b/>
                <w:kern w:val="0"/>
                <w:sz w:val="24"/>
              </w:rPr>
              <w:t>与《危险废物贮存污染控制标准》（GB 18597-2001）2013年修订版符合性分析</w:t>
            </w:r>
          </w:p>
          <w:p>
            <w:pPr>
              <w:pStyle w:val="7"/>
              <w:keepNext w:val="0"/>
              <w:keepLines w:val="0"/>
              <w:pageBreakBefore w:val="0"/>
              <w:kinsoku/>
              <w:wordWrap/>
              <w:overflowPunct/>
              <w:topLinePunct w:val="0"/>
              <w:bidi w:val="0"/>
              <w:spacing w:beforeAutospacing="0" w:afterAutospacing="0" w:line="360" w:lineRule="auto"/>
              <w:ind w:left="0" w:leftChars="0"/>
              <w:rPr>
                <w:sz w:val="21"/>
                <w:szCs w:val="21"/>
              </w:rPr>
            </w:pPr>
            <w:r>
              <w:rPr>
                <w:rFonts w:hint="eastAsia"/>
                <w:sz w:val="21"/>
                <w:szCs w:val="21"/>
              </w:rPr>
              <w:t>表1-</w:t>
            </w:r>
            <w:r>
              <w:rPr>
                <w:sz w:val="21"/>
                <w:szCs w:val="21"/>
              </w:rPr>
              <w:t xml:space="preserve">4  </w:t>
            </w:r>
            <w:r>
              <w:rPr>
                <w:rFonts w:hint="eastAsia"/>
                <w:sz w:val="21"/>
                <w:szCs w:val="21"/>
              </w:rPr>
              <w:t>与危险废物贮存污染控制标准符合性分析表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797"/>
              <w:gridCol w:w="2371"/>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序号</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标准要求</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项目情况</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rFonts w:hint="eastAsia"/>
                      <w:b/>
                      <w:bCs/>
                      <w:sz w:val="20"/>
                      <w:szCs w:val="20"/>
                    </w:rPr>
                    <w:t>1、</w:t>
                  </w:r>
                  <w:r>
                    <w:rPr>
                      <w:rFonts w:hint="eastAsia" w:ascii="宋体" w:hAnsi="宋体"/>
                      <w:b/>
                      <w:bCs/>
                      <w:sz w:val="20"/>
                      <w:szCs w:val="20"/>
                    </w:rPr>
                    <w:t>一般要求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.1</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所有危险废物产生者和危险废物经营者应建造专用的危险废物贮存设施，也可利用原有构筑物改建成危险废物贮存设施。</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本项目利用原有构筑物改建成危险废物贮存设施</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.2</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在常温常压下易爆、易燃及排出有毒气体的危险废物必须进行预处理，使之稳定后贮存，否则，按易爆、易燃危险品贮存</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rFonts w:hint="default" w:eastAsia="宋体"/>
                      <w:sz w:val="20"/>
                      <w:szCs w:val="20"/>
                      <w:lang w:val="en-US" w:eastAsia="zh-CN"/>
                    </w:rPr>
                  </w:pPr>
                  <w:r>
                    <w:rPr>
                      <w:rFonts w:hint="eastAsia" w:ascii="宋体" w:hAnsi="宋体"/>
                      <w:sz w:val="20"/>
                      <w:szCs w:val="20"/>
                    </w:rPr>
                    <w:t>本项目涉及易爆、易燃及排出有毒气体的危险废物</w:t>
                  </w:r>
                  <w:r>
                    <w:rPr>
                      <w:rFonts w:hint="eastAsia" w:ascii="宋体" w:hAnsi="宋体"/>
                      <w:sz w:val="20"/>
                      <w:szCs w:val="20"/>
                      <w:lang w:val="en-US" w:eastAsia="zh-CN"/>
                    </w:rPr>
                    <w:t>按照规范进行预处理</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.3</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在常温常压下不水解、不挥发的固体危险废物可在贮存设施内分别堆放</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本项目不同类别的危险废物分区存放</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.4</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除</w:t>
                  </w:r>
                  <w:r>
                    <w:rPr>
                      <w:rFonts w:hint="eastAsia"/>
                      <w:sz w:val="20"/>
                      <w:szCs w:val="20"/>
                    </w:rPr>
                    <w:t>4.3</w:t>
                  </w:r>
                  <w:r>
                    <w:rPr>
                      <w:rFonts w:hint="eastAsia" w:ascii="宋体" w:hAnsi="宋体"/>
                      <w:sz w:val="20"/>
                      <w:szCs w:val="20"/>
                    </w:rPr>
                    <w:t>规定外，必须将危险废物装入容器内</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本项目液体危险废物及含水率较高的危险废物均采用桶装</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.5</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禁止将不相容（相互反应）的危险废物在同一容器内混装</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本项目不同类别的危险废物采用不同容器贮存</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.6</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无法装入常用容器的危险废物可用防漏胶袋等盛装</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无法装入</w:t>
                  </w:r>
                  <w:r>
                    <w:rPr>
                      <w:rFonts w:hint="eastAsia"/>
                      <w:sz w:val="20"/>
                      <w:szCs w:val="20"/>
                    </w:rPr>
                    <w:t>PVC</w:t>
                  </w:r>
                  <w:r>
                    <w:rPr>
                      <w:rFonts w:hint="eastAsia" w:ascii="宋体" w:hAnsi="宋体"/>
                      <w:sz w:val="20"/>
                      <w:szCs w:val="20"/>
                    </w:rPr>
                    <w:t>桶及油桶的废物本项目全部箱装，采用防漏胶带打包</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.7</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装载液体、半固体危险废物的容器内须留足够空间，容器顶部与液体表面之间保留</w:t>
                  </w:r>
                  <w:r>
                    <w:rPr>
                      <w:rFonts w:hint="eastAsia"/>
                      <w:sz w:val="20"/>
                      <w:szCs w:val="20"/>
                    </w:rPr>
                    <w:t>100</w:t>
                  </w:r>
                  <w:r>
                    <w:rPr>
                      <w:rFonts w:hint="eastAsia" w:ascii="宋体" w:hAnsi="宋体"/>
                      <w:sz w:val="20"/>
                      <w:szCs w:val="20"/>
                    </w:rPr>
                    <w:t>毫米以上的空间</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本项目采用</w:t>
                  </w:r>
                  <w:r>
                    <w:rPr>
                      <w:rFonts w:hint="eastAsia"/>
                      <w:sz w:val="20"/>
                      <w:szCs w:val="20"/>
                    </w:rPr>
                    <w:t>PVC</w:t>
                  </w:r>
                  <w:r>
                    <w:rPr>
                      <w:rFonts w:hint="eastAsia" w:ascii="宋体" w:hAnsi="宋体"/>
                      <w:sz w:val="20"/>
                      <w:szCs w:val="20"/>
                    </w:rPr>
                    <w:t>桶或油桶装载液体、半固体危险废物，并保留</w:t>
                  </w:r>
                  <w:r>
                    <w:rPr>
                      <w:rFonts w:hint="eastAsia"/>
                      <w:sz w:val="20"/>
                      <w:szCs w:val="20"/>
                    </w:rPr>
                    <w:t>1</w:t>
                  </w:r>
                  <w:r>
                    <w:rPr>
                      <w:sz w:val="20"/>
                      <w:szCs w:val="20"/>
                    </w:rPr>
                    <w:t>00</w:t>
                  </w:r>
                  <w:r>
                    <w:rPr>
                      <w:rFonts w:hint="eastAsia"/>
                      <w:sz w:val="20"/>
                      <w:szCs w:val="20"/>
                    </w:rPr>
                    <w:t>mm</w:t>
                  </w:r>
                  <w:r>
                    <w:rPr>
                      <w:rFonts w:hint="eastAsia" w:ascii="宋体" w:hAnsi="宋体"/>
                      <w:sz w:val="20"/>
                      <w:szCs w:val="20"/>
                    </w:rPr>
                    <w:t>以上的空间</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.8</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医院产生的临床废物，必须当日消毒，消毒后装入容器。常温下贮存期不得超过一天，于摄氏</w:t>
                  </w:r>
                  <w:r>
                    <w:rPr>
                      <w:rFonts w:hint="eastAsia"/>
                      <w:sz w:val="20"/>
                      <w:szCs w:val="20"/>
                    </w:rPr>
                    <w:t>5</w:t>
                  </w:r>
                  <w:r>
                    <w:rPr>
                      <w:rFonts w:hint="eastAsia" w:ascii="宋体" w:hAnsi="宋体"/>
                      <w:sz w:val="20"/>
                      <w:szCs w:val="20"/>
                    </w:rPr>
                    <w:t>度以下冷藏的，不得超过</w:t>
                  </w:r>
                  <w:r>
                    <w:rPr>
                      <w:rFonts w:hint="eastAsia"/>
                      <w:sz w:val="20"/>
                      <w:szCs w:val="20"/>
                    </w:rPr>
                    <w:t>7</w:t>
                  </w:r>
                  <w:r>
                    <w:rPr>
                      <w:rFonts w:hint="eastAsia" w:ascii="宋体" w:hAnsi="宋体"/>
                      <w:sz w:val="20"/>
                      <w:szCs w:val="20"/>
                    </w:rPr>
                    <w:t>天</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本项目不涉及临床废物</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.9</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盛装危险废物的容器上必须粘贴符合本标准附录</w:t>
                  </w:r>
                  <w:r>
                    <w:rPr>
                      <w:rFonts w:hint="eastAsia"/>
                      <w:sz w:val="20"/>
                      <w:szCs w:val="20"/>
                    </w:rPr>
                    <w:t>A</w:t>
                  </w:r>
                  <w:r>
                    <w:rPr>
                      <w:rFonts w:hint="eastAsia" w:ascii="宋体" w:hAnsi="宋体"/>
                      <w:sz w:val="20"/>
                      <w:szCs w:val="20"/>
                    </w:rPr>
                    <w:t>所示的标签</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本项目所有危险废物容器均按要求粘贴标签</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.10</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危险废物贮存设施在施工前应做环境影响评价</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highlight w:val="none"/>
                    </w:rPr>
                    <w:t>本项目暂未施工</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rFonts w:hint="eastAsia"/>
                      <w:b/>
                      <w:bCs/>
                      <w:sz w:val="20"/>
                      <w:szCs w:val="20"/>
                    </w:rPr>
                    <w:t>2、</w:t>
                  </w:r>
                  <w:r>
                    <w:rPr>
                      <w:rFonts w:hint="eastAsia" w:ascii="宋体" w:hAnsi="宋体"/>
                      <w:b/>
                      <w:bCs/>
                      <w:sz w:val="20"/>
                      <w:szCs w:val="20"/>
                    </w:rPr>
                    <w:t>危险废物贮存容器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r>
                    <w:rPr>
                      <w:sz w:val="20"/>
                      <w:szCs w:val="20"/>
                    </w:rPr>
                    <w:t>.1</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应当使用符合标准的容器盛装危险废物</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本项目所采用的的容器均符合标准</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r>
                    <w:rPr>
                      <w:sz w:val="20"/>
                      <w:szCs w:val="20"/>
                    </w:rPr>
                    <w:t>.2</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装载危险废物的容器及材质要满足相应的强度要求</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本项目所采用的的容器分别为</w:t>
                  </w:r>
                  <w:r>
                    <w:rPr>
                      <w:rFonts w:hint="eastAsia"/>
                      <w:sz w:val="20"/>
                      <w:szCs w:val="20"/>
                    </w:rPr>
                    <w:t>PVC</w:t>
                  </w:r>
                  <w:r>
                    <w:rPr>
                      <w:rFonts w:hint="eastAsia" w:ascii="宋体" w:hAnsi="宋体"/>
                      <w:sz w:val="20"/>
                      <w:szCs w:val="20"/>
                    </w:rPr>
                    <w:t>桶、油桶、</w:t>
                  </w:r>
                  <w:r>
                    <w:rPr>
                      <w:rFonts w:hint="eastAsia"/>
                      <w:sz w:val="20"/>
                      <w:szCs w:val="20"/>
                    </w:rPr>
                    <w:t>PVC</w:t>
                  </w:r>
                  <w:r>
                    <w:rPr>
                      <w:rFonts w:hint="eastAsia" w:ascii="宋体" w:hAnsi="宋体"/>
                      <w:sz w:val="20"/>
                      <w:szCs w:val="20"/>
                    </w:rPr>
                    <w:t>打包箱等，均符合强度要求</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r>
                    <w:rPr>
                      <w:sz w:val="20"/>
                      <w:szCs w:val="20"/>
                    </w:rPr>
                    <w:t>.3</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装载危险废物的容器必须完好无损</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本项目采用完好无损的容器装载危险废物</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r>
                    <w:rPr>
                      <w:sz w:val="20"/>
                      <w:szCs w:val="20"/>
                    </w:rPr>
                    <w:t>.4</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盛装危险废物的容器材质和衬里要与危险废物相容（不相互反应）</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本项目所采取的容器与危险废物均不互相反应</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r>
                    <w:rPr>
                      <w:sz w:val="20"/>
                      <w:szCs w:val="20"/>
                    </w:rPr>
                    <w:t>.5</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液体危险废物可注入开孔直径不超过</w:t>
                  </w:r>
                  <w:r>
                    <w:rPr>
                      <w:rFonts w:hint="eastAsia"/>
                      <w:sz w:val="20"/>
                      <w:szCs w:val="20"/>
                    </w:rPr>
                    <w:t>70</w:t>
                  </w:r>
                  <w:r>
                    <w:rPr>
                      <w:rFonts w:hint="eastAsia" w:ascii="宋体" w:hAnsi="宋体"/>
                      <w:sz w:val="20"/>
                      <w:szCs w:val="20"/>
                    </w:rPr>
                    <w:t>毫米并有放气孔的桶中</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本项目所采用的的</w:t>
                  </w:r>
                  <w:r>
                    <w:rPr>
                      <w:rFonts w:hint="eastAsia"/>
                      <w:sz w:val="20"/>
                      <w:szCs w:val="20"/>
                    </w:rPr>
                    <w:t>PVC</w:t>
                  </w:r>
                  <w:r>
                    <w:rPr>
                      <w:rFonts w:hint="eastAsia" w:ascii="宋体" w:hAnsi="宋体"/>
                      <w:sz w:val="20"/>
                      <w:szCs w:val="20"/>
                    </w:rPr>
                    <w:t>桶及油桶开孔直径均为</w:t>
                  </w:r>
                  <w:r>
                    <w:rPr>
                      <w:rFonts w:hint="eastAsia"/>
                      <w:sz w:val="20"/>
                      <w:szCs w:val="20"/>
                    </w:rPr>
                    <w:t>5</w:t>
                  </w:r>
                  <w:r>
                    <w:rPr>
                      <w:sz w:val="20"/>
                      <w:szCs w:val="20"/>
                    </w:rPr>
                    <w:t>0</w:t>
                  </w:r>
                  <w:r>
                    <w:rPr>
                      <w:rFonts w:hint="eastAsia"/>
                      <w:sz w:val="20"/>
                      <w:szCs w:val="20"/>
                    </w:rPr>
                    <w:t>mm</w:t>
                  </w:r>
                  <w:r>
                    <w:rPr>
                      <w:rFonts w:hint="eastAsia" w:ascii="宋体" w:hAnsi="宋体"/>
                      <w:sz w:val="20"/>
                      <w:szCs w:val="20"/>
                    </w:rPr>
                    <w:t>，且设置有</w:t>
                  </w:r>
                  <w:r>
                    <w:rPr>
                      <w:rFonts w:hint="eastAsia" w:ascii="宋体" w:hAnsi="宋体"/>
                      <w:sz w:val="20"/>
                      <w:szCs w:val="20"/>
                      <w:highlight w:val="none"/>
                    </w:rPr>
                    <w:t>放气孔</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rFonts w:hint="eastAsia"/>
                      <w:b/>
                      <w:bCs/>
                      <w:sz w:val="20"/>
                      <w:szCs w:val="20"/>
                    </w:rPr>
                    <w:t>3、</w:t>
                  </w:r>
                  <w:r>
                    <w:rPr>
                      <w:rFonts w:hint="eastAsia" w:ascii="宋体" w:hAnsi="宋体"/>
                      <w:b/>
                      <w:bCs/>
                      <w:sz w:val="20"/>
                      <w:szCs w:val="20"/>
                    </w:rPr>
                    <w:t>危险废物贮存设施的选址与设计原则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地质结构稳定，地震烈度不超过</w:t>
                  </w:r>
                  <w:r>
                    <w:rPr>
                      <w:rFonts w:hint="eastAsia"/>
                      <w:sz w:val="20"/>
                      <w:szCs w:val="20"/>
                    </w:rPr>
                    <w:t>7</w:t>
                  </w:r>
                  <w:r>
                    <w:rPr>
                      <w:rFonts w:hint="eastAsia" w:ascii="宋体" w:hAnsi="宋体"/>
                      <w:sz w:val="20"/>
                      <w:szCs w:val="20"/>
                    </w:rPr>
                    <w:t>度的区域内；设施底部必须高于地下水最高水位</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衡阳市地震烈度为为</w:t>
                  </w:r>
                  <w:r>
                    <w:rPr>
                      <w:rFonts w:hint="eastAsia"/>
                      <w:sz w:val="20"/>
                      <w:szCs w:val="20"/>
                    </w:rPr>
                    <w:t>6</w:t>
                  </w:r>
                  <w:r>
                    <w:rPr>
                      <w:rFonts w:hint="eastAsia" w:ascii="宋体" w:hAnsi="宋体"/>
                      <w:sz w:val="20"/>
                      <w:szCs w:val="20"/>
                    </w:rPr>
                    <w:t>度；设施底部均高于地下水最高水位</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.2</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应依据环境影响评价结论确定危险废物集中贮存设施的位置及其与周围人群的距离，并经具有审批权的环境保护行政主管部门批准，并可作为规划控制的依据</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本项目与周边环境敏感目标最近为</w:t>
                  </w:r>
                  <w:r>
                    <w:rPr>
                      <w:rFonts w:hint="eastAsia" w:ascii="宋体" w:hAnsi="宋体"/>
                      <w:sz w:val="20"/>
                      <w:szCs w:val="20"/>
                      <w:lang w:val="en-US" w:eastAsia="zh-CN"/>
                    </w:rPr>
                    <w:t>西</w:t>
                  </w:r>
                  <w:r>
                    <w:rPr>
                      <w:rFonts w:hint="eastAsia" w:ascii="宋体" w:hAnsi="宋体"/>
                      <w:sz w:val="20"/>
                      <w:szCs w:val="20"/>
                    </w:rPr>
                    <w:t>侧</w:t>
                  </w:r>
                  <w:r>
                    <w:rPr>
                      <w:rFonts w:hint="eastAsia" w:ascii="宋体" w:hAnsi="宋体"/>
                      <w:sz w:val="20"/>
                      <w:szCs w:val="20"/>
                      <w:lang w:val="en-US" w:eastAsia="zh-CN"/>
                    </w:rPr>
                    <w:t>860</w:t>
                  </w:r>
                  <w:r>
                    <w:rPr>
                      <w:rFonts w:hint="eastAsia" w:ascii="宋体" w:hAnsi="宋体"/>
                      <w:sz w:val="20"/>
                      <w:szCs w:val="20"/>
                    </w:rPr>
                    <w:t>m</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.3</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应避免建在溶洞区或易遭受严重自然灾害如洪水、滑坡，泥石流、潮汐等影响的地区</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项目所在区域不受所述环境灾害影响区域</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.4</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应在易燃、易爆等危险品仓库、高压输电线路防护区域以外</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项目周边不存在易燃易爆危险品仓库，不涉及高压输电线防护区域</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.5</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应位于居民中心区常年最大风频的下风向</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eastAsia="宋体" w:cs="Times New Roman"/>
                      <w:sz w:val="20"/>
                      <w:szCs w:val="20"/>
                    </w:rPr>
                    <w:t>本项目位于居民中心区的下风向</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.6</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地面与裙脚要用坚固、防渗的材料建造，建筑材料必须与危险废物相容</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项目地面将采用坚固、防渗材料建筑，且与危险废物相容</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.7</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必须有泄漏液体收集装置、气体导出口及气体净化装置</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项目将设置事故应急池及废气收集装置，废气经负压收集+</w:t>
                  </w:r>
                  <w:r>
                    <w:rPr>
                      <w:rFonts w:hint="eastAsia" w:ascii="宋体" w:hAnsi="宋体"/>
                      <w:sz w:val="20"/>
                      <w:szCs w:val="20"/>
                      <w:lang w:val="en-US" w:eastAsia="zh-CN"/>
                    </w:rPr>
                    <w:t>三级</w:t>
                  </w:r>
                  <w:r>
                    <w:rPr>
                      <w:rFonts w:hint="eastAsia" w:ascii="宋体" w:hAnsi="宋体"/>
                      <w:sz w:val="20"/>
                      <w:szCs w:val="20"/>
                    </w:rPr>
                    <w:t>活性炭净化后通过</w:t>
                  </w:r>
                  <w:r>
                    <w:rPr>
                      <w:rFonts w:hint="eastAsia"/>
                      <w:sz w:val="20"/>
                      <w:szCs w:val="20"/>
                    </w:rPr>
                    <w:t>1</w:t>
                  </w:r>
                  <w:r>
                    <w:rPr>
                      <w:sz w:val="20"/>
                      <w:szCs w:val="20"/>
                    </w:rPr>
                    <w:t>5</w:t>
                  </w:r>
                  <w:r>
                    <w:rPr>
                      <w:rFonts w:hint="eastAsia"/>
                      <w:sz w:val="20"/>
                      <w:szCs w:val="20"/>
                    </w:rPr>
                    <w:t>m</w:t>
                  </w:r>
                  <w:r>
                    <w:rPr>
                      <w:rFonts w:hint="eastAsia" w:ascii="宋体" w:hAnsi="宋体"/>
                      <w:sz w:val="20"/>
                      <w:szCs w:val="20"/>
                    </w:rPr>
                    <w:t>排气筒排放</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.8</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设施内要有安全照明设施和观察窗口</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项目仓库内设安全照明设施，且设置窗口进行观察</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.9</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用以存放装载液体、半固体危险废物容器的地方，必须有耐腐蚀的硬化地面，且表面无裂隙</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项目地面将采取防腐、防渗措施</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.10</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应设计堵截泄漏的裙脚，地面与裙脚所围建的容积不低于堵截最大容器的最大储量或总储量的五分之一</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highlight w:val="none"/>
                    </w:rPr>
                    <w:t>项目事故应急池能够满足最大泄漏量的要求</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.11</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不相容的危险废物必须分开存放，并设有隔离间隔断</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项目所有不同类别的危险废物均分开存放，并设置了隔离间隔断</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.12</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基础必须防渗，防渗层为至少</w:t>
                  </w:r>
                  <w:r>
                    <w:rPr>
                      <w:rFonts w:hint="eastAsia"/>
                      <w:sz w:val="20"/>
                      <w:szCs w:val="20"/>
                    </w:rPr>
                    <w:t>1</w:t>
                  </w:r>
                  <w:r>
                    <w:rPr>
                      <w:rFonts w:hint="eastAsia" w:ascii="宋体" w:hAnsi="宋体"/>
                      <w:sz w:val="20"/>
                      <w:szCs w:val="20"/>
                    </w:rPr>
                    <w:t>米厚粘土层（渗透系数≤</w:t>
                  </w:r>
                  <w:r>
                    <w:rPr>
                      <w:rFonts w:hint="eastAsia"/>
                      <w:sz w:val="20"/>
                      <w:szCs w:val="20"/>
                    </w:rPr>
                    <w:t>10</w:t>
                  </w:r>
                  <w:r>
                    <w:rPr>
                      <w:rFonts w:hint="eastAsia"/>
                      <w:sz w:val="20"/>
                      <w:szCs w:val="20"/>
                      <w:vertAlign w:val="superscript"/>
                    </w:rPr>
                    <w:t>-7</w:t>
                  </w:r>
                  <w:r>
                    <w:rPr>
                      <w:rFonts w:hint="eastAsia" w:ascii="宋体" w:hAnsi="宋体"/>
                      <w:sz w:val="20"/>
                      <w:szCs w:val="20"/>
                    </w:rPr>
                    <w:t>厘米</w:t>
                  </w:r>
                  <w:r>
                    <w:rPr>
                      <w:rFonts w:hint="eastAsia"/>
                      <w:sz w:val="20"/>
                      <w:szCs w:val="20"/>
                    </w:rPr>
                    <w:t>/</w:t>
                  </w:r>
                  <w:r>
                    <w:rPr>
                      <w:rFonts w:hint="eastAsia" w:ascii="宋体" w:hAnsi="宋体"/>
                      <w:sz w:val="20"/>
                      <w:szCs w:val="20"/>
                    </w:rPr>
                    <w:t>秒），或</w:t>
                  </w:r>
                  <w:r>
                    <w:rPr>
                      <w:rFonts w:hint="eastAsia"/>
                      <w:sz w:val="20"/>
                      <w:szCs w:val="20"/>
                    </w:rPr>
                    <w:t>2</w:t>
                  </w:r>
                  <w:r>
                    <w:rPr>
                      <w:rFonts w:hint="eastAsia" w:ascii="宋体" w:hAnsi="宋体"/>
                      <w:sz w:val="20"/>
                      <w:szCs w:val="20"/>
                    </w:rPr>
                    <w:t>毫米厚高密度聚乙烯，或至少</w:t>
                  </w:r>
                  <w:r>
                    <w:rPr>
                      <w:rFonts w:hint="eastAsia"/>
                      <w:sz w:val="20"/>
                      <w:szCs w:val="20"/>
                    </w:rPr>
                    <w:t>2</w:t>
                  </w:r>
                  <w:r>
                    <w:rPr>
                      <w:rFonts w:hint="eastAsia" w:ascii="宋体" w:hAnsi="宋体"/>
                      <w:sz w:val="20"/>
                      <w:szCs w:val="20"/>
                    </w:rPr>
                    <w:t>毫米厚的其它人工材料，渗透系数≤</w:t>
                  </w:r>
                  <w:r>
                    <w:rPr>
                      <w:rFonts w:hint="eastAsia"/>
                      <w:sz w:val="20"/>
                      <w:szCs w:val="20"/>
                      <w:highlight w:val="none"/>
                    </w:rPr>
                    <w:t>10</w:t>
                  </w:r>
                  <w:r>
                    <w:rPr>
                      <w:rFonts w:hint="eastAsia"/>
                      <w:sz w:val="20"/>
                      <w:szCs w:val="20"/>
                      <w:highlight w:val="none"/>
                      <w:vertAlign w:val="superscript"/>
                    </w:rPr>
                    <w:t>-10</w:t>
                  </w:r>
                  <w:r>
                    <w:rPr>
                      <w:rFonts w:hint="eastAsia" w:ascii="宋体" w:hAnsi="宋体"/>
                      <w:sz w:val="20"/>
                      <w:szCs w:val="20"/>
                      <w:highlight w:val="none"/>
                    </w:rPr>
                    <w:t>厘米</w:t>
                  </w:r>
                  <w:r>
                    <w:rPr>
                      <w:rFonts w:hint="eastAsia"/>
                      <w:sz w:val="20"/>
                      <w:szCs w:val="20"/>
                      <w:highlight w:val="none"/>
                    </w:rPr>
                    <w:t>/</w:t>
                  </w:r>
                  <w:r>
                    <w:rPr>
                      <w:rFonts w:hint="eastAsia" w:ascii="宋体" w:hAnsi="宋体"/>
                      <w:sz w:val="20"/>
                      <w:szCs w:val="20"/>
                      <w:highlight w:val="none"/>
                    </w:rPr>
                    <w:t>秒</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项目场地已采用符合要求的防渗措施</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.13</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堆放危险废物的高度应根据地面承载能力确定</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本项目最大堆高不高于</w:t>
                  </w:r>
                  <w:r>
                    <w:rPr>
                      <w:rFonts w:hint="eastAsia"/>
                      <w:sz w:val="20"/>
                      <w:szCs w:val="20"/>
                    </w:rPr>
                    <w:t>3m</w:t>
                  </w:r>
                  <w:r>
                    <w:rPr>
                      <w:rFonts w:hint="eastAsia" w:ascii="宋体" w:hAnsi="宋体"/>
                      <w:sz w:val="20"/>
                      <w:szCs w:val="20"/>
                    </w:rPr>
                    <w:t>，符合地面承载力要求</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.14</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衬里放在一个基础或底座上</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项目所有危险废物堆存均设置底座</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.15</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衬里要能够覆盖危险废物或其溶出物可能涉及到的范围</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项目衬里能够覆盖危险废物或其溶出物可能涉及到的范围</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.16</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衬里材料与堆放危险废物相容</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项目衬里材料与堆放危险废物相容</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3</w:t>
                  </w:r>
                  <w:r>
                    <w:rPr>
                      <w:sz w:val="20"/>
                      <w:szCs w:val="20"/>
                    </w:rPr>
                    <w:t>.17</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在衬里上设计、建造浸出液收集清除系统</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项目贮存间将设置导流沟</w:t>
                  </w:r>
                  <w:r>
                    <w:rPr>
                      <w:rFonts w:hint="eastAsia" w:ascii="宋体" w:hAnsi="宋体"/>
                      <w:sz w:val="20"/>
                      <w:szCs w:val="20"/>
                      <w:lang w:eastAsia="zh-CN"/>
                    </w:rPr>
                    <w:t>、</w:t>
                  </w:r>
                  <w:r>
                    <w:rPr>
                      <w:rFonts w:hint="eastAsia" w:ascii="宋体" w:hAnsi="宋体"/>
                      <w:sz w:val="20"/>
                      <w:szCs w:val="20"/>
                      <w:lang w:val="en-US" w:eastAsia="zh-CN"/>
                    </w:rPr>
                    <w:t>收集池</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b/>
                      <w:bCs/>
                      <w:sz w:val="20"/>
                      <w:szCs w:val="20"/>
                    </w:rPr>
                    <w:t>4</w:t>
                  </w:r>
                  <w:r>
                    <w:rPr>
                      <w:rFonts w:hint="eastAsia"/>
                      <w:b/>
                      <w:bCs/>
                      <w:sz w:val="20"/>
                      <w:szCs w:val="20"/>
                    </w:rPr>
                    <w:t>、</w:t>
                  </w:r>
                  <w:r>
                    <w:rPr>
                      <w:rFonts w:hint="eastAsia" w:ascii="宋体" w:hAnsi="宋体"/>
                      <w:b/>
                      <w:bCs/>
                      <w:sz w:val="20"/>
                      <w:szCs w:val="20"/>
                    </w:rPr>
                    <w:t>危险废物贮存设施的运行与管理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4</w:t>
                  </w:r>
                  <w:r>
                    <w:rPr>
                      <w:sz w:val="20"/>
                      <w:szCs w:val="20"/>
                    </w:rPr>
                    <w:t>.1</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从事危险废物贮存的单位，必须得到有资质单位出具的该危险废物样品物理和化学性质的分析报告，认定可以贮存后，方可接收</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本项目将按要求接收危险废物</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4</w:t>
                  </w:r>
                  <w:r>
                    <w:rPr>
                      <w:sz w:val="20"/>
                      <w:szCs w:val="20"/>
                    </w:rPr>
                    <w:t>.2</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危险废物贮存前应进行检验，确保同预定接收的危险废物一致，并登记注册</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highlight w:val="none"/>
                    </w:rPr>
                    <w:t>本项目收集危险废物前均会进行检验</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4</w:t>
                  </w:r>
                  <w:r>
                    <w:rPr>
                      <w:sz w:val="20"/>
                      <w:szCs w:val="20"/>
                    </w:rPr>
                    <w:t>.3</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不得接收未粘贴符合</w:t>
                  </w:r>
                  <w:r>
                    <w:rPr>
                      <w:rFonts w:hint="eastAsia"/>
                      <w:sz w:val="20"/>
                      <w:szCs w:val="20"/>
                    </w:rPr>
                    <w:t>4.9</w:t>
                  </w:r>
                  <w:r>
                    <w:rPr>
                      <w:rFonts w:hint="eastAsia" w:ascii="宋体" w:hAnsi="宋体"/>
                      <w:sz w:val="20"/>
                      <w:szCs w:val="20"/>
                    </w:rPr>
                    <w:t>规定的标签或标签没按规定填写的危险废物</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项目所接收的危险废物均按要求粘贴标签</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4</w:t>
                  </w:r>
                  <w:r>
                    <w:rPr>
                      <w:sz w:val="20"/>
                      <w:szCs w:val="20"/>
                    </w:rPr>
                    <w:t>.4</w:t>
                  </w:r>
                </w:p>
              </w:tc>
              <w:tc>
                <w:tcPr>
                  <w:tcW w:w="2067"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每个堆间应留有搬运通道</w:t>
                  </w:r>
                </w:p>
              </w:tc>
              <w:tc>
                <w:tcPr>
                  <w:tcW w:w="175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项目预留了搬运通道</w:t>
                  </w:r>
                </w:p>
              </w:tc>
              <w:tc>
                <w:tcPr>
                  <w:tcW w:w="72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bl>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rPr>
            </w:pPr>
            <w:r>
              <w:rPr>
                <w:rFonts w:hint="eastAsia"/>
                <w:bCs/>
                <w:kern w:val="0"/>
                <w:sz w:val="24"/>
              </w:rPr>
              <w:t>由上表分析可知，本项目与《危险废物贮存污染控制标准》（GB 18597-2001）2013年修订版相符。</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Pr>
                <w:b/>
                <w:kern w:val="0"/>
                <w:sz w:val="24"/>
              </w:rPr>
            </w:pPr>
            <w:r>
              <w:rPr>
                <w:b/>
                <w:kern w:val="0"/>
                <w:sz w:val="24"/>
              </w:rPr>
              <w:t>6、与</w:t>
            </w:r>
            <w:r>
              <w:rPr>
                <w:rFonts w:hint="eastAsia"/>
                <w:b/>
                <w:kern w:val="0"/>
                <w:sz w:val="24"/>
              </w:rPr>
              <w:t>《废铅蓄电池处理污染控制技术规范》(HJ 519—2020)符合性分析</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rPr>
            </w:pPr>
            <w:r>
              <w:rPr>
                <w:rFonts w:hint="eastAsia"/>
                <w:bCs/>
                <w:kern w:val="0"/>
                <w:sz w:val="24"/>
              </w:rPr>
              <w:t>本项目涉及HW31含铅废物的收集、贮存、转运，其中主要为废铅蓄电池，本项目收集和转运均委托有资质的单位进行，本次仅对 (HJ 519—2020)中关于废铅蓄电池的暂存和贮存的要求进行符合性分析，分析可知与《废铅蓄电池处理污染控制技术规范》(HJ 519—2020)相符，具体见下表：</w:t>
            </w:r>
          </w:p>
          <w:p>
            <w:pPr>
              <w:pStyle w:val="7"/>
              <w:keepNext w:val="0"/>
              <w:keepLines w:val="0"/>
              <w:pageBreakBefore w:val="0"/>
              <w:kinsoku/>
              <w:wordWrap/>
              <w:overflowPunct/>
              <w:topLinePunct w:val="0"/>
              <w:bidi w:val="0"/>
              <w:spacing w:beforeAutospacing="0" w:afterAutospacing="0" w:line="360" w:lineRule="auto"/>
              <w:ind w:left="0" w:leftChars="0"/>
              <w:rPr>
                <w:sz w:val="21"/>
                <w:szCs w:val="21"/>
              </w:rPr>
            </w:pPr>
            <w:r>
              <w:rPr>
                <w:rFonts w:hint="eastAsia"/>
                <w:sz w:val="21"/>
                <w:szCs w:val="21"/>
              </w:rPr>
              <w:t>表1-</w:t>
            </w:r>
            <w:r>
              <w:rPr>
                <w:sz w:val="21"/>
                <w:szCs w:val="21"/>
              </w:rPr>
              <w:t xml:space="preserve">5  </w:t>
            </w:r>
            <w:r>
              <w:rPr>
                <w:rFonts w:hint="eastAsia"/>
                <w:sz w:val="21"/>
                <w:szCs w:val="21"/>
              </w:rPr>
              <w:t>项目与 (HJ 519—2020)符合性分析表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3372"/>
              <w:gridCol w:w="209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序号</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规范要求</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项目情况</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rFonts w:hint="eastAsia" w:ascii="宋体" w:hAnsi="宋体"/>
                      <w:b/>
                      <w:bCs/>
                      <w:sz w:val="20"/>
                      <w:szCs w:val="20"/>
                    </w:rPr>
                    <w:t>一</w:t>
                  </w:r>
                  <w:r>
                    <w:rPr>
                      <w:rFonts w:hint="eastAsia"/>
                      <w:b/>
                      <w:bCs/>
                      <w:sz w:val="20"/>
                      <w:szCs w:val="20"/>
                    </w:rPr>
                    <w:t>、</w:t>
                  </w:r>
                  <w:r>
                    <w:rPr>
                      <w:rFonts w:hint="eastAsia" w:ascii="宋体" w:hAnsi="宋体"/>
                      <w:b/>
                      <w:bCs/>
                      <w:sz w:val="20"/>
                      <w:szCs w:val="20"/>
                    </w:rPr>
                    <w:t>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从事废铅蓄电池收集、贮存的企业，应依法获得危险废物经营许可证；禁止无经营许可证或者不按照经营许可证规定从事废铅蓄电池收集、贮存经营活动</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将依法获取危险废物经营许可证</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收集、运输、贮存废铅蓄电池的容器或托盘，应根据废铅蓄电池的特性设计，不易破损、变形，其所用材料能有效地防止渗漏、扩散，并耐酸腐蚀。装有废铅蓄电池的容器或托盘必须粘贴符合</w:t>
                  </w:r>
                  <w:r>
                    <w:rPr>
                      <w:rFonts w:hint="eastAsia"/>
                      <w:sz w:val="20"/>
                      <w:szCs w:val="20"/>
                    </w:rPr>
                    <w:t xml:space="preserve">GB18597 </w:t>
                  </w:r>
                  <w:r>
                    <w:rPr>
                      <w:rFonts w:hint="eastAsia" w:ascii="宋体" w:hAnsi="宋体"/>
                      <w:sz w:val="20"/>
                      <w:szCs w:val="20"/>
                    </w:rPr>
                    <w:t>要求的危险废物标签</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项目采用</w:t>
                  </w:r>
                  <w:r>
                    <w:rPr>
                      <w:rFonts w:hint="eastAsia"/>
                      <w:sz w:val="20"/>
                      <w:szCs w:val="20"/>
                    </w:rPr>
                    <w:t>P</w:t>
                  </w:r>
                  <w:r>
                    <w:rPr>
                      <w:sz w:val="20"/>
                      <w:szCs w:val="20"/>
                    </w:rPr>
                    <w:t>VC</w:t>
                  </w:r>
                  <w:r>
                    <w:rPr>
                      <w:rFonts w:hint="eastAsia" w:ascii="宋体" w:hAnsi="宋体"/>
                      <w:sz w:val="20"/>
                      <w:szCs w:val="20"/>
                    </w:rPr>
                    <w:t>箱盛装废铅蓄电池，采用密封防漏胶进行密封，并粘贴好标签</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3</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废铅蓄电池收集、贮存企业应建立废铅蓄电池收集处理数据信息管理系统，如实记录收集、贮存、转移废铅蓄电池的重量、来源、去向等信息，并实现与全国固体废物管理信息系统的数据对接</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建设单位将建立数据管理系统，采用电子档</w:t>
                  </w:r>
                  <w:r>
                    <w:rPr>
                      <w:rFonts w:hint="eastAsia"/>
                      <w:sz w:val="20"/>
                      <w:szCs w:val="20"/>
                    </w:rPr>
                    <w:t>+</w:t>
                  </w:r>
                  <w:r>
                    <w:rPr>
                      <w:rFonts w:hint="eastAsia" w:ascii="宋体" w:hAnsi="宋体"/>
                      <w:sz w:val="20"/>
                      <w:szCs w:val="20"/>
                    </w:rPr>
                    <w:t>纸质档记录危废转运信息，并上传至环境管理部门的固废管理信息系统</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4</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禁止在收集、运输和贮存过程中擅自拆解、破碎、丢弃废铅蓄电池；禁止倾倒含铅酸性电解质</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建设单位仅进行收集、贮存、转运，不进行拆解、破碎和丢弃</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5</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废铅蓄电池收集、运输、贮存过程除应满足环境保护相关要求外，还应符合国家安全生产、职业健康、交通运输、消防等法规标准的相关要求</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本项目满足相关要求</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6</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废铅蓄电池收集企业和运输企业应组织收集人员、运输车辆驾驶员等相关人员参加危险废物环境管理和环境事故应急救援方面的培训</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建设单位按要求组织从业人员参加危险废物环境管理和环境事故应急救援方面的培训</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b/>
                      <w:bCs/>
                      <w:sz w:val="20"/>
                      <w:szCs w:val="20"/>
                    </w:rPr>
                  </w:pPr>
                  <w:r>
                    <w:rPr>
                      <w:rFonts w:hint="eastAsia" w:ascii="宋体" w:hAnsi="宋体"/>
                      <w:b/>
                      <w:bCs/>
                      <w:sz w:val="20"/>
                      <w:szCs w:val="20"/>
                    </w:rPr>
                    <w:t>二</w:t>
                  </w:r>
                  <w:r>
                    <w:rPr>
                      <w:rFonts w:hint="eastAsia"/>
                      <w:b/>
                      <w:bCs/>
                      <w:sz w:val="20"/>
                      <w:szCs w:val="20"/>
                    </w:rPr>
                    <w:t>、</w:t>
                  </w:r>
                  <w:r>
                    <w:rPr>
                      <w:rFonts w:hint="eastAsia" w:ascii="宋体" w:hAnsi="宋体"/>
                      <w:b/>
                      <w:bCs/>
                      <w:sz w:val="20"/>
                      <w:szCs w:val="20"/>
                    </w:rPr>
                    <w:t>暂存与贮存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7</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收集网点暂存时间应不超过</w:t>
                  </w:r>
                  <w:r>
                    <w:rPr>
                      <w:sz w:val="20"/>
                      <w:szCs w:val="20"/>
                    </w:rPr>
                    <w:t>90</w:t>
                  </w:r>
                  <w:r>
                    <w:rPr>
                      <w:rFonts w:hint="eastAsia" w:ascii="宋体" w:hAnsi="宋体"/>
                      <w:sz w:val="20"/>
                      <w:szCs w:val="20"/>
                    </w:rPr>
                    <w:t>天，重量应不超过</w:t>
                  </w:r>
                  <w:r>
                    <w:rPr>
                      <w:sz w:val="20"/>
                      <w:szCs w:val="20"/>
                    </w:rPr>
                    <w:t>3</w:t>
                  </w:r>
                  <w:r>
                    <w:rPr>
                      <w:rFonts w:hint="eastAsia" w:ascii="宋体" w:hAnsi="宋体"/>
                      <w:sz w:val="20"/>
                      <w:szCs w:val="20"/>
                    </w:rPr>
                    <w:t>吨；集中转运点贮存时间最长不超过</w:t>
                  </w:r>
                  <w:r>
                    <w:rPr>
                      <w:sz w:val="20"/>
                      <w:szCs w:val="20"/>
                    </w:rPr>
                    <w:t>1</w:t>
                  </w:r>
                  <w:r>
                    <w:rPr>
                      <w:rFonts w:hint="eastAsia" w:ascii="宋体" w:hAnsi="宋体"/>
                      <w:sz w:val="20"/>
                      <w:szCs w:val="20"/>
                    </w:rPr>
                    <w:t>年，贮存规模应小于贮存场所的设计容量。</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本项目最大暂存期为</w:t>
                  </w:r>
                  <w:r>
                    <w:rPr>
                      <w:rFonts w:hint="eastAsia"/>
                      <w:sz w:val="20"/>
                      <w:szCs w:val="20"/>
                      <w:lang w:val="en-US" w:eastAsia="zh-CN"/>
                    </w:rPr>
                    <w:t>30</w:t>
                  </w:r>
                  <w:r>
                    <w:rPr>
                      <w:rFonts w:hint="eastAsia" w:ascii="宋体" w:hAnsi="宋体"/>
                      <w:sz w:val="20"/>
                      <w:szCs w:val="20"/>
                    </w:rPr>
                    <w:t>天，平均贮存时间为</w:t>
                  </w:r>
                  <w:r>
                    <w:rPr>
                      <w:rFonts w:hint="eastAsia"/>
                      <w:sz w:val="20"/>
                      <w:szCs w:val="20"/>
                      <w:lang w:val="en-US" w:eastAsia="zh-CN"/>
                    </w:rPr>
                    <w:t>14.6</w:t>
                  </w:r>
                  <w:r>
                    <w:rPr>
                      <w:rFonts w:hint="eastAsia" w:ascii="宋体" w:hAnsi="宋体"/>
                      <w:sz w:val="20"/>
                      <w:szCs w:val="20"/>
                    </w:rPr>
                    <w:t>天</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8</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应防雨，必须远离其他水源和热源</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项目贮存场所已做好防雨，并周边无水源及热源</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9</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面积不少于</w:t>
                  </w:r>
                  <w:r>
                    <w:rPr>
                      <w:sz w:val="20"/>
                      <w:szCs w:val="20"/>
                    </w:rPr>
                    <w:t>30m</w:t>
                  </w:r>
                  <w:r>
                    <w:rPr>
                      <w:sz w:val="20"/>
                      <w:szCs w:val="20"/>
                      <w:vertAlign w:val="superscript"/>
                    </w:rPr>
                    <w:t>2</w:t>
                  </w:r>
                  <w:r>
                    <w:rPr>
                      <w:rFonts w:hint="eastAsia" w:ascii="宋体" w:hAnsi="宋体"/>
                      <w:sz w:val="20"/>
                      <w:szCs w:val="20"/>
                    </w:rPr>
                    <w:t>，有硬化地面和必要的防渗措施</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本项目划分的含铅废物贮存区域面积为</w:t>
                  </w:r>
                  <w:r>
                    <w:rPr>
                      <w:rFonts w:hint="eastAsia" w:ascii="宋体" w:hAnsi="宋体"/>
                      <w:sz w:val="20"/>
                      <w:szCs w:val="20"/>
                      <w:lang w:val="en-US" w:eastAsia="zh-CN"/>
                    </w:rPr>
                    <w:t>6</w:t>
                  </w:r>
                  <w:r>
                    <w:rPr>
                      <w:rFonts w:ascii="宋体" w:hAnsi="宋体"/>
                      <w:sz w:val="20"/>
                      <w:szCs w:val="20"/>
                    </w:rPr>
                    <w:t>0</w:t>
                  </w:r>
                  <w:r>
                    <w:rPr>
                      <w:rFonts w:hint="eastAsia"/>
                      <w:sz w:val="20"/>
                      <w:szCs w:val="20"/>
                    </w:rPr>
                    <w:t>m</w:t>
                  </w:r>
                  <w:r>
                    <w:rPr>
                      <w:sz w:val="20"/>
                      <w:szCs w:val="20"/>
                      <w:vertAlign w:val="superscript"/>
                    </w:rPr>
                    <w:t>2</w:t>
                  </w:r>
                  <w:r>
                    <w:rPr>
                      <w:rFonts w:hint="eastAsia" w:ascii="宋体" w:hAnsi="宋体"/>
                      <w:sz w:val="20"/>
                      <w:szCs w:val="20"/>
                    </w:rPr>
                    <w:t>，且地面进行硬化和防渗措施</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0</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应设有截流槽、导流沟、临时应急池和废液收集系统</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rFonts w:hint="eastAsia" w:eastAsia="宋体"/>
                      <w:sz w:val="20"/>
                      <w:szCs w:val="20"/>
                      <w:lang w:eastAsia="zh-CN"/>
                    </w:rPr>
                  </w:pPr>
                  <w:r>
                    <w:rPr>
                      <w:rFonts w:hint="eastAsia" w:ascii="宋体" w:hAnsi="宋体"/>
                      <w:sz w:val="20"/>
                      <w:szCs w:val="20"/>
                    </w:rPr>
                    <w:t>贮存场所设置导流沟、</w:t>
                  </w:r>
                  <w:r>
                    <w:rPr>
                      <w:rFonts w:hint="eastAsia" w:ascii="宋体" w:hAnsi="宋体"/>
                      <w:sz w:val="20"/>
                      <w:szCs w:val="20"/>
                      <w:lang w:val="en-US" w:eastAsia="zh-CN"/>
                    </w:rPr>
                    <w:t>收集池</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1</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应配备通讯设备、计量设备、照明设施、视频监控设施</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项目配备通讯设备、计量设备、照明设施及视频监控设施</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2</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应设立警示标志，只允许收集废铅蓄电池的专门人员进入</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项目设置警示标志，禁止无关人员入内</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3</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highlight w:val="none"/>
                    </w:rPr>
                    <w:t>应有排风换气系统，保证良好通风</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项目设置废气收集设施，废气经收集后采用</w:t>
                  </w:r>
                  <w:r>
                    <w:rPr>
                      <w:rFonts w:hint="eastAsia" w:ascii="宋体" w:hAnsi="宋体"/>
                      <w:sz w:val="20"/>
                      <w:szCs w:val="20"/>
                      <w:lang w:val="en-US" w:eastAsia="zh-CN"/>
                    </w:rPr>
                    <w:t>三级</w:t>
                  </w:r>
                  <w:r>
                    <w:rPr>
                      <w:rFonts w:hint="eastAsia" w:ascii="宋体" w:hAnsi="宋体"/>
                      <w:sz w:val="20"/>
                      <w:szCs w:val="20"/>
                    </w:rPr>
                    <w:t>活性炭吸附处理后排放</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4</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应配备耐腐蚀、不易破损变形的专用容器，用于单独分区存放开口式废铅蓄电池和破损的密闭式免维护废铅蓄电池。</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项目采用耐腐蚀的</w:t>
                  </w:r>
                  <w:r>
                    <w:rPr>
                      <w:rFonts w:hint="eastAsia"/>
                      <w:sz w:val="20"/>
                      <w:szCs w:val="20"/>
                    </w:rPr>
                    <w:t>PVC</w:t>
                  </w:r>
                  <w:r>
                    <w:rPr>
                      <w:rFonts w:hint="eastAsia" w:ascii="宋体" w:hAnsi="宋体"/>
                      <w:sz w:val="20"/>
                      <w:szCs w:val="20"/>
                    </w:rPr>
                    <w:t>箱盛装</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9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r>
                    <w:rPr>
                      <w:sz w:val="20"/>
                      <w:szCs w:val="20"/>
                    </w:rPr>
                    <w:t>5</w:t>
                  </w:r>
                </w:p>
              </w:tc>
              <w:tc>
                <w:tcPr>
                  <w:tcW w:w="2492"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禁止将废铅蓄电池堆放在露天场地，避免废铅蓄电池遭受雨淋水浸</w:t>
                  </w:r>
                </w:p>
              </w:tc>
              <w:tc>
                <w:tcPr>
                  <w:tcW w:w="1549"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项目贮存区域为密闭区域，防风、防雨、防晒、防渗</w:t>
                  </w:r>
                </w:p>
              </w:tc>
              <w:tc>
                <w:tcPr>
                  <w:tcW w:w="558"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bl>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360" w:firstLineChars="200"/>
              <w:jc w:val="center"/>
              <w:rPr>
                <w:rFonts w:ascii="宋体" w:hAnsi="宋体" w:cs="宋体"/>
                <w:kern w:val="0"/>
                <w:sz w:val="18"/>
                <w:szCs w:val="18"/>
              </w:rPr>
            </w:pPr>
          </w:p>
          <w:p>
            <w:pPr>
              <w:keepNext w:val="0"/>
              <w:keepLines w:val="0"/>
              <w:pageBreakBefore w:val="0"/>
              <w:numPr>
                <w:ilvl w:val="0"/>
                <w:numId w:val="2"/>
              </w:numPr>
              <w:kinsoku/>
              <w:wordWrap/>
              <w:overflowPunct/>
              <w:topLinePunct w:val="0"/>
              <w:autoSpaceDE w:val="0"/>
              <w:autoSpaceDN w:val="0"/>
              <w:bidi w:val="0"/>
              <w:adjustRightInd w:val="0"/>
              <w:snapToGrid w:val="0"/>
              <w:spacing w:beforeAutospacing="0" w:afterAutospacing="0" w:line="360" w:lineRule="auto"/>
              <w:ind w:left="0" w:leftChars="0"/>
              <w:rPr>
                <w:rFonts w:hint="eastAsia"/>
                <w:b/>
                <w:kern w:val="0"/>
                <w:sz w:val="24"/>
              </w:rPr>
            </w:pPr>
            <w:r>
              <w:rPr>
                <w:rFonts w:hint="eastAsia"/>
                <w:b/>
                <w:kern w:val="0"/>
                <w:sz w:val="24"/>
              </w:rPr>
              <w:t>与《废矿物油回收利用污染控制技术规范》（HJ 607-2011）符合性分析</w:t>
            </w:r>
          </w:p>
          <w:p>
            <w:pPr>
              <w:pStyle w:val="7"/>
              <w:keepNext w:val="0"/>
              <w:keepLines w:val="0"/>
              <w:pageBreakBefore w:val="0"/>
              <w:kinsoku/>
              <w:wordWrap/>
              <w:overflowPunct/>
              <w:topLinePunct w:val="0"/>
              <w:bidi w:val="0"/>
              <w:spacing w:beforeAutospacing="0" w:afterAutospacing="0" w:line="360" w:lineRule="auto"/>
              <w:ind w:left="0" w:leftChars="0"/>
              <w:rPr>
                <w:sz w:val="21"/>
                <w:szCs w:val="21"/>
                <w:lang w:val="en-US"/>
              </w:rPr>
            </w:pPr>
            <w:r>
              <w:rPr>
                <w:rFonts w:hint="eastAsia"/>
                <w:sz w:val="21"/>
                <w:szCs w:val="21"/>
              </w:rPr>
              <w:t>表</w:t>
            </w:r>
            <w:r>
              <w:rPr>
                <w:rFonts w:hint="eastAsia"/>
                <w:sz w:val="21"/>
                <w:szCs w:val="21"/>
                <w:lang w:val="en-US"/>
              </w:rPr>
              <w:t>1-</w:t>
            </w:r>
            <w:r>
              <w:rPr>
                <w:sz w:val="21"/>
                <w:szCs w:val="21"/>
                <w:lang w:val="en-US"/>
              </w:rPr>
              <w:t xml:space="preserve">6  </w:t>
            </w:r>
            <w:r>
              <w:rPr>
                <w:rFonts w:hint="eastAsia"/>
                <w:sz w:val="21"/>
                <w:szCs w:val="21"/>
              </w:rPr>
              <w:t>与</w:t>
            </w:r>
            <w:r>
              <w:rPr>
                <w:rFonts w:hint="eastAsia"/>
                <w:sz w:val="21"/>
                <w:szCs w:val="21"/>
                <w:lang w:val="en-US"/>
              </w:rPr>
              <w:t>（HJ 607-2011）</w:t>
            </w:r>
            <w:r>
              <w:rPr>
                <w:rFonts w:hint="eastAsia"/>
                <w:sz w:val="21"/>
                <w:szCs w:val="21"/>
              </w:rPr>
              <w:t>符合性分析表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3376"/>
              <w:gridCol w:w="2089"/>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序号</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规范要求</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项目情况</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1</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废矿物油贮存设施设计、建设除符合危险废物贮存设计原则外，还应符合有关消防和危险品贮存设计规范</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项目符合相关消防和危险品贮存设计规范</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2</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废矿物油贮存设施应远离火源，并避免高温和阳光直射</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项目贮存库周边无火源，且在室内，远离高温，无阳光直射</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3</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废矿物油应使用专用设施贮存，贮存前应进行检验，不应与不相容的废物混合，实行分类存放</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项目不同危废类别分区贮存，废矿物油采用油桶贮存</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4</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废矿物油贮存设施内地面应进行防渗处理，并建设废矿物油收集和导流系统，用于收集不慎泄漏的废矿物油</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项目贮存间地面进行防渗，并建设了导流沟及收集池</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sz w:val="20"/>
                      <w:szCs w:val="20"/>
                    </w:rPr>
                    <w:t>5</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废矿物油容器盛装液体废矿物时，应留有足够的膨胀余量，预留容积应不小于总容积的</w:t>
                  </w:r>
                  <w:r>
                    <w:rPr>
                      <w:rFonts w:hint="eastAsia"/>
                      <w:sz w:val="20"/>
                      <w:szCs w:val="20"/>
                    </w:rPr>
                    <w:t>5%</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建设单位已规范操作，预留了</w:t>
                  </w:r>
                  <w:r>
                    <w:rPr>
                      <w:rFonts w:hint="eastAsia"/>
                      <w:sz w:val="20"/>
                      <w:szCs w:val="20"/>
                    </w:rPr>
                    <w:t>1</w:t>
                  </w:r>
                  <w:r>
                    <w:rPr>
                      <w:sz w:val="20"/>
                      <w:szCs w:val="20"/>
                    </w:rPr>
                    <w:t>0</w:t>
                  </w:r>
                  <w:r>
                    <w:rPr>
                      <w:rFonts w:hint="eastAsia"/>
                      <w:sz w:val="20"/>
                      <w:szCs w:val="20"/>
                    </w:rPr>
                    <w:t>%</w:t>
                  </w:r>
                  <w:r>
                    <w:rPr>
                      <w:rFonts w:hint="eastAsia" w:ascii="宋体" w:hAnsi="宋体"/>
                      <w:sz w:val="20"/>
                      <w:szCs w:val="20"/>
                    </w:rPr>
                    <w:t>的容积</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32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sz w:val="20"/>
                      <w:szCs w:val="20"/>
                    </w:rPr>
                    <w:t>6</w:t>
                  </w:r>
                </w:p>
              </w:tc>
              <w:tc>
                <w:tcPr>
                  <w:tcW w:w="2495"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已盛装废矿物油的容器应进行密封，贮油</w:t>
                  </w:r>
                  <w:r>
                    <w:rPr>
                      <w:rFonts w:hint="eastAsia" w:ascii="宋体" w:hAnsi="宋体"/>
                      <w:sz w:val="20"/>
                      <w:szCs w:val="20"/>
                      <w:lang w:val="en-US" w:eastAsia="zh-CN"/>
                    </w:rPr>
                    <w:t>油罐</w:t>
                  </w:r>
                  <w:r>
                    <w:rPr>
                      <w:rFonts w:hint="eastAsia" w:ascii="宋体" w:hAnsi="宋体"/>
                      <w:sz w:val="20"/>
                      <w:szCs w:val="20"/>
                    </w:rPr>
                    <w:t>应设置呼吸孔，防止气体膨胀，并安装防护罩，防止杂质落入</w:t>
                  </w:r>
                </w:p>
              </w:tc>
              <w:tc>
                <w:tcPr>
                  <w:tcW w:w="1543"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项目采用油桶盛装废矿物油，并进行了密封</w:t>
                  </w:r>
                </w:p>
              </w:tc>
              <w:tc>
                <w:tcPr>
                  <w:tcW w:w="634" w:type="pct"/>
                  <w:tcBorders>
                    <w:top w:val="single" w:color="auto" w:sz="4" w:space="0"/>
                    <w:left w:val="single" w:color="auto" w:sz="4" w:space="0"/>
                    <w:bottom w:val="single" w:color="auto" w:sz="4" w:space="0"/>
                    <w:right w:val="single" w:color="auto" w:sz="4" w:space="0"/>
                  </w:tcBorders>
                  <w:vAlign w:val="center"/>
                </w:tcPr>
                <w:p>
                  <w:pPr>
                    <w:pStyle w:val="84"/>
                    <w:keepNext w:val="0"/>
                    <w:keepLines w:val="0"/>
                    <w:pageBreakBefore w:val="0"/>
                    <w:kinsoku/>
                    <w:wordWrap/>
                    <w:overflowPunct/>
                    <w:topLinePunct w:val="0"/>
                    <w:bidi w:val="0"/>
                    <w:spacing w:beforeAutospacing="0" w:afterAutospacing="0" w:line="360" w:lineRule="auto"/>
                    <w:ind w:left="0" w:leftChars="0" w:firstLine="0" w:firstLineChars="0"/>
                    <w:jc w:val="center"/>
                    <w:rPr>
                      <w:sz w:val="20"/>
                      <w:szCs w:val="20"/>
                    </w:rPr>
                  </w:pPr>
                  <w:r>
                    <w:rPr>
                      <w:rFonts w:hint="eastAsia" w:ascii="宋体" w:hAnsi="宋体"/>
                      <w:sz w:val="20"/>
                      <w:szCs w:val="20"/>
                    </w:rPr>
                    <w:t>符合</w:t>
                  </w:r>
                </w:p>
              </w:tc>
            </w:tr>
          </w:tbl>
          <w:p>
            <w:pPr>
              <w:pStyle w:val="7"/>
              <w:keepNext w:val="0"/>
              <w:keepLines w:val="0"/>
              <w:pageBreakBefore w:val="0"/>
              <w:kinsoku/>
              <w:wordWrap/>
              <w:overflowPunct/>
              <w:topLinePunct w:val="0"/>
              <w:bidi w:val="0"/>
              <w:spacing w:beforeAutospacing="0" w:afterAutospacing="0" w:line="360" w:lineRule="auto"/>
              <w:ind w:left="0" w:leftChars="0"/>
              <w:rPr>
                <w:sz w:val="21"/>
                <w:szCs w:val="21"/>
              </w:rPr>
            </w:pP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
                <w:kern w:val="0"/>
                <w:sz w:val="24"/>
              </w:rPr>
            </w:pPr>
            <w:r>
              <w:rPr>
                <w:rFonts w:hint="eastAsia"/>
                <w:sz w:val="24"/>
                <w:lang w:val="zh-CN"/>
              </w:rPr>
              <w:t>由上表可知，本项目与《废矿物油回收利用污染控制技术规范》（HJ 607-2011）相符。</w:t>
            </w:r>
          </w:p>
        </w:tc>
      </w:tr>
    </w:tbl>
    <w:p>
      <w:pPr>
        <w:keepNext w:val="0"/>
        <w:keepLines w:val="0"/>
        <w:pageBreakBefore w:val="0"/>
        <w:kinsoku/>
        <w:wordWrap/>
        <w:overflowPunct/>
        <w:topLinePunct w:val="0"/>
        <w:bidi w:val="0"/>
        <w:spacing w:beforeAutospacing="0" w:afterAutospacing="0" w:line="360" w:lineRule="auto"/>
        <w:ind w:left="0" w:leftChars="0"/>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rPr>
      </w:pPr>
      <w:bookmarkStart w:id="2" w:name="_Toc75787037"/>
      <w:r>
        <w:rPr>
          <w:rFonts w:hint="eastAsia" w:ascii="黑体" w:hAnsi="黑体" w:eastAsia="黑体"/>
          <w:snapToGrid w:val="0"/>
          <w:sz w:val="30"/>
          <w:szCs w:val="30"/>
        </w:rPr>
        <w:t>二、建设项目工程分析</w:t>
      </w:r>
      <w:bookmarkEnd w:id="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1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8" w:hRule="atLeast"/>
          <w:jc w:val="center"/>
        </w:trPr>
        <w:tc>
          <w:tcPr>
            <w:tcW w:w="699" w:type="dxa"/>
            <w:vAlign w:val="center"/>
          </w:tcPr>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szCs w:val="24"/>
              </w:rPr>
            </w:pPr>
            <w:r>
              <w:rPr>
                <w:rFonts w:hint="eastAsia" w:cs="宋体"/>
                <w:szCs w:val="24"/>
              </w:rPr>
              <w:t>建设内容</w:t>
            </w:r>
          </w:p>
        </w:tc>
        <w:tc>
          <w:tcPr>
            <w:tcW w:w="8125" w:type="dxa"/>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u w:val="none"/>
              </w:rPr>
            </w:pPr>
            <w:r>
              <w:rPr>
                <w:b/>
                <w:kern w:val="0"/>
                <w:sz w:val="24"/>
                <w:u w:val="none"/>
              </w:rPr>
              <w:t>1、项目</w:t>
            </w:r>
            <w:r>
              <w:rPr>
                <w:rFonts w:hint="eastAsia"/>
                <w:b/>
                <w:kern w:val="0"/>
                <w:sz w:val="24"/>
                <w:u w:val="none"/>
              </w:rPr>
              <w:t>由来</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bCs/>
                <w:kern w:val="0"/>
                <w:sz w:val="24"/>
                <w:lang w:val="en-US" w:eastAsia="zh-CN"/>
              </w:rPr>
              <w:t>位于</w:t>
            </w:r>
            <w:r>
              <w:rPr>
                <w:rFonts w:hint="eastAsia" w:cs="Times New Roman"/>
                <w:bCs/>
                <w:kern w:val="0"/>
                <w:sz w:val="24"/>
                <w:lang w:val="en-US" w:eastAsia="zh-CN"/>
              </w:rPr>
              <w:t>祁东县归阳镇</w:t>
            </w:r>
            <w:r>
              <w:rPr>
                <w:rFonts w:hint="eastAsia" w:ascii="Times New Roman" w:hAnsi="Times New Roman" w:eastAsia="宋体" w:cs="Times New Roman"/>
                <w:bCs/>
                <w:kern w:val="0"/>
                <w:sz w:val="24"/>
                <w:lang w:val="en-US" w:eastAsia="zh-CN"/>
              </w:rPr>
              <w:t>的</w:t>
            </w:r>
            <w:r>
              <w:rPr>
                <w:rFonts w:hint="eastAsia" w:cs="Times New Roman"/>
                <w:bCs/>
                <w:kern w:val="0"/>
                <w:sz w:val="24"/>
                <w:lang w:val="en-US" w:eastAsia="zh-CN"/>
              </w:rPr>
              <w:t>归阳工业园</w:t>
            </w:r>
            <w:r>
              <w:rPr>
                <w:rFonts w:hint="eastAsia" w:ascii="Times New Roman" w:hAnsi="Times New Roman" w:eastAsia="宋体" w:cs="Times New Roman"/>
                <w:bCs/>
                <w:kern w:val="0"/>
                <w:sz w:val="24"/>
                <w:lang w:val="en-US" w:eastAsia="zh-CN"/>
              </w:rPr>
              <w:t>，</w:t>
            </w:r>
            <w:r>
              <w:rPr>
                <w:rFonts w:hint="default" w:ascii="Times New Roman" w:hAnsi="Times New Roman" w:eastAsia="宋体" w:cs="Times New Roman"/>
                <w:color w:val="auto"/>
                <w:kern w:val="0"/>
                <w:sz w:val="24"/>
                <w:szCs w:val="24"/>
              </w:rPr>
              <w:t>规划面积为2.4平方公里</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园区产业定位为工业园重点发展机械制造（汽车及工程零部件、农产品精深加工机械）、电子信息（电子元器件、新能源电池）、食品加工（农副产业）等产业。以引进外资技术和劳动密集型的一、二类工业为主。</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hint="eastAsia"/>
                <w:bCs/>
                <w:kern w:val="0"/>
                <w:sz w:val="24"/>
              </w:rPr>
            </w:pPr>
            <w:r>
              <w:rPr>
                <w:rFonts w:hint="eastAsia"/>
                <w:bCs/>
                <w:kern w:val="0"/>
                <w:sz w:val="24"/>
                <w:lang w:val="en-US" w:eastAsia="zh-CN"/>
              </w:rPr>
              <w:t>随着</w:t>
            </w:r>
            <w:r>
              <w:rPr>
                <w:rFonts w:hint="eastAsia" w:cs="Times New Roman"/>
                <w:bCs/>
                <w:kern w:val="0"/>
                <w:sz w:val="24"/>
                <w:lang w:val="en-US" w:eastAsia="zh-CN"/>
              </w:rPr>
              <w:t>归阳工业园</w:t>
            </w:r>
            <w:r>
              <w:rPr>
                <w:rFonts w:hint="eastAsia"/>
                <w:bCs/>
                <w:kern w:val="0"/>
                <w:sz w:val="24"/>
                <w:lang w:val="en-US" w:eastAsia="zh-CN"/>
              </w:rPr>
              <w:t>的发展，</w:t>
            </w:r>
            <w:r>
              <w:rPr>
                <w:rFonts w:hint="eastAsia" w:eastAsia="宋体" w:cs="Times New Roman"/>
                <w:sz w:val="24"/>
                <w:szCs w:val="24"/>
                <w:u w:val="none"/>
                <w:lang w:val="en-US" w:eastAsia="zh-CN"/>
              </w:rPr>
              <w:t>园区</w:t>
            </w:r>
            <w:r>
              <w:rPr>
                <w:rFonts w:hint="default" w:ascii="Times New Roman" w:hAnsi="Times New Roman" w:eastAsia="宋体" w:cs="Times New Roman"/>
                <w:sz w:val="24"/>
                <w:szCs w:val="24"/>
                <w:u w:val="none"/>
              </w:rPr>
              <w:t>企业数量的不断增加</w:t>
            </w:r>
            <w:r>
              <w:rPr>
                <w:rFonts w:hint="eastAsia" w:eastAsia="宋体" w:cs="Times New Roman"/>
                <w:sz w:val="24"/>
                <w:szCs w:val="24"/>
                <w:u w:val="none"/>
                <w:lang w:eastAsia="zh-CN"/>
              </w:rPr>
              <w:t>，</w:t>
            </w:r>
            <w:r>
              <w:rPr>
                <w:rFonts w:hint="eastAsia"/>
                <w:bCs/>
                <w:kern w:val="0"/>
                <w:sz w:val="24"/>
                <w:lang w:val="en-US" w:eastAsia="zh-CN"/>
              </w:rPr>
              <w:t>危险废物产生量也在不断增加，如果处理不当，给园区和周边城镇的发展带来新的环境问题和环保压力。有些地方对危险废物的处置不重视，集中处置设施建设滞后，大部分危险废物处于低水平综合利用、简单贮存或直接排放状态，</w:t>
            </w:r>
            <w:r>
              <w:rPr>
                <w:rFonts w:hint="default" w:ascii="Times New Roman" w:hAnsi="Times New Roman" w:eastAsia="宋体" w:cs="Times New Roman"/>
                <w:sz w:val="24"/>
                <w:szCs w:val="24"/>
                <w:u w:val="none"/>
              </w:rPr>
              <w:t>如随意倾倒和非法转移倒卖，</w:t>
            </w:r>
            <w:r>
              <w:rPr>
                <w:rFonts w:hint="eastAsia"/>
                <w:bCs/>
                <w:kern w:val="0"/>
                <w:sz w:val="24"/>
                <w:lang w:val="en-US" w:eastAsia="zh-CN"/>
              </w:rPr>
              <w:t xml:space="preserve">严重影响环境安全和人民健康。 </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hint="default" w:ascii="Times New Roman" w:hAnsi="Times New Roman" w:eastAsia="宋体" w:cs="Times New Roman"/>
                <w:sz w:val="24"/>
                <w:szCs w:val="24"/>
                <w:u w:val="none"/>
                <w:lang w:val="en-US" w:eastAsia="zh-CN"/>
              </w:rPr>
            </w:pPr>
            <w:r>
              <w:rPr>
                <w:rFonts w:hint="eastAsia"/>
                <w:bCs/>
                <w:kern w:val="0"/>
                <w:sz w:val="24"/>
                <w:lang w:val="en-US" w:eastAsia="zh-CN"/>
              </w:rPr>
              <w:t>为了加强对园区危险废物的管理，提高危险废物处置水平和能力，使危险废物控制达到减量化、资源化和无害化，</w:t>
            </w:r>
            <w:r>
              <w:rPr>
                <w:rFonts w:hint="eastAsia"/>
                <w:bCs/>
                <w:kern w:val="0"/>
                <w:sz w:val="24"/>
                <w:lang w:eastAsia="zh-CN"/>
              </w:rPr>
              <w:t>湖南川岳环境科技有限公司</w:t>
            </w:r>
            <w:r>
              <w:rPr>
                <w:rFonts w:hint="eastAsia"/>
                <w:bCs/>
                <w:kern w:val="0"/>
                <w:sz w:val="24"/>
                <w:lang w:val="en-US" w:eastAsia="zh-CN"/>
              </w:rPr>
              <w:t>根据《湖南省重点固体废物环境管理</w:t>
            </w:r>
            <w:r>
              <w:rPr>
                <w:rFonts w:hint="default"/>
                <w:bCs/>
                <w:kern w:val="0"/>
                <w:sz w:val="24"/>
                <w:lang w:val="en-US" w:eastAsia="zh-CN"/>
              </w:rPr>
              <w:t>“</w:t>
            </w:r>
            <w:r>
              <w:rPr>
                <w:rFonts w:hint="eastAsia"/>
                <w:bCs/>
                <w:kern w:val="0"/>
                <w:sz w:val="24"/>
                <w:lang w:val="en-US" w:eastAsia="zh-CN"/>
              </w:rPr>
              <w:t>十三五</w:t>
            </w:r>
            <w:r>
              <w:rPr>
                <w:rFonts w:hint="default"/>
                <w:bCs/>
                <w:kern w:val="0"/>
                <w:sz w:val="24"/>
                <w:lang w:val="en-US" w:eastAsia="zh-CN"/>
              </w:rPr>
              <w:t>”</w:t>
            </w:r>
            <w:r>
              <w:rPr>
                <w:rFonts w:hint="eastAsia"/>
                <w:bCs/>
                <w:kern w:val="0"/>
                <w:sz w:val="24"/>
                <w:lang w:val="en-US" w:eastAsia="zh-CN"/>
              </w:rPr>
              <w:t>规划》、湖南省实施《中华人民共和国固体废物污染环境防治法》等文件要求，</w:t>
            </w:r>
            <w:r>
              <w:rPr>
                <w:rFonts w:hint="eastAsia" w:ascii="Times New Roman" w:hAnsi="Times New Roman" w:eastAsia="宋体" w:cs="Times New Roman"/>
                <w:sz w:val="24"/>
                <w:szCs w:val="24"/>
                <w:u w:val="none"/>
                <w:lang w:val="en-US" w:eastAsia="zh-CN"/>
              </w:rPr>
              <w:t>在</w:t>
            </w:r>
            <w:r>
              <w:rPr>
                <w:rFonts w:hint="eastAsia" w:cs="Times New Roman"/>
                <w:bCs/>
                <w:kern w:val="0"/>
                <w:sz w:val="24"/>
                <w:lang w:val="en-US" w:eastAsia="zh-CN"/>
              </w:rPr>
              <w:t>归阳工业园</w:t>
            </w:r>
            <w:r>
              <w:rPr>
                <w:rFonts w:hint="default" w:ascii="Times New Roman" w:hAnsi="Times New Roman" w:eastAsia="宋体" w:cs="Times New Roman"/>
                <w:sz w:val="24"/>
                <w:szCs w:val="24"/>
                <w:u w:val="none"/>
              </w:rPr>
              <w:t>建设</w:t>
            </w:r>
            <w:r>
              <w:rPr>
                <w:rFonts w:hint="default" w:ascii="Times New Roman" w:hAnsi="Times New Roman" w:eastAsia="宋体" w:cs="Times New Roman"/>
                <w:sz w:val="24"/>
                <w:szCs w:val="24"/>
                <w:u w:val="none"/>
                <w:lang w:eastAsia="zh-CN"/>
              </w:rPr>
              <w:t>危险废物</w:t>
            </w:r>
            <w:r>
              <w:rPr>
                <w:rFonts w:hint="default" w:ascii="Times New Roman" w:hAnsi="Times New Roman" w:eastAsia="宋体" w:cs="Times New Roman"/>
                <w:sz w:val="24"/>
                <w:szCs w:val="24"/>
                <w:u w:val="none"/>
              </w:rPr>
              <w:t>收集、贮存、转运项目</w:t>
            </w:r>
            <w:r>
              <w:rPr>
                <w:rFonts w:hint="eastAsia"/>
                <w:bCs/>
                <w:kern w:val="0"/>
                <w:sz w:val="24"/>
                <w:lang w:val="en-US" w:eastAsia="zh-CN"/>
              </w:rPr>
              <w:t>，对</w:t>
            </w:r>
            <w:r>
              <w:rPr>
                <w:rFonts w:hint="default" w:ascii="Times New Roman" w:hAnsi="Times New Roman" w:eastAsia="宋体" w:cs="Times New Roman"/>
                <w:sz w:val="24"/>
                <w:szCs w:val="24"/>
                <w:u w:val="none"/>
                <w:lang w:eastAsia="zh-CN"/>
              </w:rPr>
              <w:t>危险废物</w:t>
            </w:r>
            <w:r>
              <w:rPr>
                <w:rFonts w:hint="default" w:ascii="Times New Roman" w:hAnsi="Times New Roman" w:eastAsia="宋体" w:cs="Times New Roman"/>
                <w:sz w:val="24"/>
                <w:szCs w:val="24"/>
                <w:u w:val="none"/>
              </w:rPr>
              <w:t>规模化、专业化的收集、贮存</w:t>
            </w:r>
            <w:r>
              <w:rPr>
                <w:rFonts w:hint="eastAsia" w:ascii="Times New Roman" w:hAnsi="Times New Roman" w:eastAsia="宋体" w:cs="Times New Roman"/>
                <w:sz w:val="24"/>
                <w:szCs w:val="24"/>
                <w:u w:val="none"/>
                <w:lang w:eastAsia="zh-CN"/>
              </w:rPr>
              <w:t>，</w:t>
            </w:r>
            <w:r>
              <w:rPr>
                <w:rFonts w:hint="eastAsia" w:ascii="Times New Roman" w:hAnsi="Times New Roman" w:eastAsia="宋体" w:cs="Times New Roman"/>
                <w:sz w:val="24"/>
                <w:szCs w:val="24"/>
                <w:u w:val="none"/>
                <w:lang w:val="en-US" w:eastAsia="zh-CN"/>
              </w:rPr>
              <w:t>预计</w:t>
            </w:r>
            <w:r>
              <w:rPr>
                <w:rFonts w:hint="eastAsia"/>
                <w:bCs/>
                <w:kern w:val="0"/>
                <w:sz w:val="24"/>
                <w:highlight w:val="none"/>
              </w:rPr>
              <w:t>项目建成后</w:t>
            </w:r>
            <w:r>
              <w:rPr>
                <w:rFonts w:hint="eastAsia"/>
                <w:bCs/>
                <w:kern w:val="0"/>
                <w:sz w:val="24"/>
                <w:highlight w:val="none"/>
                <w:lang w:val="en-US" w:eastAsia="zh-CN"/>
              </w:rPr>
              <w:t>会产生</w:t>
            </w:r>
            <w:r>
              <w:rPr>
                <w:rFonts w:hint="default" w:ascii="Times New Roman" w:hAnsi="Times New Roman" w:eastAsia="宋体" w:cs="Times New Roman"/>
                <w:sz w:val="24"/>
                <w:szCs w:val="24"/>
                <w:u w:val="none"/>
                <w:lang w:val="en-US" w:eastAsia="zh-CN"/>
              </w:rPr>
              <w:t>较好的环保效益和经济效益。</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bCs/>
                <w:kern w:val="0"/>
                <w:sz w:val="24"/>
                <w:highlight w:val="green"/>
              </w:rPr>
            </w:pPr>
            <w:r>
              <w:rPr>
                <w:rFonts w:hint="eastAsia"/>
                <w:bCs/>
                <w:kern w:val="0"/>
                <w:sz w:val="24"/>
              </w:rPr>
              <w:t>202</w:t>
            </w:r>
            <w:r>
              <w:rPr>
                <w:rFonts w:hint="eastAsia"/>
                <w:bCs/>
                <w:kern w:val="0"/>
                <w:sz w:val="24"/>
                <w:lang w:val="en-US" w:eastAsia="zh-CN"/>
              </w:rPr>
              <w:t>2</w:t>
            </w:r>
            <w:r>
              <w:rPr>
                <w:rFonts w:hint="eastAsia"/>
                <w:bCs/>
                <w:kern w:val="0"/>
                <w:sz w:val="24"/>
              </w:rPr>
              <w:t>年</w:t>
            </w:r>
            <w:r>
              <w:rPr>
                <w:rFonts w:hint="eastAsia"/>
                <w:bCs/>
                <w:kern w:val="0"/>
                <w:sz w:val="24"/>
                <w:lang w:val="en-US" w:eastAsia="zh-CN"/>
              </w:rPr>
              <w:t>4</w:t>
            </w:r>
            <w:r>
              <w:rPr>
                <w:rFonts w:hint="eastAsia"/>
                <w:bCs/>
                <w:kern w:val="0"/>
                <w:sz w:val="24"/>
              </w:rPr>
              <w:t>月</w:t>
            </w:r>
            <w:r>
              <w:rPr>
                <w:bCs/>
                <w:kern w:val="0"/>
                <w:sz w:val="24"/>
              </w:rPr>
              <w:t>2</w:t>
            </w:r>
            <w:r>
              <w:rPr>
                <w:rFonts w:hint="eastAsia"/>
                <w:bCs/>
                <w:kern w:val="0"/>
                <w:sz w:val="24"/>
                <w:lang w:val="en-US" w:eastAsia="zh-CN"/>
              </w:rPr>
              <w:t>7</w:t>
            </w:r>
            <w:r>
              <w:rPr>
                <w:rFonts w:hint="eastAsia"/>
                <w:bCs/>
                <w:kern w:val="0"/>
                <w:sz w:val="24"/>
              </w:rPr>
              <w:t>日</w:t>
            </w:r>
            <w:r>
              <w:rPr>
                <w:rFonts w:hint="eastAsia"/>
                <w:bCs/>
                <w:kern w:val="0"/>
                <w:sz w:val="24"/>
                <w:lang w:eastAsia="zh-CN"/>
              </w:rPr>
              <w:t>湖南川岳环境科技有限公司</w:t>
            </w:r>
            <w:r>
              <w:rPr>
                <w:rFonts w:hint="default" w:ascii="Times New Roman" w:hAnsi="Times New Roman" w:eastAsia="宋体" w:cs="Times New Roman"/>
                <w:sz w:val="24"/>
                <w:szCs w:val="24"/>
                <w:u w:val="none"/>
                <w:lang w:eastAsia="zh-CN"/>
              </w:rPr>
              <w:t>拟</w:t>
            </w:r>
            <w:r>
              <w:rPr>
                <w:rFonts w:hint="default" w:ascii="Times New Roman" w:hAnsi="Times New Roman" w:eastAsia="宋体" w:cs="Times New Roman"/>
                <w:sz w:val="24"/>
                <w:szCs w:val="24"/>
                <w:u w:val="none"/>
              </w:rPr>
              <w:t>投资</w:t>
            </w:r>
            <w:r>
              <w:rPr>
                <w:rFonts w:hint="eastAsia" w:cs="Times New Roman"/>
                <w:sz w:val="24"/>
                <w:szCs w:val="24"/>
                <w:u w:val="none"/>
                <w:lang w:val="en-US" w:eastAsia="zh-CN"/>
              </w:rPr>
              <w:t>5</w:t>
            </w:r>
            <w:r>
              <w:rPr>
                <w:rFonts w:hint="default" w:ascii="Times New Roman" w:hAnsi="Times New Roman" w:eastAsia="宋体" w:cs="Times New Roman"/>
                <w:sz w:val="24"/>
                <w:szCs w:val="24"/>
                <w:u w:val="none"/>
              </w:rPr>
              <w:t>00万，</w:t>
            </w:r>
            <w:r>
              <w:rPr>
                <w:rFonts w:hint="eastAsia"/>
                <w:bCs/>
                <w:kern w:val="0"/>
                <w:sz w:val="24"/>
              </w:rPr>
              <w:t>新建“危险废物收集、贮存、</w:t>
            </w:r>
            <w:r>
              <w:rPr>
                <w:rFonts w:hint="eastAsia" w:ascii="Times New Roman" w:hAnsi="Times New Roman" w:eastAsia="宋体" w:cs="Times New Roman"/>
                <w:bCs/>
                <w:kern w:val="0"/>
                <w:sz w:val="24"/>
                <w:lang w:val="en-US" w:eastAsia="zh-CN"/>
              </w:rPr>
              <w:t>转运项目”，项目致力于解决</w:t>
            </w:r>
            <w:r>
              <w:rPr>
                <w:rFonts w:hint="eastAsia" w:cs="Times New Roman"/>
                <w:bCs/>
                <w:kern w:val="0"/>
                <w:sz w:val="24"/>
                <w:lang w:val="en-US" w:eastAsia="zh-CN"/>
              </w:rPr>
              <w:t>归阳工业园</w:t>
            </w:r>
            <w:r>
              <w:rPr>
                <w:rFonts w:hint="eastAsia" w:ascii="Times New Roman" w:hAnsi="Times New Roman" w:eastAsia="宋体" w:cs="Times New Roman"/>
                <w:bCs/>
                <w:kern w:val="0"/>
                <w:sz w:val="24"/>
                <w:lang w:val="en-US" w:eastAsia="zh-CN"/>
              </w:rPr>
              <w:t>区企业</w:t>
            </w:r>
            <w:r>
              <w:rPr>
                <w:rFonts w:hint="eastAsia" w:cs="Times New Roman"/>
                <w:bCs/>
                <w:kern w:val="0"/>
                <w:sz w:val="24"/>
                <w:lang w:val="en-US" w:eastAsia="zh-CN"/>
              </w:rPr>
              <w:t>、祁东县</w:t>
            </w:r>
            <w:r>
              <w:rPr>
                <w:rFonts w:hint="eastAsia" w:ascii="Times New Roman" w:hAnsi="Times New Roman" w:eastAsia="宋体" w:cs="Times New Roman"/>
                <w:bCs/>
                <w:kern w:val="0"/>
                <w:sz w:val="24"/>
                <w:lang w:val="en-US" w:eastAsia="zh-CN"/>
              </w:rPr>
              <w:t>域及</w:t>
            </w:r>
            <w:r>
              <w:rPr>
                <w:rFonts w:hint="eastAsia" w:cs="Times New Roman"/>
                <w:bCs/>
                <w:kern w:val="0"/>
                <w:sz w:val="24"/>
                <w:lang w:val="en-US" w:eastAsia="zh-CN"/>
              </w:rPr>
              <w:t>周边地区产生</w:t>
            </w:r>
            <w:r>
              <w:rPr>
                <w:rFonts w:hint="eastAsia"/>
                <w:bCs/>
                <w:kern w:val="0"/>
                <w:sz w:val="24"/>
              </w:rPr>
              <w:t>危险废物</w:t>
            </w:r>
            <w:r>
              <w:rPr>
                <w:rFonts w:hint="eastAsia" w:ascii="Times New Roman" w:hAnsi="Times New Roman" w:eastAsia="宋体" w:cs="Times New Roman"/>
                <w:bCs/>
                <w:kern w:val="0"/>
                <w:sz w:val="24"/>
                <w:lang w:val="en-US" w:eastAsia="zh-CN"/>
              </w:rPr>
              <w:t>企业</w:t>
            </w:r>
            <w:r>
              <w:rPr>
                <w:rFonts w:hint="eastAsia" w:cs="Times New Roman"/>
                <w:bCs/>
                <w:kern w:val="0"/>
                <w:sz w:val="24"/>
                <w:lang w:val="en-US" w:eastAsia="zh-CN"/>
              </w:rPr>
              <w:t>面临</w:t>
            </w:r>
            <w:r>
              <w:rPr>
                <w:rFonts w:hint="eastAsia"/>
                <w:bCs/>
                <w:kern w:val="0"/>
                <w:sz w:val="24"/>
              </w:rPr>
              <w:t>危险废物贮存、处理困难的问题，</w:t>
            </w:r>
            <w:r>
              <w:rPr>
                <w:rFonts w:hint="eastAsia" w:ascii="宋体" w:hAnsi="宋体" w:eastAsia="宋体" w:cs="宋体"/>
                <w:color w:val="auto"/>
                <w:sz w:val="24"/>
                <w:szCs w:val="24"/>
                <w:lang w:val="en-US" w:eastAsia="zh-CN"/>
              </w:rPr>
              <w:t>根据园区企业资料</w:t>
            </w:r>
            <w:r>
              <w:rPr>
                <w:rFonts w:hint="eastAsia" w:ascii="宋体" w:hAnsi="宋体" w:cs="宋体"/>
                <w:color w:val="auto"/>
                <w:sz w:val="24"/>
                <w:szCs w:val="24"/>
                <w:lang w:val="en-US" w:eastAsia="zh-CN"/>
              </w:rPr>
              <w:t>、</w:t>
            </w:r>
            <w:r>
              <w:rPr>
                <w:rFonts w:hint="eastAsia" w:cs="Times New Roman"/>
                <w:bCs/>
                <w:kern w:val="0"/>
                <w:sz w:val="24"/>
                <w:lang w:val="en-US" w:eastAsia="zh-CN"/>
              </w:rPr>
              <w:t>祁东县</w:t>
            </w:r>
            <w:r>
              <w:rPr>
                <w:rFonts w:hint="eastAsia" w:ascii="Times New Roman" w:hAnsi="Times New Roman" w:eastAsia="宋体" w:cs="Times New Roman"/>
                <w:bCs/>
                <w:kern w:val="0"/>
                <w:sz w:val="24"/>
                <w:lang w:val="en-US" w:eastAsia="zh-CN"/>
              </w:rPr>
              <w:t>域</w:t>
            </w:r>
            <w:r>
              <w:rPr>
                <w:rFonts w:hint="eastAsia" w:cs="Times New Roman"/>
                <w:bCs/>
                <w:kern w:val="0"/>
                <w:sz w:val="24"/>
                <w:lang w:val="en-US" w:eastAsia="zh-CN"/>
              </w:rPr>
              <w:t>和</w:t>
            </w:r>
            <w:r>
              <w:rPr>
                <w:rFonts w:hint="eastAsia" w:ascii="宋体" w:hAnsi="宋体" w:cs="宋体"/>
                <w:color w:val="auto"/>
                <w:sz w:val="24"/>
                <w:szCs w:val="24"/>
                <w:lang w:val="en-US" w:eastAsia="zh-CN"/>
              </w:rPr>
              <w:t>周边地区危险废物产生情况</w:t>
            </w:r>
            <w:r>
              <w:rPr>
                <w:rFonts w:hint="eastAsia" w:ascii="宋体" w:hAnsi="宋体" w:eastAsia="宋体" w:cs="宋体"/>
                <w:color w:val="auto"/>
                <w:sz w:val="24"/>
                <w:szCs w:val="24"/>
                <w:lang w:val="en-US" w:eastAsia="zh-CN"/>
              </w:rPr>
              <w:t>，以及《国家危险废物名录》（2021年版），项目</w:t>
            </w:r>
            <w:r>
              <w:rPr>
                <w:rFonts w:hint="eastAsia"/>
                <w:bCs/>
                <w:kern w:val="0"/>
                <w:sz w:val="24"/>
              </w:rPr>
              <w:t>拟收集危险废物类别包括</w:t>
            </w:r>
            <w:r>
              <w:rPr>
                <w:bCs/>
                <w:kern w:val="0"/>
                <w:sz w:val="24"/>
                <w:highlight w:val="none"/>
              </w:rPr>
              <w:t>HW06</w:t>
            </w:r>
            <w:r>
              <w:rPr>
                <w:rFonts w:hint="eastAsia"/>
                <w:bCs/>
                <w:kern w:val="0"/>
                <w:sz w:val="24"/>
                <w:highlight w:val="none"/>
              </w:rPr>
              <w:t>、</w:t>
            </w:r>
            <w:r>
              <w:rPr>
                <w:bCs/>
                <w:kern w:val="0"/>
                <w:sz w:val="24"/>
                <w:highlight w:val="none"/>
              </w:rPr>
              <w:t>HW08</w:t>
            </w:r>
            <w:r>
              <w:rPr>
                <w:rFonts w:hint="eastAsia"/>
                <w:bCs/>
                <w:kern w:val="0"/>
                <w:sz w:val="24"/>
                <w:highlight w:val="none"/>
              </w:rPr>
              <w:t>、</w:t>
            </w:r>
            <w:r>
              <w:rPr>
                <w:bCs/>
                <w:kern w:val="0"/>
                <w:sz w:val="24"/>
                <w:highlight w:val="none"/>
              </w:rPr>
              <w:t>HW09</w:t>
            </w:r>
            <w:r>
              <w:rPr>
                <w:rFonts w:hint="eastAsia"/>
                <w:bCs/>
                <w:kern w:val="0"/>
                <w:sz w:val="24"/>
                <w:highlight w:val="none"/>
              </w:rPr>
              <w:t>、</w:t>
            </w:r>
            <w:r>
              <w:rPr>
                <w:bCs/>
                <w:kern w:val="0"/>
                <w:sz w:val="24"/>
                <w:highlight w:val="none"/>
              </w:rPr>
              <w:t>HW11</w:t>
            </w:r>
            <w:r>
              <w:rPr>
                <w:rFonts w:hint="eastAsia"/>
                <w:bCs/>
                <w:kern w:val="0"/>
                <w:sz w:val="24"/>
                <w:highlight w:val="none"/>
              </w:rPr>
              <w:t>、</w:t>
            </w:r>
            <w:r>
              <w:rPr>
                <w:bCs/>
                <w:kern w:val="0"/>
                <w:sz w:val="24"/>
                <w:highlight w:val="none"/>
              </w:rPr>
              <w:t>HW12</w:t>
            </w:r>
            <w:r>
              <w:rPr>
                <w:rFonts w:hint="eastAsia"/>
                <w:bCs/>
                <w:kern w:val="0"/>
                <w:sz w:val="24"/>
                <w:highlight w:val="none"/>
              </w:rPr>
              <w:t>、</w:t>
            </w:r>
            <w:r>
              <w:rPr>
                <w:bCs/>
                <w:kern w:val="0"/>
                <w:sz w:val="24"/>
                <w:highlight w:val="none"/>
              </w:rPr>
              <w:t>HW1</w:t>
            </w:r>
            <w:r>
              <w:rPr>
                <w:rFonts w:hint="eastAsia"/>
                <w:bCs/>
                <w:kern w:val="0"/>
                <w:sz w:val="24"/>
                <w:highlight w:val="none"/>
                <w:lang w:val="en-US" w:eastAsia="zh-CN"/>
              </w:rPr>
              <w:t>3</w:t>
            </w:r>
            <w:r>
              <w:rPr>
                <w:rFonts w:hint="eastAsia"/>
                <w:bCs/>
                <w:kern w:val="0"/>
                <w:sz w:val="24"/>
                <w:highlight w:val="none"/>
              </w:rPr>
              <w:t>、</w:t>
            </w:r>
            <w:r>
              <w:rPr>
                <w:bCs/>
                <w:kern w:val="0"/>
                <w:sz w:val="24"/>
                <w:highlight w:val="none"/>
              </w:rPr>
              <w:t>HW29</w:t>
            </w:r>
            <w:r>
              <w:rPr>
                <w:rFonts w:hint="eastAsia"/>
                <w:bCs/>
                <w:kern w:val="0"/>
                <w:sz w:val="24"/>
                <w:highlight w:val="none"/>
              </w:rPr>
              <w:t>、</w:t>
            </w:r>
            <w:r>
              <w:rPr>
                <w:bCs/>
                <w:kern w:val="0"/>
                <w:sz w:val="24"/>
                <w:highlight w:val="none"/>
              </w:rPr>
              <w:t>HW31</w:t>
            </w:r>
            <w:r>
              <w:rPr>
                <w:rFonts w:hint="eastAsia"/>
                <w:bCs/>
                <w:kern w:val="0"/>
                <w:sz w:val="24"/>
                <w:highlight w:val="none"/>
              </w:rPr>
              <w:t>、</w:t>
            </w:r>
            <w:r>
              <w:rPr>
                <w:bCs/>
                <w:kern w:val="0"/>
                <w:sz w:val="24"/>
                <w:highlight w:val="none"/>
              </w:rPr>
              <w:t>HW49</w:t>
            </w:r>
            <w:r>
              <w:rPr>
                <w:rFonts w:hint="eastAsia"/>
                <w:bCs/>
                <w:kern w:val="0"/>
                <w:sz w:val="24"/>
                <w:highlight w:val="none"/>
              </w:rPr>
              <w:t>、</w:t>
            </w:r>
            <w:r>
              <w:rPr>
                <w:bCs/>
                <w:kern w:val="0"/>
                <w:sz w:val="24"/>
                <w:highlight w:val="none"/>
              </w:rPr>
              <w:t>HW50</w:t>
            </w:r>
            <w:r>
              <w:rPr>
                <w:rFonts w:hint="eastAsia"/>
                <w:bCs/>
                <w:kern w:val="0"/>
                <w:sz w:val="24"/>
                <w:highlight w:val="none"/>
              </w:rPr>
              <w:t>等</w:t>
            </w:r>
            <w:r>
              <w:rPr>
                <w:rFonts w:hint="eastAsia"/>
                <w:bCs/>
                <w:kern w:val="0"/>
                <w:sz w:val="24"/>
                <w:highlight w:val="none"/>
                <w:lang w:val="en-US" w:eastAsia="zh-CN"/>
              </w:rPr>
              <w:t>10</w:t>
            </w:r>
            <w:r>
              <w:rPr>
                <w:rFonts w:hint="eastAsia"/>
                <w:bCs/>
                <w:kern w:val="0"/>
                <w:sz w:val="24"/>
                <w:highlight w:val="none"/>
              </w:rPr>
              <w:t>大类，项目建成后</w:t>
            </w:r>
            <w:r>
              <w:rPr>
                <w:rFonts w:hint="eastAsia"/>
                <w:bCs/>
                <w:kern w:val="0"/>
                <w:sz w:val="24"/>
                <w:highlight w:val="none"/>
                <w:lang w:val="en-US" w:eastAsia="zh-CN"/>
              </w:rPr>
              <w:t>危险废物定期周转至有处置资质的单位进行处置，预计</w:t>
            </w:r>
            <w:r>
              <w:rPr>
                <w:rFonts w:hint="eastAsia"/>
                <w:bCs/>
                <w:kern w:val="0"/>
                <w:sz w:val="24"/>
                <w:highlight w:val="none"/>
              </w:rPr>
              <w:t>年周转危险废物</w:t>
            </w:r>
            <w:r>
              <w:rPr>
                <w:rFonts w:hint="eastAsia"/>
                <w:bCs/>
                <w:kern w:val="0"/>
                <w:sz w:val="24"/>
                <w:highlight w:val="none"/>
                <w:lang w:val="en-US" w:eastAsia="zh-CN"/>
              </w:rPr>
              <w:t>12000吨</w:t>
            </w:r>
            <w:r>
              <w:rPr>
                <w:rFonts w:hint="eastAsia"/>
                <w:bCs/>
                <w:kern w:val="0"/>
                <w:sz w:val="24"/>
                <w:highlight w:val="none"/>
              </w:rPr>
              <w:t>。</w:t>
            </w:r>
          </w:p>
          <w:p>
            <w:pPr>
              <w:pStyle w:val="57"/>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80" w:firstLineChars="200"/>
              <w:textAlignment w:val="auto"/>
            </w:pPr>
            <w:r>
              <w:rPr>
                <w:rFonts w:hint="eastAsia"/>
                <w:bCs/>
                <w:kern w:val="0"/>
                <w:sz w:val="24"/>
              </w:rPr>
              <w:t>对照《中华人民共和国环境影响评价法》、《建设项目环境保护管理条例》及《建设项目环境影响评价分类管理名录（2021年版）》等的相关规定，项目属于</w:t>
            </w:r>
            <w:r>
              <w:rPr>
                <w:rFonts w:hint="eastAsia"/>
                <w:bCs/>
                <w:kern w:val="0"/>
                <w:sz w:val="24"/>
                <w:highlight w:val="none"/>
              </w:rPr>
              <w:t>“</w:t>
            </w:r>
            <w:r>
              <w:rPr>
                <w:rFonts w:hint="eastAsia" w:ascii="Times New Roman" w:hAnsi="Times New Roman"/>
                <w:sz w:val="24"/>
              </w:rPr>
              <w:t>四十七、生态保护和环境治理业-</w:t>
            </w:r>
            <w:r>
              <w:rPr>
                <w:rFonts w:ascii="Times New Roman" w:hAnsi="Times New Roman"/>
                <w:sz w:val="24"/>
              </w:rPr>
              <w:t>101</w:t>
            </w:r>
            <w:r>
              <w:rPr>
                <w:rFonts w:hint="eastAsia" w:ascii="Times New Roman" w:hAnsi="Times New Roman"/>
                <w:sz w:val="24"/>
              </w:rPr>
              <w:t>危险废物（不含医疗废物）利用及处置-其他</w:t>
            </w:r>
            <w:r>
              <w:rPr>
                <w:rFonts w:hint="eastAsia"/>
                <w:bCs/>
                <w:kern w:val="0"/>
                <w:sz w:val="24"/>
                <w:highlight w:val="none"/>
              </w:rPr>
              <w:t>”</w:t>
            </w:r>
            <w:r>
              <w:rPr>
                <w:rFonts w:hint="eastAsia"/>
                <w:sz w:val="24"/>
                <w:lang w:eastAsia="zh-CN"/>
              </w:rPr>
              <w:t>，</w:t>
            </w:r>
            <w:r>
              <w:rPr>
                <w:rFonts w:hint="eastAsia"/>
                <w:bCs/>
                <w:kern w:val="0"/>
                <w:sz w:val="24"/>
              </w:rPr>
              <w:t>需编制环境影响报告表。为此，</w:t>
            </w:r>
            <w:r>
              <w:rPr>
                <w:rFonts w:hint="eastAsia"/>
                <w:bCs/>
                <w:kern w:val="0"/>
                <w:sz w:val="24"/>
                <w:lang w:eastAsia="zh-CN"/>
              </w:rPr>
              <w:t>湖南川岳环境科技有限公司</w:t>
            </w:r>
            <w:r>
              <w:rPr>
                <w:rFonts w:hint="eastAsia"/>
                <w:bCs/>
                <w:kern w:val="0"/>
                <w:sz w:val="24"/>
              </w:rPr>
              <w:t>委</w:t>
            </w:r>
            <w:r>
              <w:rPr>
                <w:rFonts w:hint="eastAsia" w:ascii="Times New Roman" w:hAnsi="Times New Roman" w:eastAsia="宋体" w:cs="Times New Roman"/>
                <w:bCs/>
                <w:kern w:val="0"/>
                <w:sz w:val="24"/>
              </w:rPr>
              <w:t>托</w:t>
            </w:r>
            <w:r>
              <w:rPr>
                <w:rFonts w:hint="eastAsia" w:ascii="Times New Roman" w:hAnsi="Times New Roman" w:eastAsia="宋体" w:cs="Times New Roman"/>
                <w:bCs/>
                <w:kern w:val="0"/>
                <w:sz w:val="24"/>
                <w:lang w:val="en-US" w:eastAsia="zh-CN"/>
              </w:rPr>
              <w:t>长沙则中环保技术</w:t>
            </w:r>
            <w:r>
              <w:rPr>
                <w:rFonts w:hint="eastAsia" w:ascii="Times New Roman" w:hAnsi="Times New Roman" w:eastAsia="宋体" w:cs="Times New Roman"/>
                <w:bCs/>
                <w:kern w:val="0"/>
                <w:sz w:val="24"/>
              </w:rPr>
              <w:t>有限公司（以下</w:t>
            </w:r>
            <w:r>
              <w:rPr>
                <w:rFonts w:hint="eastAsia"/>
                <w:bCs/>
                <w:kern w:val="0"/>
                <w:sz w:val="24"/>
              </w:rPr>
              <w:t>简称我公司）承担该项目的环境影响评价工作，在接受委托后，我公司组织技术人员进行实地踏勘和调研，收集和核实了有关材料，按照国家对建设项目环境影响评价的有关规定和有关环保政策、技术规范，编制了该项目的环境影响报告表，提交给建设单位上报主管部门审批。</w:t>
            </w:r>
          </w:p>
          <w:p>
            <w:pPr>
              <w:keepNext w:val="0"/>
              <w:keepLines w:val="0"/>
              <w:pageBreakBefore w:val="0"/>
              <w:tabs>
                <w:tab w:val="left" w:pos="2703"/>
              </w:tabs>
              <w:kinsoku/>
              <w:wordWrap/>
              <w:overflowPunct/>
              <w:topLinePunct w:val="0"/>
              <w:bidi w:val="0"/>
              <w:adjustRightInd w:val="0"/>
              <w:snapToGrid w:val="0"/>
              <w:spacing w:beforeAutospacing="0" w:afterAutospacing="0" w:line="360" w:lineRule="auto"/>
              <w:ind w:left="0" w:leftChars="0"/>
              <w:jc w:val="left"/>
              <w:rPr>
                <w:rFonts w:hint="eastAsia" w:eastAsia="宋体"/>
                <w:b/>
                <w:kern w:val="0"/>
                <w:sz w:val="24"/>
                <w:lang w:eastAsia="zh-CN"/>
              </w:rPr>
            </w:pPr>
            <w:r>
              <w:rPr>
                <w:rFonts w:hint="eastAsia"/>
                <w:b/>
                <w:kern w:val="0"/>
                <w:sz w:val="24"/>
              </w:rPr>
              <w:t>2、</w:t>
            </w:r>
            <w:r>
              <w:rPr>
                <w:rFonts w:hint="eastAsia"/>
                <w:b/>
                <w:kern w:val="0"/>
                <w:sz w:val="24"/>
                <w:u w:val="single"/>
              </w:rPr>
              <w:t>建设内容及规模</w:t>
            </w:r>
            <w:r>
              <w:rPr>
                <w:rFonts w:hint="eastAsia"/>
                <w:b/>
                <w:kern w:val="0"/>
                <w:sz w:val="24"/>
                <w:lang w:eastAsia="zh-CN"/>
              </w:rPr>
              <w:tab/>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sz w:val="21"/>
              </w:rPr>
            </w:pPr>
            <w:r>
              <w:rPr>
                <w:rFonts w:hint="eastAsia" w:ascii="Times New Roman" w:hAnsi="Times New Roman" w:eastAsia="宋体" w:cs="Times New Roman"/>
                <w:bCs/>
                <w:kern w:val="0"/>
                <w:sz w:val="24"/>
                <w:highlight w:val="none"/>
              </w:rPr>
              <w:t>本项目总占地面积</w:t>
            </w:r>
            <w:r>
              <w:rPr>
                <w:rFonts w:hint="eastAsia" w:ascii="Times New Roman" w:hAnsi="Times New Roman" w:eastAsia="宋体" w:cs="Times New Roman"/>
                <w:bCs/>
                <w:kern w:val="0"/>
                <w:sz w:val="24"/>
                <w:highlight w:val="none"/>
                <w:lang w:val="en-US" w:eastAsia="zh-CN"/>
              </w:rPr>
              <w:t>1242</w:t>
            </w:r>
            <w:r>
              <w:rPr>
                <w:rFonts w:hint="eastAsia" w:ascii="Times New Roman" w:hAnsi="Times New Roman" w:eastAsia="宋体" w:cs="Times New Roman"/>
                <w:bCs/>
                <w:kern w:val="0"/>
                <w:sz w:val="24"/>
                <w:highlight w:val="none"/>
              </w:rPr>
              <w:t>m</w:t>
            </w:r>
            <w:r>
              <w:rPr>
                <w:rFonts w:hint="eastAsia" w:ascii="Times New Roman" w:hAnsi="Times New Roman" w:eastAsia="宋体" w:cs="Times New Roman"/>
                <w:bCs/>
                <w:kern w:val="0"/>
                <w:sz w:val="24"/>
                <w:highlight w:val="none"/>
                <w:vertAlign w:val="superscript"/>
              </w:rPr>
              <w:t>2</w:t>
            </w:r>
            <w:r>
              <w:rPr>
                <w:rFonts w:hint="eastAsia" w:ascii="Times New Roman" w:hAnsi="Times New Roman" w:eastAsia="宋体" w:cs="Times New Roman"/>
                <w:bCs/>
                <w:kern w:val="0"/>
                <w:sz w:val="24"/>
                <w:highlight w:val="none"/>
              </w:rPr>
              <w:t>，</w:t>
            </w:r>
            <w:r>
              <w:rPr>
                <w:rFonts w:hint="eastAsia" w:ascii="Times New Roman" w:hAnsi="Times New Roman" w:eastAsia="宋体" w:cs="Times New Roman"/>
                <w:bCs/>
                <w:kern w:val="0"/>
                <w:sz w:val="24"/>
                <w:highlight w:val="none"/>
                <w:lang w:eastAsia="zh-CN"/>
              </w:rPr>
              <w:t>建筑面积约</w:t>
            </w:r>
            <w:r>
              <w:rPr>
                <w:rFonts w:hint="eastAsia" w:ascii="Times New Roman" w:hAnsi="Times New Roman" w:eastAsia="宋体" w:cs="Times New Roman"/>
                <w:bCs/>
                <w:kern w:val="0"/>
                <w:sz w:val="24"/>
                <w:highlight w:val="none"/>
                <w:lang w:val="en-US" w:eastAsia="zh-CN"/>
              </w:rPr>
              <w:t>1000.8m</w:t>
            </w:r>
            <w:r>
              <w:rPr>
                <w:rFonts w:hint="eastAsia" w:ascii="Times New Roman" w:hAnsi="Times New Roman" w:eastAsia="宋体" w:cs="Times New Roman"/>
                <w:bCs/>
                <w:kern w:val="0"/>
                <w:sz w:val="24"/>
                <w:highlight w:val="none"/>
                <w:vertAlign w:val="superscript"/>
                <w:lang w:val="en-US" w:eastAsia="zh-CN"/>
              </w:rPr>
              <w:t>2</w:t>
            </w:r>
            <w:r>
              <w:rPr>
                <w:rFonts w:hint="eastAsia" w:ascii="Times New Roman" w:hAnsi="Times New Roman" w:eastAsia="宋体" w:cs="Times New Roman"/>
                <w:bCs/>
                <w:kern w:val="0"/>
                <w:sz w:val="24"/>
                <w:highlight w:val="none"/>
                <w:lang w:eastAsia="zh-CN"/>
              </w:rPr>
              <w:t>，</w:t>
            </w:r>
            <w:r>
              <w:rPr>
                <w:rFonts w:hint="default" w:ascii="Times New Roman" w:hAnsi="Times New Roman" w:eastAsia="宋体" w:cs="Times New Roman"/>
                <w:bCs/>
                <w:kern w:val="0"/>
                <w:sz w:val="24"/>
                <w:highlight w:val="none"/>
                <w:lang w:eastAsia="zh-CN"/>
              </w:rPr>
              <w:t>其中危废贮存仓库占地面积</w:t>
            </w:r>
            <w:r>
              <w:rPr>
                <w:rFonts w:hint="eastAsia" w:ascii="Times New Roman" w:hAnsi="Times New Roman" w:eastAsia="宋体" w:cs="Times New Roman"/>
                <w:bCs/>
                <w:kern w:val="0"/>
                <w:sz w:val="24"/>
                <w:highlight w:val="none"/>
                <w:lang w:val="en-US" w:eastAsia="zh-CN"/>
              </w:rPr>
              <w:t>48</w:t>
            </w:r>
            <w:r>
              <w:rPr>
                <w:rFonts w:hint="default" w:ascii="Times New Roman" w:hAnsi="Times New Roman" w:eastAsia="宋体" w:cs="Times New Roman"/>
                <w:bCs/>
                <w:kern w:val="0"/>
                <w:sz w:val="24"/>
                <w:highlight w:val="none"/>
              </w:rPr>
              <w:t>0m</w:t>
            </w:r>
            <w:r>
              <w:rPr>
                <w:rFonts w:hint="default" w:ascii="Times New Roman" w:hAnsi="Times New Roman" w:eastAsia="宋体" w:cs="Times New Roman"/>
                <w:bCs/>
                <w:kern w:val="0"/>
                <w:sz w:val="24"/>
                <w:highlight w:val="none"/>
                <w:vertAlign w:val="superscript"/>
              </w:rPr>
              <w:t>2</w:t>
            </w:r>
            <w:r>
              <w:rPr>
                <w:rFonts w:hint="default" w:ascii="Times New Roman" w:hAnsi="Times New Roman" w:eastAsia="宋体" w:cs="Times New Roman"/>
                <w:bCs/>
                <w:kern w:val="0"/>
                <w:sz w:val="24"/>
                <w:highlight w:val="none"/>
                <w:lang w:eastAsia="zh-CN"/>
              </w:rPr>
              <w:t>，</w:t>
            </w:r>
            <w:r>
              <w:rPr>
                <w:rFonts w:hint="eastAsia" w:ascii="Times New Roman" w:hAnsi="Times New Roman" w:eastAsia="宋体" w:cs="Times New Roman"/>
                <w:bCs/>
                <w:kern w:val="0"/>
                <w:sz w:val="24"/>
                <w:highlight w:val="none"/>
              </w:rPr>
              <w:t>项目由</w:t>
            </w:r>
            <w:r>
              <w:rPr>
                <w:rFonts w:hint="eastAsia"/>
                <w:bCs/>
                <w:kern w:val="0"/>
                <w:sz w:val="24"/>
              </w:rPr>
              <w:t>主体工程、公用工程及环保工程组成，主体工程主要按《危险废物贮存污染控制标准》、《废铅酸蓄电池处理污染控制技术规范》和《废矿物油回收利用污染控制技术规范》等对场地进行建设，按照暂存的种类和数量进行分区建设，各分区之间进行隔断；其具体建设内容及规模详见下表。</w:t>
            </w:r>
          </w:p>
          <w:p>
            <w:pPr>
              <w:pStyle w:val="7"/>
              <w:keepNext w:val="0"/>
              <w:keepLines w:val="0"/>
              <w:pageBreakBefore w:val="0"/>
              <w:kinsoku/>
              <w:wordWrap/>
              <w:overflowPunct/>
              <w:topLinePunct w:val="0"/>
              <w:bidi w:val="0"/>
              <w:spacing w:beforeAutospacing="0" w:afterAutospacing="0" w:line="360" w:lineRule="auto"/>
              <w:ind w:left="0" w:leftChars="0"/>
              <w:rPr>
                <w:sz w:val="21"/>
              </w:rPr>
            </w:pPr>
            <w:r>
              <w:rPr>
                <w:rFonts w:hint="eastAsia"/>
                <w:sz w:val="21"/>
              </w:rPr>
              <w:t>表</w:t>
            </w:r>
            <w:r>
              <w:rPr>
                <w:sz w:val="21"/>
              </w:rPr>
              <w:t>2</w:t>
            </w:r>
            <w:r>
              <w:rPr>
                <w:rFonts w:hint="eastAsia"/>
                <w:sz w:val="21"/>
              </w:rPr>
              <w:t>-</w:t>
            </w:r>
            <w:r>
              <w:rPr>
                <w:sz w:val="21"/>
              </w:rPr>
              <w:t xml:space="preserve">1  </w:t>
            </w:r>
            <w:r>
              <w:rPr>
                <w:rFonts w:hint="eastAsia"/>
                <w:sz w:val="21"/>
              </w:rPr>
              <w:t>项目组成一览表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33"/>
              <w:gridCol w:w="1097"/>
              <w:gridCol w:w="4845"/>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工程类型</w:t>
                  </w: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项目</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建设内容</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653" w:type="pct"/>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u w:val="single"/>
                    </w:rPr>
                    <w:t>主体工程</w:t>
                  </w: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危险废物贮存仓库</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u w:val="none"/>
                      <w:lang w:val="en-US" w:eastAsia="zh-CN"/>
                    </w:rPr>
                    <w:t>租赁</w:t>
                  </w:r>
                  <w:r>
                    <w:rPr>
                      <w:rFonts w:hint="eastAsia" w:hAnsi="宋体" w:cs="Times New Roman"/>
                      <w:sz w:val="21"/>
                      <w:szCs w:val="21"/>
                      <w:u w:val="none"/>
                    </w:rPr>
                    <w:t>暂存库1座，</w:t>
                  </w:r>
                  <w:r>
                    <w:rPr>
                      <w:rFonts w:hint="eastAsia" w:hAnsi="宋体" w:cs="Times New Roman"/>
                      <w:sz w:val="21"/>
                      <w:szCs w:val="21"/>
                      <w:u w:val="none"/>
                      <w:lang w:eastAsia="zh-CN"/>
                    </w:rPr>
                    <w:t>建筑</w:t>
                  </w:r>
                  <w:r>
                    <w:rPr>
                      <w:rFonts w:hint="eastAsia" w:hAnsi="宋体" w:cs="Times New Roman"/>
                      <w:sz w:val="21"/>
                      <w:szCs w:val="21"/>
                      <w:u w:val="none"/>
                    </w:rPr>
                    <w:t>面积</w:t>
                  </w:r>
                  <w:r>
                    <w:rPr>
                      <w:rFonts w:hint="eastAsia" w:hAnsi="宋体" w:cs="Times New Roman"/>
                      <w:sz w:val="21"/>
                      <w:szCs w:val="21"/>
                      <w:u w:val="none"/>
                      <w:lang w:val="en-US" w:eastAsia="zh-CN"/>
                    </w:rPr>
                    <w:t>1000.8㎡</w:t>
                  </w:r>
                  <w:r>
                    <w:rPr>
                      <w:rFonts w:hint="eastAsia" w:hAnsi="宋体" w:cs="Times New Roman"/>
                      <w:sz w:val="21"/>
                      <w:szCs w:val="21"/>
                      <w:u w:val="none"/>
                    </w:rPr>
                    <w:t>，按照</w:t>
                  </w:r>
                  <w:r>
                    <w:rPr>
                      <w:rFonts w:hint="eastAsia" w:hAnsi="宋体" w:cs="Times New Roman"/>
                      <w:sz w:val="21"/>
                      <w:szCs w:val="21"/>
                      <w:u w:val="none"/>
                      <w:lang w:val="en-US" w:eastAsia="zh-CN"/>
                    </w:rPr>
                    <w:t>厂房布局科学、合理划分贮存区，各分区情况详见表2-2和附图2，各</w:t>
                  </w:r>
                  <w:r>
                    <w:rPr>
                      <w:rFonts w:hint="eastAsia" w:ascii="宋体" w:hAnsi="宋体" w:eastAsia="宋体" w:cs="Times New Roman"/>
                      <w:sz w:val="21"/>
                      <w:szCs w:val="21"/>
                      <w:u w:val="none"/>
                      <w:lang w:val="en-US" w:eastAsia="zh-CN"/>
                    </w:rPr>
                    <w:t>危险废物按类别、性质进行分区暂存，各分区之间用挡墙进行隔断，其中，产生挥发性气体的HW06、HW08、HW09、HW11、HW12、HW13、HW29、HW31暂存区布局在厂区内侧，采用封闭式管理，由于挥发量极低，故统一进行收集，挥发性气体通过负压收集装置收集后，送至厂区南侧的废气处理系统处理后经15m高排气筒排放，各暂存区用挡墙隔开，均设置标志牌、围堰（高度不低于0.2m）、收集池（1m×0.5m×0.5m），地面设置导流沟（导流沟设一定的坡度，方便导流沟内的液体自流到应急池内），易燃危险废物HW06、HW08、HW09、HW11暂存区设置在消防水池旁，仓库地面采用水泥硬化+防腐防渗处理，危废堆放高度不超过挡墙</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int="default" w:hAnsi="宋体" w:eastAsia="宋体" w:cs="Times New Roman"/>
                      <w:sz w:val="21"/>
                      <w:szCs w:val="21"/>
                      <w:lang w:val="en-US" w:eastAsia="zh-CN"/>
                    </w:rPr>
                  </w:pPr>
                  <w:r>
                    <w:rPr>
                      <w:rFonts w:hint="eastAsia" w:ascii="Times New Roman" w:hAnsi="Times New Roman" w:cs="Times New Roman"/>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7" w:hRule="atLeast"/>
              </w:trPr>
              <w:tc>
                <w:tcPr>
                  <w:tcW w:w="653" w:type="pct"/>
                  <w:vMerge w:val="restart"/>
                  <w:tcBorders>
                    <w:top w:val="single" w:color="auto" w:sz="4" w:space="0"/>
                    <w:left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辅助工程</w:t>
                  </w:r>
                </w:p>
              </w:tc>
              <w:tc>
                <w:tcPr>
                  <w:tcW w:w="694" w:type="pct"/>
                  <w:tcBorders>
                    <w:top w:val="single" w:color="auto" w:sz="4" w:space="0"/>
                    <w:left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int="eastAsia" w:hAnsi="宋体" w:eastAsia="宋体" w:cs="Times New Roman"/>
                      <w:sz w:val="21"/>
                      <w:szCs w:val="21"/>
                      <w:lang w:val="en-US" w:eastAsia="zh-CN"/>
                    </w:rPr>
                  </w:pPr>
                  <w:r>
                    <w:rPr>
                      <w:rFonts w:hint="eastAsia" w:hAnsi="宋体" w:cs="Times New Roman"/>
                      <w:sz w:val="21"/>
                      <w:szCs w:val="21"/>
                    </w:rPr>
                    <w:t>办公室</w:t>
                  </w:r>
                  <w:r>
                    <w:rPr>
                      <w:rFonts w:hint="eastAsia" w:hAnsi="宋体" w:cs="Times New Roman"/>
                      <w:sz w:val="21"/>
                      <w:szCs w:val="21"/>
                      <w:lang w:val="en-US" w:eastAsia="zh-CN"/>
                    </w:rPr>
                    <w:t>及</w:t>
                  </w:r>
                  <w:r>
                    <w:rPr>
                      <w:rFonts w:hint="eastAsia" w:hAnsi="宋体" w:cs="Times New Roman"/>
                      <w:sz w:val="21"/>
                      <w:szCs w:val="21"/>
                    </w:rPr>
                    <w:t>应急物资</w:t>
                  </w:r>
                  <w:r>
                    <w:rPr>
                      <w:rFonts w:hint="eastAsia" w:hAnsi="宋体" w:cs="Times New Roman"/>
                      <w:sz w:val="21"/>
                      <w:szCs w:val="21"/>
                      <w:lang w:val="en-US" w:eastAsia="zh-CN"/>
                    </w:rPr>
                    <w:t>暂存间</w:t>
                  </w:r>
                </w:p>
              </w:tc>
              <w:tc>
                <w:tcPr>
                  <w:tcW w:w="3066" w:type="pct"/>
                  <w:tcBorders>
                    <w:top w:val="single" w:color="auto" w:sz="4" w:space="0"/>
                    <w:left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highlight w:val="none"/>
                    </w:rPr>
                    <w:t>位于厂</w:t>
                  </w:r>
                  <w:r>
                    <w:rPr>
                      <w:rFonts w:hint="eastAsia" w:hAnsi="宋体" w:cs="Times New Roman"/>
                      <w:sz w:val="21"/>
                      <w:szCs w:val="21"/>
                      <w:highlight w:val="none"/>
                      <w:lang w:val="en-US" w:eastAsia="zh-CN"/>
                    </w:rPr>
                    <w:t>房西</w:t>
                  </w:r>
                  <w:r>
                    <w:rPr>
                      <w:rFonts w:hint="eastAsia" w:hAnsi="宋体" w:cs="Times New Roman"/>
                      <w:sz w:val="21"/>
                      <w:szCs w:val="21"/>
                      <w:highlight w:val="none"/>
                    </w:rPr>
                    <w:t>侧，占地面积约</w:t>
                  </w:r>
                  <w:r>
                    <w:rPr>
                      <w:rFonts w:hint="eastAsia" w:hAnsi="宋体" w:cs="Times New Roman"/>
                      <w:sz w:val="21"/>
                      <w:szCs w:val="21"/>
                      <w:highlight w:val="none"/>
                      <w:lang w:val="en-US" w:eastAsia="zh-CN"/>
                    </w:rPr>
                    <w:t>45.6</w:t>
                  </w:r>
                  <w:r>
                    <w:rPr>
                      <w:rFonts w:hint="eastAsia" w:hAnsi="宋体" w:cs="Times New Roman"/>
                      <w:sz w:val="21"/>
                      <w:szCs w:val="21"/>
                      <w:u w:val="none"/>
                      <w:lang w:val="en-US" w:eastAsia="zh-CN"/>
                    </w:rPr>
                    <w:t>㎡</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ascii="Times New Roman" w:hAnsi="Times New Roman" w:cs="Times New Roman"/>
                      <w:sz w:val="21"/>
                      <w:szCs w:val="21"/>
                      <w:u w:val="none"/>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left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装卸区及通道</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bCs/>
                      <w:sz w:val="21"/>
                      <w:szCs w:val="21"/>
                    </w:rPr>
                  </w:pPr>
                  <w:r>
                    <w:rPr>
                      <w:rFonts w:hint="eastAsia" w:hAnsi="宋体" w:cs="Times New Roman"/>
                      <w:sz w:val="21"/>
                      <w:szCs w:val="21"/>
                      <w:highlight w:val="none"/>
                      <w:lang w:val="en-US" w:eastAsia="zh-CN"/>
                    </w:rPr>
                    <w:t>4</w:t>
                  </w:r>
                  <w:r>
                    <w:rPr>
                      <w:rFonts w:hint="eastAsia" w:hAnsi="宋体" w:cs="Times New Roman"/>
                      <w:sz w:val="21"/>
                      <w:szCs w:val="21"/>
                      <w:highlight w:val="none"/>
                    </w:rPr>
                    <w:t>条通道，占地面积约</w:t>
                  </w:r>
                  <w:r>
                    <w:rPr>
                      <w:rFonts w:hint="eastAsia" w:hAnsi="宋体" w:cs="Times New Roman"/>
                      <w:sz w:val="21"/>
                      <w:szCs w:val="21"/>
                      <w:highlight w:val="none"/>
                      <w:lang w:val="en-US" w:eastAsia="zh-CN"/>
                    </w:rPr>
                    <w:t>360</w:t>
                  </w:r>
                  <w:r>
                    <w:rPr>
                      <w:rFonts w:hint="eastAsia" w:hAnsi="宋体" w:cs="Times New Roman"/>
                      <w:sz w:val="21"/>
                      <w:szCs w:val="21"/>
                      <w:highlight w:val="none"/>
                    </w:rPr>
                    <w:t>m</w:t>
                  </w:r>
                  <w:r>
                    <w:rPr>
                      <w:rFonts w:hint="eastAsia" w:hAnsi="宋体" w:cs="Times New Roman"/>
                      <w:sz w:val="21"/>
                      <w:szCs w:val="21"/>
                      <w:highlight w:val="none"/>
                      <w:vertAlign w:val="superscript"/>
                    </w:rPr>
                    <w:t>2</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ascii="Times New Roman" w:hAnsi="Times New Roman" w:cs="Times New Roman"/>
                      <w:sz w:val="21"/>
                      <w:szCs w:val="21"/>
                      <w:u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restart"/>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公用工程</w:t>
                  </w: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给水</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bCs/>
                      <w:sz w:val="21"/>
                      <w:szCs w:val="21"/>
                    </w:rPr>
                    <w:t>园区自来水管网</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b/>
                      <w:bCs/>
                      <w:sz w:val="21"/>
                      <w:szCs w:val="21"/>
                    </w:rPr>
                  </w:pPr>
                  <w:r>
                    <w:rPr>
                      <w:rFonts w:hint="eastAsia" w:ascii="Times New Roman" w:hAnsi="Times New Roman" w:cs="Times New Roman"/>
                      <w:sz w:val="21"/>
                      <w:szCs w:val="21"/>
                      <w:u w:val="none"/>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排水</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bCs/>
                      <w:sz w:val="21"/>
                      <w:szCs w:val="21"/>
                    </w:rPr>
                  </w:pPr>
                  <w:r>
                    <w:rPr>
                      <w:rFonts w:hint="eastAsia" w:hAnsi="宋体"/>
                      <w:bCs/>
                      <w:sz w:val="21"/>
                      <w:szCs w:val="21"/>
                    </w:rPr>
                    <w:t>采用雨污分流制。雨水排入园区雨水管网，生活污水经</w:t>
                  </w:r>
                  <w:r>
                    <w:rPr>
                      <w:rFonts w:hint="eastAsia" w:hAnsi="宋体"/>
                      <w:bCs/>
                      <w:sz w:val="21"/>
                      <w:szCs w:val="21"/>
                      <w:lang w:val="en-US" w:eastAsia="zh-CN"/>
                    </w:rPr>
                    <w:t>化粪池</w:t>
                  </w:r>
                  <w:r>
                    <w:rPr>
                      <w:rFonts w:hint="eastAsia" w:hAnsi="宋体"/>
                      <w:bCs/>
                      <w:sz w:val="21"/>
                      <w:szCs w:val="21"/>
                    </w:rPr>
                    <w:t>处理后排入园区污水管网。</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ascii="Times New Roman" w:hAnsi="Times New Roman" w:cs="Times New Roman"/>
                      <w:sz w:val="21"/>
                      <w:szCs w:val="21"/>
                      <w:u w:val="none"/>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供电</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bCs/>
                      <w:sz w:val="21"/>
                      <w:szCs w:val="21"/>
                    </w:rPr>
                    <w:t>园区电网供电</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b/>
                      <w:bCs/>
                      <w:sz w:val="21"/>
                      <w:szCs w:val="21"/>
                    </w:rPr>
                  </w:pPr>
                  <w:r>
                    <w:rPr>
                      <w:rFonts w:hint="eastAsia" w:ascii="Times New Roman" w:hAnsi="Times New Roman" w:cs="Times New Roman"/>
                      <w:sz w:val="21"/>
                      <w:szCs w:val="21"/>
                      <w:u w:val="none"/>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储运工程</w:t>
                  </w:r>
                </w:p>
              </w:tc>
              <w:tc>
                <w:tcPr>
                  <w:tcW w:w="4346" w:type="pct"/>
                  <w:gridSpan w:val="3"/>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场内通过叉车运输，场外委托有资质单位运输，危险废物按照代码类别分区暂存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restart"/>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u w:val="single"/>
                    </w:rPr>
                    <w:t>环保工程</w:t>
                  </w:r>
                </w:p>
              </w:tc>
              <w:tc>
                <w:tcPr>
                  <w:tcW w:w="694" w:type="pct"/>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废气</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int="default" w:hAnsi="宋体" w:eastAsia="宋体" w:cs="Times New Roman"/>
                      <w:sz w:val="21"/>
                      <w:szCs w:val="21"/>
                      <w:lang w:val="en-US" w:eastAsia="zh-CN"/>
                    </w:rPr>
                  </w:pPr>
                  <w:r>
                    <w:rPr>
                      <w:rFonts w:hint="eastAsia" w:hAnsi="宋体" w:cs="Times New Roman"/>
                      <w:sz w:val="21"/>
                      <w:szCs w:val="21"/>
                      <w:lang w:val="en-US" w:eastAsia="zh-CN"/>
                    </w:rPr>
                    <w:t>产生挥发性气体的</w:t>
                  </w:r>
                  <w:r>
                    <w:rPr>
                      <w:rFonts w:hint="eastAsia" w:ascii="宋体" w:hAnsi="宋体" w:eastAsia="宋体" w:cs="Times New Roman"/>
                      <w:sz w:val="21"/>
                      <w:szCs w:val="21"/>
                      <w:u w:val="none"/>
                      <w:lang w:val="en-US" w:eastAsia="zh-CN"/>
                    </w:rPr>
                    <w:t>HW06、HW08、HW09、HW11、HW12、HW13、HW29、HW31</w:t>
                  </w:r>
                  <w:r>
                    <w:rPr>
                      <w:rFonts w:hint="eastAsia" w:hAnsi="宋体" w:cs="Times New Roman"/>
                      <w:sz w:val="21"/>
                      <w:szCs w:val="21"/>
                      <w:lang w:val="en-US" w:eastAsia="zh-CN"/>
                    </w:rPr>
                    <w:t>暂存区，设置1套</w:t>
                  </w:r>
                  <w:r>
                    <w:rPr>
                      <w:rFonts w:hint="eastAsia" w:hAnsi="宋体" w:cs="Times New Roman"/>
                      <w:sz w:val="21"/>
                      <w:szCs w:val="21"/>
                    </w:rPr>
                    <w:t>负压收集</w:t>
                  </w:r>
                  <w:r>
                    <w:rPr>
                      <w:rFonts w:hint="eastAsia" w:hAnsi="宋体" w:cs="Times New Roman"/>
                      <w:sz w:val="21"/>
                      <w:szCs w:val="21"/>
                      <w:lang w:val="en-US" w:eastAsia="zh-CN"/>
                    </w:rPr>
                    <w:t>装置</w:t>
                  </w:r>
                  <w:r>
                    <w:rPr>
                      <w:rFonts w:hint="eastAsia" w:hAnsi="宋体" w:cs="Times New Roman"/>
                      <w:sz w:val="21"/>
                      <w:szCs w:val="21"/>
                      <w:lang w:eastAsia="zh-CN"/>
                    </w:rPr>
                    <w:t>、</w:t>
                  </w:r>
                  <w:r>
                    <w:rPr>
                      <w:rFonts w:hint="eastAsia" w:hAnsi="宋体" w:cs="Times New Roman"/>
                      <w:sz w:val="21"/>
                      <w:szCs w:val="21"/>
                      <w:lang w:val="en-US" w:eastAsia="zh-CN"/>
                    </w:rPr>
                    <w:t>1套废气处理装置、1根</w:t>
                  </w:r>
                  <w:r>
                    <w:rPr>
                      <w:rFonts w:hint="eastAsia" w:hAnsi="宋体" w:cs="Times New Roman"/>
                      <w:sz w:val="21"/>
                      <w:szCs w:val="21"/>
                    </w:rPr>
                    <w:t>15m</w:t>
                  </w:r>
                  <w:r>
                    <w:rPr>
                      <w:rFonts w:hint="eastAsia" w:hAnsi="宋体" w:cs="Times New Roman"/>
                      <w:sz w:val="21"/>
                      <w:szCs w:val="21"/>
                      <w:lang w:val="en-US" w:eastAsia="zh-CN"/>
                    </w:rPr>
                    <w:t>高</w:t>
                  </w:r>
                  <w:r>
                    <w:rPr>
                      <w:rFonts w:hint="eastAsia" w:hAnsi="宋体" w:cs="Times New Roman"/>
                      <w:sz w:val="21"/>
                      <w:szCs w:val="21"/>
                    </w:rPr>
                    <w:t>排气筒</w:t>
                  </w:r>
                  <w:r>
                    <w:rPr>
                      <w:rFonts w:hint="eastAsia" w:hAnsi="宋体" w:cs="Times New Roman"/>
                      <w:sz w:val="21"/>
                      <w:szCs w:val="21"/>
                      <w:lang w:eastAsia="zh-CN"/>
                    </w:rPr>
                    <w:t>，</w:t>
                  </w:r>
                  <w:r>
                    <w:rPr>
                      <w:rFonts w:hint="eastAsia" w:hAnsi="宋体" w:cs="Times New Roman"/>
                      <w:sz w:val="21"/>
                      <w:szCs w:val="21"/>
                      <w:lang w:val="en-US" w:eastAsia="zh-CN"/>
                    </w:rPr>
                    <w:t>其他暂存区不设置</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废水</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正常情况下无泄漏，车间内清洁方式为干扫，不需对地面进行冲洗处理，如果发生泄漏需要清洗地面，则将冲洗废水通过导流沟导入应急池，废水收集后作为危险废物运往有资质单位处理。生活污水经化粪池处理后排入园区污水管网</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噪声</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bCs/>
                      <w:sz w:val="21"/>
                      <w:szCs w:val="21"/>
                    </w:rPr>
                    <w:t>选用低噪设备，风机设置减振、隔声措施</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top w:val="nil"/>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固废</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不</w:t>
                  </w:r>
                  <w:r>
                    <w:rPr>
                      <w:rFonts w:hint="eastAsia" w:hAnsi="宋体" w:cs="Times New Roman"/>
                      <w:sz w:val="21"/>
                      <w:szCs w:val="21"/>
                      <w:lang w:val="en-US" w:eastAsia="zh-CN"/>
                    </w:rPr>
                    <w:t>产生</w:t>
                  </w:r>
                  <w:r>
                    <w:rPr>
                      <w:rFonts w:hint="eastAsia" w:hAnsi="宋体" w:cs="Times New Roman"/>
                      <w:sz w:val="21"/>
                      <w:szCs w:val="21"/>
                    </w:rPr>
                    <w:t>一般工业固体废物，生活垃圾分类收集后交由当地环卫部门处理，项目自身产生的危险废物</w:t>
                  </w:r>
                  <w:r>
                    <w:rPr>
                      <w:rFonts w:hint="eastAsia" w:hAnsi="宋体" w:cs="Times New Roman"/>
                      <w:sz w:val="21"/>
                      <w:szCs w:val="21"/>
                      <w:lang w:eastAsia="zh-CN"/>
                    </w:rPr>
                    <w:t>（</w:t>
                  </w:r>
                  <w:r>
                    <w:rPr>
                      <w:rFonts w:hint="eastAsia" w:hAnsi="宋体" w:cs="Times New Roman"/>
                      <w:sz w:val="21"/>
                      <w:szCs w:val="21"/>
                      <w:lang w:val="en-US" w:eastAsia="zh-CN"/>
                    </w:rPr>
                    <w:t>如废抹布、手套、废活性炭</w:t>
                  </w:r>
                  <w:r>
                    <w:rPr>
                      <w:rFonts w:hint="eastAsia" w:hAnsi="宋体" w:cs="Times New Roman"/>
                      <w:sz w:val="21"/>
                      <w:szCs w:val="21"/>
                      <w:lang w:eastAsia="zh-CN"/>
                    </w:rPr>
                    <w:t>）</w:t>
                  </w:r>
                  <w:r>
                    <w:rPr>
                      <w:rFonts w:hint="eastAsia" w:hAnsi="宋体" w:cs="Times New Roman"/>
                      <w:sz w:val="21"/>
                      <w:szCs w:val="21"/>
                    </w:rPr>
                    <w:t>在厂区危废暂存区</w:t>
                  </w:r>
                  <w:r>
                    <w:rPr>
                      <w:rFonts w:hint="eastAsia" w:hAnsi="宋体" w:cs="Times New Roman"/>
                      <w:sz w:val="21"/>
                      <w:szCs w:val="21"/>
                      <w:lang w:val="en-US" w:eastAsia="zh-CN"/>
                    </w:rPr>
                    <w:t>分类</w:t>
                  </w:r>
                  <w:r>
                    <w:rPr>
                      <w:rFonts w:hint="eastAsia" w:hAnsi="宋体" w:cs="Times New Roman"/>
                      <w:sz w:val="21"/>
                      <w:szCs w:val="21"/>
                    </w:rPr>
                    <w:t>暂存，定期与本项目周转的危险废物一同交由有资质的单位处置</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restart"/>
                  <w:tcBorders>
                    <w:top w:val="single" w:color="auto" w:sz="4" w:space="0"/>
                    <w:left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其他</w:t>
                  </w: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应急事故池</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highlight w:val="none"/>
                    </w:rPr>
                    <w:t>位于厂区西</w:t>
                  </w:r>
                  <w:r>
                    <w:rPr>
                      <w:rFonts w:hint="eastAsia" w:hAnsi="宋体" w:cs="Times New Roman"/>
                      <w:sz w:val="21"/>
                      <w:szCs w:val="21"/>
                      <w:highlight w:val="none"/>
                      <w:lang w:val="en-US" w:eastAsia="zh-CN"/>
                    </w:rPr>
                    <w:t>北</w:t>
                  </w:r>
                  <w:r>
                    <w:rPr>
                      <w:rFonts w:hint="eastAsia" w:hAnsi="宋体" w:cs="Times New Roman"/>
                      <w:sz w:val="21"/>
                      <w:szCs w:val="21"/>
                      <w:highlight w:val="none"/>
                    </w:rPr>
                    <w:t>侧，</w:t>
                  </w:r>
                  <w:r>
                    <w:rPr>
                      <w:rFonts w:hAnsi="宋体" w:cs="Times New Roman"/>
                      <w:sz w:val="21"/>
                      <w:szCs w:val="21"/>
                      <w:highlight w:val="none"/>
                    </w:rPr>
                    <w:t>1</w:t>
                  </w:r>
                  <w:r>
                    <w:rPr>
                      <w:rFonts w:hint="eastAsia" w:hAnsi="宋体" w:cs="Times New Roman"/>
                      <w:sz w:val="21"/>
                      <w:szCs w:val="21"/>
                      <w:highlight w:val="none"/>
                    </w:rPr>
                    <w:t>个，容积</w:t>
                  </w:r>
                  <w:r>
                    <w:rPr>
                      <w:rFonts w:hint="eastAsia" w:hAnsi="宋体" w:cs="Times New Roman"/>
                      <w:sz w:val="21"/>
                      <w:szCs w:val="21"/>
                      <w:highlight w:val="none"/>
                      <w:lang w:val="en-US" w:eastAsia="zh-CN"/>
                    </w:rPr>
                    <w:t>45.6</w:t>
                  </w:r>
                  <w:r>
                    <w:rPr>
                      <w:rFonts w:hint="eastAsia" w:hAnsi="宋体" w:cs="Times New Roman"/>
                      <w:sz w:val="21"/>
                      <w:szCs w:val="21"/>
                      <w:highlight w:val="none"/>
                    </w:rPr>
                    <w:t>m</w:t>
                  </w:r>
                  <w:r>
                    <w:rPr>
                      <w:rFonts w:hAnsi="宋体" w:cs="Times New Roman"/>
                      <w:sz w:val="21"/>
                      <w:szCs w:val="21"/>
                      <w:highlight w:val="none"/>
                      <w:vertAlign w:val="superscript"/>
                    </w:rPr>
                    <w:t>3</w:t>
                  </w:r>
                  <w:r>
                    <w:rPr>
                      <w:rFonts w:hint="eastAsia" w:hAnsi="宋体" w:cs="Times New Roman"/>
                      <w:sz w:val="21"/>
                      <w:szCs w:val="21"/>
                      <w:highlight w:val="none"/>
                      <w:vertAlign w:val="baseline"/>
                      <w:lang w:eastAsia="zh-CN"/>
                    </w:rPr>
                    <w:t>，</w:t>
                  </w:r>
                  <w:r>
                    <w:rPr>
                      <w:rFonts w:hint="eastAsia" w:hAnsi="宋体" w:cs="Times New Roman"/>
                      <w:sz w:val="21"/>
                      <w:szCs w:val="21"/>
                      <w:highlight w:val="none"/>
                      <w:lang w:val="en-US" w:eastAsia="zh-CN"/>
                    </w:rPr>
                    <w:t>5.7</w:t>
                  </w:r>
                  <w:r>
                    <w:rPr>
                      <w:rFonts w:hAnsi="宋体" w:cs="Times New Roman"/>
                      <w:sz w:val="21"/>
                      <w:szCs w:val="21"/>
                      <w:highlight w:val="none"/>
                    </w:rPr>
                    <w:t>m*</w:t>
                  </w:r>
                  <w:r>
                    <w:rPr>
                      <w:rFonts w:hint="eastAsia" w:hAnsi="宋体" w:cs="Times New Roman"/>
                      <w:sz w:val="21"/>
                      <w:szCs w:val="21"/>
                      <w:highlight w:val="none"/>
                      <w:lang w:val="en-US" w:eastAsia="zh-CN"/>
                    </w:rPr>
                    <w:t>4</w:t>
                  </w:r>
                  <w:r>
                    <w:rPr>
                      <w:rFonts w:hAnsi="宋体" w:cs="Times New Roman"/>
                      <w:sz w:val="21"/>
                      <w:szCs w:val="21"/>
                      <w:highlight w:val="none"/>
                    </w:rPr>
                    <w:t>m*</w:t>
                  </w:r>
                  <w:r>
                    <w:rPr>
                      <w:rFonts w:hint="eastAsia" w:hAnsi="宋体" w:cs="Times New Roman"/>
                      <w:sz w:val="21"/>
                      <w:szCs w:val="21"/>
                      <w:highlight w:val="none"/>
                      <w:lang w:val="en-US" w:eastAsia="zh-CN"/>
                    </w:rPr>
                    <w:t>2</w:t>
                  </w:r>
                  <w:r>
                    <w:rPr>
                      <w:rFonts w:hAnsi="宋体" w:cs="Times New Roman"/>
                      <w:sz w:val="21"/>
                      <w:szCs w:val="21"/>
                      <w:highlight w:val="none"/>
                    </w:rPr>
                    <w:t>m</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53" w:type="pct"/>
                  <w:vMerge w:val="continue"/>
                  <w:tcBorders>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p>
              </w:tc>
              <w:tc>
                <w:tcPr>
                  <w:tcW w:w="69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消防水池</w:t>
                  </w:r>
                </w:p>
              </w:tc>
              <w:tc>
                <w:tcPr>
                  <w:tcW w:w="3066"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highlight w:val="none"/>
                    </w:rPr>
                    <w:t>厂区</w:t>
                  </w:r>
                  <w:r>
                    <w:rPr>
                      <w:rFonts w:hint="eastAsia" w:hAnsi="宋体" w:cs="Times New Roman"/>
                      <w:sz w:val="21"/>
                      <w:szCs w:val="21"/>
                      <w:highlight w:val="none"/>
                      <w:lang w:val="en-US" w:eastAsia="zh-CN"/>
                    </w:rPr>
                    <w:t>西南</w:t>
                  </w:r>
                  <w:r>
                    <w:rPr>
                      <w:rFonts w:hint="eastAsia" w:hAnsi="宋体" w:cs="Times New Roman"/>
                      <w:sz w:val="21"/>
                      <w:szCs w:val="21"/>
                      <w:highlight w:val="none"/>
                    </w:rPr>
                    <w:t>侧</w:t>
                  </w:r>
                  <w:r>
                    <w:rPr>
                      <w:rFonts w:hint="eastAsia" w:hAnsi="宋体" w:cs="Times New Roman"/>
                      <w:sz w:val="21"/>
                      <w:szCs w:val="21"/>
                      <w:highlight w:val="none"/>
                      <w:lang w:val="en-US" w:eastAsia="zh-CN"/>
                    </w:rPr>
                    <w:t>1</w:t>
                  </w:r>
                  <w:r>
                    <w:rPr>
                      <w:rFonts w:hint="eastAsia" w:hAnsi="宋体" w:cs="Times New Roman"/>
                      <w:sz w:val="21"/>
                      <w:szCs w:val="21"/>
                      <w:highlight w:val="none"/>
                    </w:rPr>
                    <w:t>个</w:t>
                  </w:r>
                  <w:r>
                    <w:rPr>
                      <w:rFonts w:hint="eastAsia" w:hAnsi="宋体" w:cs="Times New Roman"/>
                      <w:sz w:val="21"/>
                      <w:szCs w:val="21"/>
                      <w:highlight w:val="none"/>
                      <w:lang w:val="en-US" w:eastAsia="zh-CN"/>
                    </w:rPr>
                    <w:t>，</w:t>
                  </w:r>
                  <w:r>
                    <w:rPr>
                      <w:rFonts w:hint="eastAsia" w:hAnsi="宋体" w:cs="Times New Roman"/>
                      <w:sz w:val="21"/>
                      <w:szCs w:val="21"/>
                      <w:highlight w:val="none"/>
                    </w:rPr>
                    <w:t>容积</w:t>
                  </w:r>
                  <w:r>
                    <w:rPr>
                      <w:rFonts w:hint="eastAsia" w:hAnsi="宋体" w:cs="Times New Roman"/>
                      <w:sz w:val="21"/>
                      <w:szCs w:val="21"/>
                      <w:highlight w:val="none"/>
                      <w:lang w:val="en-US" w:eastAsia="zh-CN"/>
                    </w:rPr>
                    <w:t>16</w:t>
                  </w:r>
                  <w:r>
                    <w:rPr>
                      <w:rFonts w:hint="eastAsia" w:hAnsi="宋体" w:cs="Times New Roman"/>
                      <w:sz w:val="21"/>
                      <w:szCs w:val="21"/>
                      <w:highlight w:val="none"/>
                    </w:rPr>
                    <w:t>m</w:t>
                  </w:r>
                  <w:r>
                    <w:rPr>
                      <w:rFonts w:hAnsi="宋体" w:cs="Times New Roman"/>
                      <w:sz w:val="21"/>
                      <w:szCs w:val="21"/>
                      <w:highlight w:val="none"/>
                      <w:vertAlign w:val="superscript"/>
                    </w:rPr>
                    <w:t>3</w:t>
                  </w:r>
                  <w:r>
                    <w:rPr>
                      <w:rFonts w:hint="eastAsia" w:hAnsi="宋体" w:cs="Times New Roman"/>
                      <w:sz w:val="21"/>
                      <w:szCs w:val="21"/>
                      <w:highlight w:val="none"/>
                    </w:rPr>
                    <w:t>，</w:t>
                  </w:r>
                  <w:r>
                    <w:rPr>
                      <w:rFonts w:hint="eastAsia" w:hAnsi="宋体" w:cs="Times New Roman"/>
                      <w:sz w:val="21"/>
                      <w:szCs w:val="21"/>
                      <w:highlight w:val="none"/>
                      <w:lang w:val="en-US" w:eastAsia="zh-CN"/>
                    </w:rPr>
                    <w:t>4</w:t>
                  </w:r>
                  <w:r>
                    <w:rPr>
                      <w:rFonts w:hAnsi="宋体" w:cs="Times New Roman"/>
                      <w:sz w:val="21"/>
                      <w:szCs w:val="21"/>
                      <w:highlight w:val="none"/>
                    </w:rPr>
                    <w:t>m*</w:t>
                  </w:r>
                  <w:r>
                    <w:rPr>
                      <w:rFonts w:hint="eastAsia" w:hAnsi="宋体" w:cs="Times New Roman"/>
                      <w:sz w:val="21"/>
                      <w:szCs w:val="21"/>
                      <w:highlight w:val="none"/>
                      <w:lang w:val="en-US" w:eastAsia="zh-CN"/>
                    </w:rPr>
                    <w:t>2</w:t>
                  </w:r>
                  <w:r>
                    <w:rPr>
                      <w:rFonts w:hAnsi="宋体" w:cs="Times New Roman"/>
                      <w:sz w:val="21"/>
                      <w:szCs w:val="21"/>
                      <w:highlight w:val="none"/>
                    </w:rPr>
                    <w:t>m*</w:t>
                  </w:r>
                  <w:r>
                    <w:rPr>
                      <w:rFonts w:hint="eastAsia" w:hAnsi="宋体" w:cs="Times New Roman"/>
                      <w:sz w:val="21"/>
                      <w:szCs w:val="21"/>
                      <w:highlight w:val="none"/>
                      <w:lang w:val="en-US" w:eastAsia="zh-CN"/>
                    </w:rPr>
                    <w:t>2</w:t>
                  </w:r>
                  <w:r>
                    <w:rPr>
                      <w:rFonts w:hAnsi="宋体" w:cs="Times New Roman"/>
                      <w:sz w:val="21"/>
                      <w:szCs w:val="21"/>
                      <w:highlight w:val="none"/>
                    </w:rPr>
                    <w:t>m</w:t>
                  </w:r>
                </w:p>
              </w:tc>
              <w:tc>
                <w:tcPr>
                  <w:tcW w:w="584" w:type="pct"/>
                  <w:tcBorders>
                    <w:top w:val="single" w:color="auto" w:sz="4" w:space="0"/>
                    <w:left w:val="single" w:color="auto" w:sz="4" w:space="0"/>
                    <w:bottom w:val="single" w:color="auto" w:sz="4" w:space="0"/>
                    <w:right w:val="single" w:color="auto" w:sz="4" w:space="0"/>
                  </w:tcBorders>
                  <w:vAlign w:val="center"/>
                </w:tcPr>
                <w:p>
                  <w:pPr>
                    <w:pStyle w:val="57"/>
                    <w:keepNext w:val="0"/>
                    <w:keepLines w:val="0"/>
                    <w:pageBreakBefore w:val="0"/>
                    <w:kinsoku/>
                    <w:wordWrap/>
                    <w:overflowPunct/>
                    <w:topLinePunct w:val="0"/>
                    <w:bidi w:val="0"/>
                    <w:spacing w:beforeAutospacing="0" w:afterAutospacing="0" w:line="360" w:lineRule="auto"/>
                    <w:ind w:left="0" w:leftChars="0" w:firstLine="0" w:firstLineChars="0"/>
                    <w:jc w:val="center"/>
                    <w:rPr>
                      <w:rFonts w:hAnsi="宋体" w:cs="Times New Roman"/>
                      <w:sz w:val="21"/>
                      <w:szCs w:val="21"/>
                    </w:rPr>
                  </w:pPr>
                  <w:r>
                    <w:rPr>
                      <w:rFonts w:hint="eastAsia" w:hAnsi="宋体" w:cs="Times New Roman"/>
                      <w:sz w:val="21"/>
                      <w:szCs w:val="21"/>
                    </w:rPr>
                    <w:t>新建</w:t>
                  </w:r>
                </w:p>
              </w:tc>
            </w:tr>
          </w:tbl>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highlight w:val="none"/>
                <w:u w:val="none"/>
              </w:rPr>
            </w:pPr>
            <w:r>
              <w:rPr>
                <w:rFonts w:hint="eastAsia"/>
                <w:sz w:val="21"/>
                <w:u w:val="none"/>
              </w:rPr>
              <w:t>表</w:t>
            </w:r>
            <w:r>
              <w:rPr>
                <w:rFonts w:hint="eastAsia"/>
                <w:sz w:val="21"/>
                <w:u w:val="none"/>
                <w:lang w:val="en-US"/>
              </w:rPr>
              <w:t xml:space="preserve">2-2  </w:t>
            </w:r>
            <w:r>
              <w:rPr>
                <w:rFonts w:hint="eastAsia"/>
                <w:sz w:val="21"/>
                <w:highlight w:val="none"/>
                <w:u w:val="none"/>
                <w:lang w:val="en-US" w:eastAsia="zh-CN"/>
              </w:rPr>
              <w:t>项目</w:t>
            </w:r>
            <w:r>
              <w:rPr>
                <w:rFonts w:hint="eastAsia"/>
                <w:sz w:val="21"/>
                <w:highlight w:val="none"/>
                <w:u w:val="none"/>
              </w:rPr>
              <w:t>分区表</w:t>
            </w:r>
          </w:p>
          <w:tbl>
            <w:tblPr>
              <w:tblStyle w:val="22"/>
              <w:tblW w:w="7880"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3"/>
              <w:gridCol w:w="2556"/>
              <w:gridCol w:w="1298"/>
              <w:gridCol w:w="3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序号</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分区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规模（㎡）</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贮存类别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HW06区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废有机溶剂与含有机溶剂废物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HW08区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100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废矿物油与含矿物油废物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HW09区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油/水、烃/水混合物或乳化液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HW11区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精（蒸）馏残渣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HW12区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染料、涂料废物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HW13区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有机树脂类废物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7</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HW29区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含汞废物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8</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HW31区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含铅废物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9</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HW49区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其他废物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10</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HW50区</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40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废催化剂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办公室</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22.8</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应急物资暂存间</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22.8</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应急物资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13</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消防沙池</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3.4</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14</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装卸区及通道</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360</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15</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事故应急池</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22.8</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16</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消防水池</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8</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4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合计</w:t>
                  </w:r>
                </w:p>
              </w:tc>
              <w:tc>
                <w:tcPr>
                  <w:tcW w:w="1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919.8</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kern w:val="0"/>
                      <w:sz w:val="21"/>
                      <w:szCs w:val="21"/>
                      <w:lang w:val="en-US" w:eastAsia="zh-CN" w:bidi="ar-SA"/>
                    </w:rPr>
                  </w:pP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hint="eastAsia"/>
                <w:b/>
                <w:kern w:val="0"/>
                <w:sz w:val="24"/>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rFonts w:hint="eastAsia"/>
                <w:b/>
                <w:kern w:val="0"/>
                <w:sz w:val="24"/>
              </w:rPr>
              <w:t>3、产品方案</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bCs/>
                <w:kern w:val="0"/>
                <w:sz w:val="24"/>
              </w:rPr>
            </w:pPr>
            <w:r>
              <w:rPr>
                <w:rFonts w:hint="eastAsia"/>
                <w:bCs/>
                <w:kern w:val="0"/>
                <w:sz w:val="24"/>
              </w:rPr>
              <w:t>项目产品方案如下：</w:t>
            </w: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highlight w:val="none"/>
              </w:rPr>
            </w:pPr>
            <w:r>
              <w:rPr>
                <w:sz w:val="21"/>
              </w:rPr>
              <w:t>表2</w:t>
            </w:r>
            <w:r>
              <w:rPr>
                <w:rFonts w:hint="eastAsia"/>
                <w:sz w:val="21"/>
              </w:rPr>
              <w:t>-</w:t>
            </w:r>
            <w:r>
              <w:rPr>
                <w:sz w:val="21"/>
              </w:rPr>
              <w:t xml:space="preserve">3   </w:t>
            </w:r>
            <w:r>
              <w:rPr>
                <w:rFonts w:hint="eastAsia"/>
                <w:sz w:val="21"/>
                <w:highlight w:val="none"/>
              </w:rPr>
              <w:t>企业拟收集贮存的危险废物方案</w:t>
            </w:r>
          </w:p>
          <w:tbl>
            <w:tblPr>
              <w:tblStyle w:val="22"/>
              <w:tblW w:w="7753"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867"/>
              <w:gridCol w:w="3046"/>
              <w:gridCol w:w="1662"/>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6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序号</w:t>
                  </w:r>
                </w:p>
              </w:tc>
              <w:tc>
                <w:tcPr>
                  <w:tcW w:w="86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类别</w:t>
                  </w:r>
                </w:p>
              </w:tc>
              <w:tc>
                <w:tcPr>
                  <w:tcW w:w="3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名称</w:t>
                  </w:r>
                </w:p>
              </w:tc>
              <w:tc>
                <w:tcPr>
                  <w:tcW w:w="166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最大贮存量（t）</w:t>
                  </w:r>
                </w:p>
              </w:tc>
              <w:tc>
                <w:tcPr>
                  <w:tcW w:w="151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Times New Roman"/>
                      <w:b/>
                      <w:bCs/>
                      <w:kern w:val="0"/>
                      <w:sz w:val="21"/>
                      <w:szCs w:val="21"/>
                      <w:lang w:val="en-US" w:eastAsia="zh-CN" w:bidi="ar-SA"/>
                    </w:rPr>
                  </w:pPr>
                  <w:r>
                    <w:rPr>
                      <w:rFonts w:hint="eastAsia" w:ascii="宋体" w:hAnsi="宋体" w:eastAsia="宋体" w:cs="Times New Roman"/>
                      <w:b/>
                      <w:bCs/>
                      <w:kern w:val="0"/>
                      <w:sz w:val="21"/>
                      <w:szCs w:val="21"/>
                      <w:lang w:val="en-US" w:eastAsia="zh-CN" w:bidi="ar-SA"/>
                    </w:rPr>
                    <w:t>年周转量（t）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HW06</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废有机溶剂与含有机溶剂废物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HW08</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废矿物油与含矿物油废物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HW09</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油/水、烃/水混合物或乳化液</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HW11</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精（蒸）馏残渣</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HW12</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染料、涂料废物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HW13</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有机树脂类废物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HW29</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含汞废物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HW31</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含铅废物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HW49</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其他废物</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6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HW50</w:t>
                  </w:r>
                </w:p>
              </w:tc>
              <w:tc>
                <w:tcPr>
                  <w:tcW w:w="304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废催化剂</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578" w:type="dxa"/>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6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51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12000</w:t>
                  </w:r>
                </w:p>
              </w:tc>
            </w:tr>
          </w:tbl>
          <w:p>
            <w:pPr>
              <w:pStyle w:val="8"/>
              <w:keepNext w:val="0"/>
              <w:keepLines w:val="0"/>
              <w:pageBreakBefore w:val="0"/>
              <w:kinsoku/>
              <w:wordWrap/>
              <w:overflowPunct/>
              <w:topLinePunct w:val="0"/>
              <w:bidi w:val="0"/>
              <w:spacing w:before="0" w:beforeAutospacing="0" w:after="0" w:afterAutospacing="0" w:line="360" w:lineRule="auto"/>
              <w:ind w:left="0" w:leftChars="0"/>
              <w:rPr>
                <w:rFonts w:hint="eastAsia"/>
                <w:sz w:val="21"/>
                <w:highlight w:val="none"/>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highlight w:val="none"/>
              </w:rPr>
            </w:pPr>
            <w:r>
              <w:rPr>
                <w:rFonts w:hint="eastAsia"/>
                <w:sz w:val="21"/>
              </w:rPr>
              <w:t>表</w:t>
            </w:r>
            <w:r>
              <w:rPr>
                <w:rFonts w:hint="eastAsia"/>
                <w:sz w:val="21"/>
                <w:lang w:val="en-US"/>
              </w:rPr>
              <w:t>2-</w:t>
            </w:r>
            <w:r>
              <w:rPr>
                <w:sz w:val="21"/>
                <w:lang w:val="en-US"/>
              </w:rPr>
              <w:t>4</w:t>
            </w:r>
            <w:r>
              <w:rPr>
                <w:rFonts w:hint="eastAsia"/>
                <w:sz w:val="21"/>
                <w:lang w:val="en-US"/>
              </w:rPr>
              <w:t xml:space="preserve">  </w:t>
            </w:r>
            <w:r>
              <w:rPr>
                <w:rFonts w:hint="eastAsia"/>
                <w:sz w:val="21"/>
                <w:highlight w:val="none"/>
              </w:rPr>
              <w:t>企业拟收集的危险废物类别</w:t>
            </w:r>
          </w:p>
          <w:tbl>
            <w:tblPr>
              <w:tblStyle w:val="22"/>
              <w:tblW w:w="7758"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946"/>
              <w:gridCol w:w="1256"/>
              <w:gridCol w:w="3636"/>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行业来源</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废物代码</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危险废物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危险特性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HW06 废有机溶剂与含有机溶剂废物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900-401-06</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Style w:val="96"/>
                      <w:lang w:val="en-US" w:eastAsia="zh-CN" w:bidi="ar"/>
                    </w:rPr>
                    <w:t>工业生产中作为清洗剂、萃取剂、溶剂或反应介质使用后废弃的四氯化碳、二氯甲烷、</w:t>
                  </w:r>
                  <w:r>
                    <w:rPr>
                      <w:rStyle w:val="97"/>
                      <w:lang w:val="en-US" w:eastAsia="zh-CN" w:bidi="ar"/>
                    </w:rPr>
                    <w:t>1,1-</w:t>
                  </w:r>
                  <w:r>
                    <w:rPr>
                      <w:rStyle w:val="96"/>
                      <w:lang w:val="en-US" w:eastAsia="zh-CN" w:bidi="ar"/>
                    </w:rPr>
                    <w:t>二氯 乙烷、</w:t>
                  </w:r>
                  <w:r>
                    <w:rPr>
                      <w:rStyle w:val="97"/>
                      <w:lang w:val="en-US" w:eastAsia="zh-CN" w:bidi="ar"/>
                    </w:rPr>
                    <w:t>1,2</w:t>
                  </w:r>
                  <w:r>
                    <w:rPr>
                      <w:rStyle w:val="96"/>
                      <w:lang w:val="en-US" w:eastAsia="zh-CN" w:bidi="ar"/>
                    </w:rPr>
                    <w:t>-二氯乙烷、</w:t>
                  </w:r>
                  <w:r>
                    <w:rPr>
                      <w:rStyle w:val="97"/>
                      <w:lang w:val="en-US" w:eastAsia="zh-CN" w:bidi="ar"/>
                    </w:rPr>
                    <w:t>1,1,1</w:t>
                  </w:r>
                  <w:r>
                    <w:rPr>
                      <w:rStyle w:val="96"/>
                      <w:lang w:val="en-US" w:eastAsia="zh-CN" w:bidi="ar"/>
                    </w:rPr>
                    <w:t>-三氯乙烷、</w:t>
                  </w:r>
                  <w:r>
                    <w:rPr>
                      <w:rStyle w:val="97"/>
                      <w:lang w:val="en-US" w:eastAsia="zh-CN" w:bidi="ar"/>
                    </w:rPr>
                    <w:t>1, 1, 2-</w:t>
                  </w:r>
                  <w:r>
                    <w:rPr>
                      <w:rStyle w:val="96"/>
                      <w:lang w:val="en-US" w:eastAsia="zh-CN" w:bidi="ar"/>
                    </w:rPr>
                    <w:t>三氯乙烷、三氯乙烯、四氯乙烯，以及在使用前混合的含有一种或多种上述卤化溶剂的混合/调和溶剂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HW08 废矿物油与含矿物油废物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橡胶制品业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291-001-08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橡胶生产过程中产生的废溶剂油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900-199-08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内燃机、汽车、轮船等集中拆解过程产生的废矿物油及油泥</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900-200-08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珩磨、研磨、打磨过程产生的废矿物油及油泥</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900-201-08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清洗金属零部件过程中产生的废弃煤油、柴油、汽油及其他由石油和煤炼制生产的溶剂油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900-203-08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使用淬火油进行化处理产生的废矿物油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900-204-08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使用轧制油、冷却剂及酸进行金属轧制产生的废矿物油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900-205-08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镀锡及焊锡回收工艺产生的废矿物油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900-209-08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金属、塑料的定型和物理机械表面处理过程中产生的废石蜡和润滑油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900-214-08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车辆、轮船及其它机械维修过程中产生的废发动机油、制动器油、自动变速器油、齿轮油等废润滑油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900-216-08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使用防锈油进行铸件表面防锈处理过程中产生的废防锈油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900-217-08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使用工业齿轮油进行机械设备润滑过程中产生的废润滑油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900-218-08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液压设备维护、更换和拆解过程中产生的废液压油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900-219-08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冷冻压缩设备维护、更换和拆解过程中产生的废冷冻机油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900-220-08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变压器维护、更换和拆解过程中产生的废变压器油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900-221-08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废燃料油及燃料油储存过程中产生的油泥</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900-249-08</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其他生产、销售、使用过程中产生的废矿物油及沾染矿物油的废弃包装物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HW09 油/水、烃/水混合物或乳化液</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900-006-09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使用切削油或切削液进行机械加工过程中产生的油/水、烃/水混合物或乳化液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HW11 精（蒸） 馏残渣</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燃气生产和供应业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451-003-11</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煤气生产过程中煤气冷凝产生的煤焦油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900-013-11</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其他化工生产过程（不包括以生物质为主要原料的加工过程）中精馏、蒸馏和热解工艺产生的高沸点釜底残余物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HW12 染料、涂料废物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900-252-12</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使用油漆（不包括水性漆）、有机溶剂进行喷漆、上漆过程中产生的废物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HW13 有机树脂类废物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合成材料制造</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265-103-13</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Style w:val="96"/>
                      <w:lang w:val="en-US" w:eastAsia="zh-CN" w:bidi="ar"/>
                    </w:rPr>
                    <w:t>树脂（不包括水性聚氨酯乳液、水性丙烯酸乳液、 水性聚氨酯丙烯酸复合乳液）、合成乳胶、增塑剂、胶水/胶合剂生产过程中精馏、</w:t>
                  </w:r>
                  <w:r>
                    <w:rPr>
                      <w:rFonts w:hint="eastAsia" w:ascii="宋体" w:hAnsi="宋体" w:eastAsia="宋体" w:cs="宋体"/>
                      <w:i/>
                      <w:iCs/>
                      <w:color w:val="000000"/>
                      <w:kern w:val="0"/>
                      <w:sz w:val="19"/>
                      <w:szCs w:val="19"/>
                      <w:u w:val="none"/>
                      <w:lang w:val="en-US" w:eastAsia="zh-CN" w:bidi="ar"/>
                    </w:rPr>
                    <w:t>分离、</w:t>
                  </w:r>
                  <w:r>
                    <w:rPr>
                      <w:rStyle w:val="96"/>
                      <w:lang w:val="en-US" w:eastAsia="zh-CN" w:bidi="ar"/>
                    </w:rPr>
                    <w:t>精制等工序产生的釜底残液、废过滤介质和残渣</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900-016-13</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使用酸、碱或有机溶剂清洗容器设备剥离下的树脂状、粘稠杂物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HW29 含汞废物</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生产、销售及使用过程中产生的废含汞荧光灯管及其他废含汞电光源，及废弃含汞电光源处理处置过程中产生的废荧光粉、废活性炭和废水处理污泥</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900-024-29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生产、销售及使用过程中产生的废含汞温度计、废含汞血压计、废含汞真空表、废含汞压力计、废氧化汞电池和废汞开关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HW31 含铅废物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废铅蓄电池及废铅蓄电池拆解过程中产生的废铅板、废铅膏和酸液</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 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2"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HW49 其他废物</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900-039-49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Style w:val="96"/>
                      <w:lang w:val="en-US" w:eastAsia="zh-CN" w:bidi="ar"/>
                    </w:rPr>
                    <w:t>烟气、</w:t>
                  </w:r>
                  <w:r>
                    <w:rPr>
                      <w:rStyle w:val="97"/>
                      <w:lang w:val="en-US" w:eastAsia="zh-CN" w:bidi="ar"/>
                    </w:rPr>
                    <w:t>VOCs</w:t>
                  </w:r>
                  <w:r>
                    <w:rPr>
                      <w:rStyle w:val="96"/>
                      <w:lang w:val="en-US" w:eastAsia="zh-CN" w:bidi="ar"/>
                    </w:rPr>
                    <w:t>治（不包行业油烟治理过程）产生的废活性炭，化学原料和化学制品脱色（不包括有机合成食品添加剂脱色）、除杂、净化就产生的废活性炭（不包括</w:t>
                  </w:r>
                  <w:r>
                    <w:rPr>
                      <w:rStyle w:val="97"/>
                      <w:lang w:val="en-US" w:eastAsia="zh-CN" w:bidi="ar"/>
                    </w:rPr>
                    <w:t>900-405-06</w:t>
                  </w:r>
                  <w:r>
                    <w:rPr>
                      <w:rStyle w:val="96"/>
                      <w:lang w:val="en-US" w:eastAsia="zh-CN" w:bidi="ar"/>
                    </w:rPr>
                    <w:t>、</w:t>
                  </w:r>
                  <w:r>
                    <w:rPr>
                      <w:rStyle w:val="97"/>
                      <w:lang w:val="en-US" w:eastAsia="zh-CN" w:bidi="ar"/>
                    </w:rPr>
                    <w:t xml:space="preserve">772-005-18 </w:t>
                  </w:r>
                  <w:r>
                    <w:rPr>
                      <w:rStyle w:val="96"/>
                      <w:lang w:val="en-US" w:eastAsia="zh-CN" w:bidi="ar"/>
                    </w:rPr>
                    <w:t xml:space="preserve">、 </w:t>
                  </w:r>
                  <w:r>
                    <w:rPr>
                      <w:rStyle w:val="97"/>
                      <w:lang w:val="en-US" w:eastAsia="zh-CN" w:bidi="ar"/>
                    </w:rPr>
                    <w:t xml:space="preserve">261-053-29 </w:t>
                  </w:r>
                  <w:r>
                    <w:rPr>
                      <w:rStyle w:val="96"/>
                      <w:lang w:val="en-US" w:eastAsia="zh-CN" w:bidi="ar"/>
                    </w:rPr>
                    <w:t>、</w:t>
                  </w:r>
                  <w:r>
                    <w:rPr>
                      <w:rStyle w:val="97"/>
                      <w:lang w:val="en-US" w:eastAsia="zh-CN" w:bidi="ar"/>
                    </w:rPr>
                    <w:t xml:space="preserve">265-002-29 </w:t>
                  </w:r>
                  <w:r>
                    <w:rPr>
                      <w:rStyle w:val="96"/>
                      <w:lang w:val="en-US" w:eastAsia="zh-CN" w:bidi="ar"/>
                    </w:rPr>
                    <w:t>、</w:t>
                  </w:r>
                  <w:r>
                    <w:rPr>
                      <w:rStyle w:val="97"/>
                      <w:lang w:val="en-US" w:eastAsia="zh-CN" w:bidi="ar"/>
                    </w:rPr>
                    <w:t>384-003-29, 387-001-29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900-041-49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含有或沾染毒性、感染性危险废物的废弃包装物、容器、过滤吸附介质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900-044-49</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废弃的镉镍电池、荧光粉和阴极射线管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HW50 废催化剂</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非特定行业</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900-049-50</w:t>
                  </w:r>
                </w:p>
              </w:tc>
              <w:tc>
                <w:tcPr>
                  <w:tcW w:w="3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机动车和非道路移动机械尾气净化废催化剂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r>
          </w:tbl>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r>
              <w:rPr>
                <w:rFonts w:hint="eastAsia"/>
                <w:sz w:val="21"/>
              </w:rPr>
              <w:t>表2-</w:t>
            </w:r>
            <w:r>
              <w:rPr>
                <w:sz w:val="21"/>
              </w:rPr>
              <w:t xml:space="preserve">5  </w:t>
            </w:r>
            <w:r>
              <w:rPr>
                <w:rFonts w:hint="eastAsia"/>
                <w:sz w:val="21"/>
              </w:rPr>
              <w:t>各固废贮存方式一览表</w:t>
            </w:r>
          </w:p>
          <w:tbl>
            <w:tblPr>
              <w:tblStyle w:val="22"/>
              <w:tblW w:w="77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3"/>
              <w:gridCol w:w="1296"/>
              <w:gridCol w:w="780"/>
              <w:gridCol w:w="696"/>
              <w:gridCol w:w="860"/>
              <w:gridCol w:w="729"/>
              <w:gridCol w:w="1144"/>
              <w:gridCol w:w="1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废物代码</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废物形态</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包装形式</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包装规格</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堆放形式</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堆存区面积</w:t>
                  </w:r>
                  <w:r>
                    <w:rPr>
                      <w:rFonts w:hint="eastAsia" w:ascii="宋体" w:hAnsi="宋体" w:cs="宋体"/>
                      <w:b/>
                      <w:bCs/>
                      <w:i w:val="0"/>
                      <w:iCs w:val="0"/>
                      <w:color w:val="000000"/>
                      <w:kern w:val="0"/>
                      <w:sz w:val="18"/>
                      <w:szCs w:val="18"/>
                      <w:u w:val="none"/>
                      <w:lang w:val="en-US" w:eastAsia="zh-CN" w:bidi="ar"/>
                    </w:rPr>
                    <w:t>（㎡）</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最大贮存量</w:t>
                  </w:r>
                  <w:r>
                    <w:rPr>
                      <w:rFonts w:hint="eastAsia" w:ascii="宋体" w:hAnsi="宋体" w:cs="宋体"/>
                      <w:b/>
                      <w:bCs/>
                      <w:i w:val="0"/>
                      <w:iCs w:val="0"/>
                      <w:color w:val="000000"/>
                      <w:kern w:val="0"/>
                      <w:sz w:val="18"/>
                      <w:szCs w:val="18"/>
                      <w:u w:val="none"/>
                      <w:lang w:val="en-US" w:eastAsia="zh-CN" w:bidi="ar"/>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HW06 废有机溶剂与含有机溶剂废物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900-401-06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15"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HW08 废矿物油与含矿物油废物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291-001-08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900-199-08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900-200-08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900-201-08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900-203-08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900-204-08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6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900-205-08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900-209-08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900-214-08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900-216-08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900-217-08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900-218-08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900-219-08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900-220-08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900-221-08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900-249-08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11"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HW09 油/水、烃/水混合物或乳化液</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900-006-09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HW11 精（蒸） 馏残渣</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451-003-11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900-013-11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15"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HW12 染料、涂料废物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900-252-12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60"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HW13 有机树脂类废物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265-103-13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15"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900-016-13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80"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HW29 含汞废物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900-024-29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5"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HW31 含铅废物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桶装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200L</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平堆</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80" w:hRule="atLeast"/>
                <w:jc w:val="center"/>
              </w:trPr>
              <w:tc>
                <w:tcPr>
                  <w:tcW w:w="10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HW49 其他废物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900-039-49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900-041-49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jc w:val="center"/>
              </w:trPr>
              <w:tc>
                <w:tcPr>
                  <w:tcW w:w="10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rPr>
                      <w:rFonts w:hint="eastAsia" w:ascii="宋体" w:hAnsi="宋体" w:eastAsia="宋体" w:cs="宋体"/>
                      <w:i w:val="0"/>
                      <w:iCs w:val="0"/>
                      <w:color w:val="000000"/>
                      <w:sz w:val="19"/>
                      <w:szCs w:val="19"/>
                      <w:u w:val="none"/>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900-044-49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HW50 废催化剂</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900-049-50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箱装</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0.5m×0.5m×0.5m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码垛</w:t>
                  </w:r>
                </w:p>
              </w:tc>
              <w:tc>
                <w:tcPr>
                  <w:tcW w:w="1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bl>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highlight w:val="none"/>
              </w:rPr>
            </w:pPr>
            <w:r>
              <w:rPr>
                <w:rFonts w:hint="eastAsia"/>
                <w:sz w:val="21"/>
              </w:rPr>
              <w:t>表2-</w:t>
            </w:r>
            <w:r>
              <w:rPr>
                <w:sz w:val="21"/>
              </w:rPr>
              <w:t xml:space="preserve">6  </w:t>
            </w:r>
            <w:r>
              <w:rPr>
                <w:rFonts w:hint="eastAsia"/>
                <w:sz w:val="21"/>
                <w:highlight w:val="none"/>
              </w:rPr>
              <w:t>危险废物周转频次一览表</w:t>
            </w:r>
          </w:p>
          <w:tbl>
            <w:tblPr>
              <w:tblStyle w:val="22"/>
              <w:tblW w:w="7735"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2"/>
              <w:gridCol w:w="1250"/>
              <w:gridCol w:w="739"/>
              <w:gridCol w:w="904"/>
              <w:gridCol w:w="794"/>
              <w:gridCol w:w="979"/>
              <w:gridCol w:w="978"/>
              <w:gridCol w:w="10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废物代码</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废物形态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最大贮存量（t）</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年周转量（t）</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年周转次数（取整）</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平均暂存时间</w:t>
                  </w:r>
                  <w:r>
                    <w:rPr>
                      <w:rFonts w:hint="eastAsia" w:ascii="宋体" w:hAnsi="宋体" w:cs="宋体"/>
                      <w:b/>
                      <w:bCs/>
                      <w:i w:val="0"/>
                      <w:iCs w:val="0"/>
                      <w:color w:val="000000"/>
                      <w:kern w:val="0"/>
                      <w:sz w:val="18"/>
                      <w:szCs w:val="18"/>
                      <w:u w:val="none"/>
                      <w:lang w:val="en-US" w:eastAsia="zh-CN" w:bidi="ar"/>
                    </w:rPr>
                    <w:t>（天）</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最大暂存时间</w:t>
                  </w:r>
                  <w:r>
                    <w:rPr>
                      <w:rFonts w:hint="eastAsia" w:ascii="宋体" w:hAnsi="宋体" w:cs="宋体"/>
                      <w:b/>
                      <w:bCs/>
                      <w:i w:val="0"/>
                      <w:iCs w:val="0"/>
                      <w:color w:val="000000"/>
                      <w:kern w:val="0"/>
                      <w:sz w:val="18"/>
                      <w:szCs w:val="18"/>
                      <w:u w:val="none"/>
                      <w:lang w:val="en-US" w:eastAsia="zh-CN" w:bidi="ar"/>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HW06 废有机溶剂与含有机溶剂废物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900-401-06</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HW08 废矿物油与含矿物油废物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291-001-08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900-199-08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900-200-08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900-201-08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900-203-08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900-204-08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900-205-08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900-209-08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900-214-08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900-216-08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900-217-08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900-218-08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900-219-08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900-220-08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900-221-08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900-249-08</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HW09 油/水、烃/水混合物或乳化液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900-006-09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HW11 精（蒸） 馏残渣</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451-003-11</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900-013-11</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HW12 染料、涂料废物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900-252-12</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HW13 有机树脂类废物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265-103-13</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900-016-13</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HW29 含汞废物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900-023-29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900-024-29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HW31 含铅废物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900-052-31</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固态/液态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HW49 其他废物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900-039-49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900-041-49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ascii="宋体" w:hAnsi="宋体" w:eastAsia="宋体" w:cs="宋体"/>
                      <w:i w:val="0"/>
                      <w:iCs w:val="0"/>
                      <w:color w:val="000000"/>
                      <w:sz w:val="19"/>
                      <w:szCs w:val="19"/>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900-044-49</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9"/>
                      <w:szCs w:val="19"/>
                      <w:u w:val="none"/>
                    </w:rPr>
                  </w:pPr>
                  <w:r>
                    <w:rPr>
                      <w:rFonts w:hint="eastAsia" w:ascii="宋体" w:hAnsi="宋体" w:eastAsia="宋体" w:cs="宋体"/>
                      <w:i w:val="0"/>
                      <w:iCs w:val="0"/>
                      <w:color w:val="000000"/>
                      <w:kern w:val="0"/>
                      <w:sz w:val="19"/>
                      <w:szCs w:val="19"/>
                      <w:u w:val="none"/>
                      <w:lang w:val="en-US" w:eastAsia="zh-CN" w:bidi="ar"/>
                    </w:rPr>
                    <w:t>HW50 废催化剂</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900-049-50</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固态</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7.9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bl>
          <w:p>
            <w:pPr>
              <w:pStyle w:val="8"/>
              <w:keepNext w:val="0"/>
              <w:keepLines w:val="0"/>
              <w:pageBreakBefore w:val="0"/>
              <w:kinsoku/>
              <w:wordWrap/>
              <w:overflowPunct/>
              <w:topLinePunct w:val="0"/>
              <w:bidi w:val="0"/>
              <w:spacing w:before="0" w:beforeAutospacing="0" w:after="0" w:afterAutospacing="0" w:line="360" w:lineRule="auto"/>
              <w:ind w:left="0" w:leftChars="0"/>
              <w:rPr>
                <w:rFonts w:hint="eastAsia"/>
                <w:sz w:val="21"/>
                <w:highlight w:val="none"/>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rFonts w:hint="eastAsia"/>
                <w:b/>
                <w:kern w:val="0"/>
                <w:sz w:val="24"/>
              </w:rPr>
              <w:t>4、</w:t>
            </w:r>
            <w:r>
              <w:rPr>
                <w:rFonts w:hint="eastAsia"/>
                <w:b/>
                <w:kern w:val="0"/>
                <w:sz w:val="24"/>
                <w:u w:val="single"/>
              </w:rPr>
              <w:t>主要设备清单</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rFonts w:hint="eastAsia"/>
                <w:bCs/>
                <w:kern w:val="0"/>
              </w:rPr>
            </w:pPr>
            <w:r>
              <w:rPr>
                <w:rFonts w:hint="eastAsia"/>
                <w:bCs/>
                <w:kern w:val="0"/>
              </w:rPr>
              <w:t>本项目主要设备清单如下：</w:t>
            </w:r>
          </w:p>
          <w:p>
            <w:pPr>
              <w:pStyle w:val="7"/>
              <w:keepNext w:val="0"/>
              <w:keepLines w:val="0"/>
              <w:pageBreakBefore w:val="0"/>
              <w:kinsoku/>
              <w:wordWrap/>
              <w:overflowPunct/>
              <w:topLinePunct w:val="0"/>
              <w:bidi w:val="0"/>
              <w:spacing w:beforeAutospacing="0" w:afterAutospacing="0" w:line="360" w:lineRule="auto"/>
              <w:ind w:left="0" w:leftChars="0"/>
              <w:rPr>
                <w:sz w:val="21"/>
                <w:highlight w:val="none"/>
              </w:rPr>
            </w:pPr>
            <w:r>
              <w:rPr>
                <w:rFonts w:hint="eastAsia"/>
                <w:sz w:val="21"/>
                <w:highlight w:val="none"/>
              </w:rPr>
              <w:t>表</w:t>
            </w:r>
            <w:r>
              <w:rPr>
                <w:sz w:val="21"/>
                <w:highlight w:val="none"/>
              </w:rPr>
              <w:t>2</w:t>
            </w:r>
            <w:r>
              <w:rPr>
                <w:rFonts w:hint="eastAsia"/>
                <w:sz w:val="21"/>
                <w:highlight w:val="none"/>
              </w:rPr>
              <w:t>-</w:t>
            </w:r>
            <w:r>
              <w:rPr>
                <w:sz w:val="21"/>
                <w:highlight w:val="none"/>
              </w:rPr>
              <w:t xml:space="preserve">7  </w:t>
            </w:r>
            <w:r>
              <w:rPr>
                <w:rFonts w:hint="eastAsia"/>
                <w:sz w:val="21"/>
                <w:highlight w:val="none"/>
              </w:rPr>
              <w:t>主要设备清单</w:t>
            </w:r>
          </w:p>
          <w:tbl>
            <w:tblPr>
              <w:tblStyle w:val="22"/>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329"/>
              <w:gridCol w:w="1042"/>
              <w:gridCol w:w="897"/>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名称</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规格/型号</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单位</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数量</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叉车</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1t</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辆</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bCs/>
                      <w:sz w:val="21"/>
                      <w:szCs w:val="21"/>
                      <w:lang w:eastAsia="zh-CN"/>
                    </w:rPr>
                  </w:pPr>
                  <w:r>
                    <w:rPr>
                      <w:rFonts w:hint="eastAsia" w:ascii="宋体" w:hAnsi="宋体"/>
                      <w:bCs/>
                      <w:sz w:val="21"/>
                      <w:szCs w:val="21"/>
                      <w:lang w:val="en-US" w:eastAsia="zh-CN"/>
                    </w:rPr>
                    <w:t>2</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危废运输车</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辆</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bCs/>
                      <w:sz w:val="21"/>
                      <w:szCs w:val="21"/>
                      <w:lang w:eastAsia="zh-CN"/>
                    </w:rPr>
                  </w:pPr>
                  <w:r>
                    <w:rPr>
                      <w:rFonts w:hint="eastAsia" w:ascii="宋体" w:hAnsi="宋体"/>
                      <w:bCs/>
                      <w:sz w:val="21"/>
                      <w:szCs w:val="21"/>
                      <w:lang w:val="en-US" w:eastAsia="zh-CN"/>
                    </w:rPr>
                    <w:t>4</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委托有资质的危废运输公司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风机</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lang w:val="en-US" w:eastAsia="zh-CN"/>
                    </w:rPr>
                    <w:t>7.5</w:t>
                  </w:r>
                  <w:r>
                    <w:rPr>
                      <w:rFonts w:hint="eastAsia" w:ascii="宋体" w:hAnsi="宋体"/>
                      <w:bCs/>
                      <w:sz w:val="21"/>
                      <w:szCs w:val="21"/>
                    </w:rPr>
                    <w:t>kw</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台</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1</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打包机</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台</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bCs/>
                      <w:sz w:val="21"/>
                      <w:szCs w:val="21"/>
                      <w:lang w:eastAsia="zh-CN"/>
                    </w:rPr>
                  </w:pPr>
                  <w:r>
                    <w:rPr>
                      <w:rFonts w:hint="eastAsia" w:ascii="宋体" w:hAnsi="宋体"/>
                      <w:bCs/>
                      <w:sz w:val="21"/>
                      <w:szCs w:val="21"/>
                      <w:lang w:val="en-US" w:eastAsia="zh-CN"/>
                    </w:rPr>
                    <w:t>4</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5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活性炭箱</w:t>
                  </w:r>
                </w:p>
              </w:tc>
              <w:tc>
                <w:tcPr>
                  <w:tcW w:w="84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66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个</w:t>
                  </w:r>
                </w:p>
              </w:tc>
              <w:tc>
                <w:tcPr>
                  <w:tcW w:w="57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bCs/>
                      <w:sz w:val="21"/>
                      <w:szCs w:val="21"/>
                      <w:lang w:eastAsia="zh-CN"/>
                    </w:rPr>
                  </w:pPr>
                  <w:r>
                    <w:rPr>
                      <w:rFonts w:hint="eastAsia" w:ascii="宋体" w:hAnsi="宋体"/>
                      <w:bCs/>
                      <w:sz w:val="21"/>
                      <w:szCs w:val="21"/>
                      <w:lang w:val="en-US" w:eastAsia="zh-CN"/>
                    </w:rPr>
                    <w:t>1</w:t>
                  </w:r>
                </w:p>
              </w:tc>
              <w:tc>
                <w:tcPr>
                  <w:tcW w:w="1762"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b/>
                <w:kern w:val="0"/>
                <w:sz w:val="24"/>
              </w:rPr>
              <w:t>5</w:t>
            </w:r>
            <w:r>
              <w:rPr>
                <w:rFonts w:hint="eastAsia"/>
                <w:b/>
                <w:kern w:val="0"/>
                <w:sz w:val="24"/>
              </w:rPr>
              <w:t>、主要原辅材料、能源及资源消耗情况</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bCs/>
                <w:kern w:val="0"/>
                <w:sz w:val="24"/>
              </w:rPr>
            </w:pPr>
            <w:r>
              <w:rPr>
                <w:rFonts w:hint="eastAsia"/>
                <w:bCs/>
                <w:kern w:val="0"/>
                <w:sz w:val="24"/>
              </w:rPr>
              <w:t>项目所涉及的原辅材料主要为危险废物打包过程中所使用的包装袋、包装箱、PVC桶、油桶等，主要消耗情况如下：</w:t>
            </w:r>
          </w:p>
          <w:p>
            <w:pPr>
              <w:pStyle w:val="7"/>
              <w:keepNext w:val="0"/>
              <w:keepLines w:val="0"/>
              <w:pageBreakBefore w:val="0"/>
              <w:kinsoku/>
              <w:wordWrap/>
              <w:overflowPunct/>
              <w:topLinePunct w:val="0"/>
              <w:bidi w:val="0"/>
              <w:spacing w:beforeAutospacing="0" w:afterAutospacing="0" w:line="360" w:lineRule="auto"/>
              <w:ind w:left="0" w:leftChars="0"/>
              <w:rPr>
                <w:sz w:val="21"/>
                <w:highlight w:val="none"/>
              </w:rPr>
            </w:pPr>
            <w:r>
              <w:rPr>
                <w:rFonts w:hint="eastAsia"/>
                <w:sz w:val="21"/>
                <w:highlight w:val="none"/>
              </w:rPr>
              <w:t>表2-</w:t>
            </w:r>
            <w:r>
              <w:rPr>
                <w:sz w:val="21"/>
                <w:highlight w:val="none"/>
              </w:rPr>
              <w:t xml:space="preserve">8  </w:t>
            </w:r>
            <w:r>
              <w:rPr>
                <w:rFonts w:hint="eastAsia"/>
                <w:sz w:val="21"/>
                <w:highlight w:val="none"/>
              </w:rPr>
              <w:t>原辅材料消耗情况一览表</w:t>
            </w:r>
          </w:p>
          <w:tbl>
            <w:tblPr>
              <w:tblStyle w:val="22"/>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662"/>
              <w:gridCol w:w="1436"/>
              <w:gridCol w:w="1060"/>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名称</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规格/型号</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单位</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数量</w:t>
                  </w:r>
                </w:p>
              </w:tc>
              <w:tc>
                <w:tcPr>
                  <w:tcW w:w="158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
                      <w:bCs w:val="0"/>
                      <w:sz w:val="21"/>
                      <w:szCs w:val="21"/>
                    </w:rPr>
                  </w:pPr>
                  <w:r>
                    <w:rPr>
                      <w:rFonts w:hint="eastAsia" w:ascii="宋体" w:hAnsi="宋体"/>
                      <w:b/>
                      <w:bCs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包装袋</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个/a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lang w:val="en-US" w:eastAsia="zh-CN"/>
                    </w:rPr>
                    <w:t>1</w:t>
                  </w:r>
                  <w:r>
                    <w:rPr>
                      <w:rFonts w:ascii="宋体" w:hAnsi="宋体"/>
                      <w:bCs/>
                      <w:sz w:val="21"/>
                      <w:szCs w:val="21"/>
                    </w:rPr>
                    <w:t>0000</w:t>
                  </w:r>
                </w:p>
              </w:tc>
              <w:tc>
                <w:tcPr>
                  <w:tcW w:w="1583" w:type="pct"/>
                  <w:vMerge w:val="restart"/>
                  <w:tcBorders>
                    <w:top w:val="single" w:color="auto" w:sz="4" w:space="0"/>
                    <w:left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均为外购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P</w:t>
                  </w:r>
                  <w:r>
                    <w:rPr>
                      <w:rFonts w:ascii="宋体" w:hAnsi="宋体"/>
                      <w:bCs/>
                      <w:sz w:val="21"/>
                      <w:szCs w:val="21"/>
                    </w:rPr>
                    <w:t>VC</w:t>
                  </w:r>
                  <w:r>
                    <w:rPr>
                      <w:rFonts w:hint="eastAsia" w:ascii="宋体" w:hAnsi="宋体"/>
                      <w:bCs/>
                      <w:sz w:val="21"/>
                      <w:szCs w:val="21"/>
                    </w:rPr>
                    <w:t>桶</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5</w:t>
                  </w:r>
                  <w:r>
                    <w:rPr>
                      <w:rFonts w:ascii="宋体" w:hAnsi="宋体"/>
                      <w:bCs/>
                      <w:sz w:val="21"/>
                      <w:szCs w:val="21"/>
                    </w:rPr>
                    <w:t>0</w:t>
                  </w:r>
                  <w:r>
                    <w:rPr>
                      <w:rFonts w:hint="eastAsia" w:ascii="宋体" w:hAnsi="宋体"/>
                      <w:bCs/>
                      <w:sz w:val="21"/>
                      <w:szCs w:val="21"/>
                    </w:rPr>
                    <w:t>kg</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个/</w:t>
                  </w:r>
                  <w:r>
                    <w:rPr>
                      <w:rFonts w:ascii="宋体" w:hAnsi="宋体"/>
                      <w:bCs/>
                      <w:sz w:val="21"/>
                      <w:szCs w:val="21"/>
                    </w:rPr>
                    <w:t>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lang w:val="en-US" w:eastAsia="zh-CN"/>
                    </w:rPr>
                    <w:t>1</w:t>
                  </w:r>
                  <w:r>
                    <w:rPr>
                      <w:rFonts w:ascii="宋体" w:hAnsi="宋体"/>
                      <w:bCs/>
                      <w:sz w:val="21"/>
                      <w:szCs w:val="21"/>
                    </w:rPr>
                    <w:t>0000</w:t>
                  </w:r>
                </w:p>
              </w:tc>
              <w:tc>
                <w:tcPr>
                  <w:tcW w:w="1583" w:type="pct"/>
                  <w:vMerge w:val="continue"/>
                  <w:tcBorders>
                    <w:left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油桶</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5</w:t>
                  </w:r>
                  <w:r>
                    <w:rPr>
                      <w:rFonts w:ascii="宋体" w:hAnsi="宋体"/>
                      <w:bCs/>
                      <w:sz w:val="21"/>
                      <w:szCs w:val="21"/>
                    </w:rPr>
                    <w:t>0</w:t>
                  </w:r>
                  <w:r>
                    <w:rPr>
                      <w:rFonts w:hint="eastAsia" w:ascii="宋体" w:hAnsi="宋体"/>
                      <w:bCs/>
                      <w:sz w:val="21"/>
                      <w:szCs w:val="21"/>
                    </w:rPr>
                    <w:t>kg</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个/a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lang w:val="en-US" w:eastAsia="zh-CN"/>
                    </w:rPr>
                    <w:t>2</w:t>
                  </w:r>
                  <w:r>
                    <w:rPr>
                      <w:rFonts w:ascii="宋体" w:hAnsi="宋体"/>
                      <w:bCs/>
                      <w:sz w:val="21"/>
                      <w:szCs w:val="21"/>
                    </w:rPr>
                    <w:t>0000</w:t>
                  </w:r>
                </w:p>
              </w:tc>
              <w:tc>
                <w:tcPr>
                  <w:tcW w:w="1583" w:type="pct"/>
                  <w:vMerge w:val="continue"/>
                  <w:tcBorders>
                    <w:left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包装箱</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个/</w:t>
                  </w:r>
                  <w:r>
                    <w:rPr>
                      <w:rFonts w:ascii="宋体" w:hAnsi="宋体"/>
                      <w:bCs/>
                      <w:sz w:val="21"/>
                      <w:szCs w:val="21"/>
                    </w:rPr>
                    <w:t>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lang w:val="en-US" w:eastAsia="zh-CN"/>
                    </w:rPr>
                    <w:t>8</w:t>
                  </w:r>
                  <w:r>
                    <w:rPr>
                      <w:rFonts w:ascii="宋体" w:hAnsi="宋体"/>
                      <w:bCs/>
                      <w:sz w:val="21"/>
                      <w:szCs w:val="21"/>
                    </w:rPr>
                    <w:t>000</w:t>
                  </w:r>
                </w:p>
              </w:tc>
              <w:tc>
                <w:tcPr>
                  <w:tcW w:w="1583" w:type="pct"/>
                  <w:vMerge w:val="continue"/>
                  <w:tcBorders>
                    <w:left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水</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bCs/>
                      <w:sz w:val="21"/>
                      <w:szCs w:val="21"/>
                    </w:rPr>
                    <w:t>m</w:t>
                  </w:r>
                  <w:r>
                    <w:rPr>
                      <w:bCs/>
                      <w:sz w:val="21"/>
                      <w:szCs w:val="21"/>
                      <w:vertAlign w:val="superscript"/>
                    </w:rPr>
                    <w:t>3</w:t>
                  </w:r>
                  <w:r>
                    <w:rPr>
                      <w:bCs/>
                      <w:sz w:val="21"/>
                      <w:szCs w:val="21"/>
                    </w:rPr>
                    <w:t>/a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宋体" w:hAnsi="宋体" w:eastAsia="宋体"/>
                      <w:bCs/>
                      <w:sz w:val="21"/>
                      <w:szCs w:val="21"/>
                      <w:lang w:val="en-US" w:eastAsia="zh-CN"/>
                    </w:rPr>
                  </w:pPr>
                  <w:r>
                    <w:rPr>
                      <w:rFonts w:hint="eastAsia" w:ascii="宋体" w:hAnsi="宋体"/>
                      <w:bCs/>
                      <w:sz w:val="21"/>
                      <w:szCs w:val="21"/>
                      <w:lang w:val="en-US" w:eastAsia="zh-CN"/>
                    </w:rPr>
                    <w:t>120</w:t>
                  </w:r>
                </w:p>
              </w:tc>
              <w:tc>
                <w:tcPr>
                  <w:tcW w:w="1583" w:type="pct"/>
                  <w:tcBorders>
                    <w:left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电</w:t>
                  </w:r>
                </w:p>
              </w:tc>
              <w:tc>
                <w:tcPr>
                  <w:tcW w:w="1057"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w:t>
                  </w:r>
                </w:p>
              </w:tc>
              <w:tc>
                <w:tcPr>
                  <w:tcW w:w="913"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r>
                    <w:rPr>
                      <w:rFonts w:hint="eastAsia" w:ascii="宋体" w:hAnsi="宋体"/>
                      <w:bCs/>
                      <w:sz w:val="21"/>
                      <w:szCs w:val="21"/>
                    </w:rPr>
                    <w:t>万</w:t>
                  </w:r>
                  <w:r>
                    <w:rPr>
                      <w:rFonts w:hint="eastAsia"/>
                      <w:bCs/>
                      <w:sz w:val="21"/>
                      <w:szCs w:val="21"/>
                    </w:rPr>
                    <w:t>kw</w:t>
                  </w:r>
                  <w:r>
                    <w:rPr>
                      <w:bCs/>
                      <w:sz w:val="21"/>
                      <w:szCs w:val="21"/>
                    </w:rPr>
                    <w:t>h/a</w:t>
                  </w:r>
                </w:p>
              </w:tc>
              <w:tc>
                <w:tcPr>
                  <w:tcW w:w="674" w:type="pct"/>
                  <w:tcBorders>
                    <w:top w:val="single" w:color="auto" w:sz="4" w:space="0"/>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bCs/>
                      <w:sz w:val="21"/>
                      <w:szCs w:val="21"/>
                      <w:lang w:eastAsia="zh-CN"/>
                    </w:rPr>
                  </w:pPr>
                  <w:r>
                    <w:rPr>
                      <w:rFonts w:hint="eastAsia" w:ascii="宋体" w:hAnsi="宋体"/>
                      <w:bCs/>
                      <w:sz w:val="21"/>
                      <w:szCs w:val="21"/>
                    </w:rPr>
                    <w:t>1</w:t>
                  </w:r>
                  <w:r>
                    <w:rPr>
                      <w:rFonts w:hint="eastAsia" w:ascii="宋体" w:hAnsi="宋体"/>
                      <w:bCs/>
                      <w:sz w:val="21"/>
                      <w:szCs w:val="21"/>
                      <w:lang w:val="en-US" w:eastAsia="zh-CN"/>
                    </w:rPr>
                    <w:t>5</w:t>
                  </w:r>
                </w:p>
              </w:tc>
              <w:tc>
                <w:tcPr>
                  <w:tcW w:w="1583" w:type="pct"/>
                  <w:tcBorders>
                    <w:left w:val="single" w:color="auto" w:sz="4" w:space="0"/>
                    <w:bottom w:val="single" w:color="auto" w:sz="4" w:space="0"/>
                    <w:right w:val="single" w:color="auto" w:sz="4" w:space="0"/>
                  </w:tcBorders>
                  <w:vAlign w:val="center"/>
                </w:tcPr>
                <w:p>
                  <w:pPr>
                    <w:pStyle w:val="58"/>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ascii="宋体" w:hAnsi="宋体"/>
                      <w:bCs/>
                      <w:sz w:val="21"/>
                      <w:szCs w:val="21"/>
                    </w:rPr>
                  </w:pP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b/>
                <w:kern w:val="0"/>
                <w:sz w:val="24"/>
              </w:rPr>
              <w:t>6</w:t>
            </w:r>
            <w:r>
              <w:rPr>
                <w:rFonts w:hint="eastAsia"/>
                <w:b/>
                <w:kern w:val="0"/>
                <w:sz w:val="24"/>
              </w:rPr>
              <w:t>、危废的收运</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（1）收集范围</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本项目危险废物的收集范围主要为</w:t>
            </w:r>
            <w:r>
              <w:rPr>
                <w:rFonts w:hint="eastAsia"/>
                <w:bCs/>
                <w:kern w:val="0"/>
                <w:lang w:val="en-US" w:eastAsia="zh-CN"/>
              </w:rPr>
              <w:t>归阳工业园</w:t>
            </w:r>
            <w:r>
              <w:rPr>
                <w:rFonts w:hint="eastAsia"/>
                <w:bCs/>
                <w:kern w:val="0"/>
              </w:rPr>
              <w:t>园区及</w:t>
            </w:r>
            <w:r>
              <w:rPr>
                <w:rFonts w:hint="eastAsia"/>
                <w:bCs/>
                <w:kern w:val="0"/>
                <w:lang w:val="en-US" w:eastAsia="zh-CN"/>
              </w:rPr>
              <w:t>祁东县</w:t>
            </w:r>
            <w:r>
              <w:rPr>
                <w:rFonts w:hint="eastAsia"/>
                <w:bCs/>
                <w:kern w:val="0"/>
              </w:rPr>
              <w:t>范围内</w:t>
            </w:r>
            <w:r>
              <w:rPr>
                <w:rFonts w:hint="eastAsia"/>
                <w:bCs/>
                <w:kern w:val="0"/>
                <w:lang w:val="en-US" w:eastAsia="zh-CN"/>
              </w:rPr>
              <w:t>产生废油和废旧电池</w:t>
            </w:r>
            <w:r>
              <w:rPr>
                <w:rFonts w:hint="eastAsia"/>
                <w:bCs/>
                <w:kern w:val="0"/>
              </w:rPr>
              <w:t>的企业。</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（2）危废收运的总体要求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建设单位委托有资质单位承担危险废物的收运工作，危废的收集须按照《危险废物收集贮存运输技术规范》（</w:t>
            </w:r>
            <w:r>
              <w:rPr>
                <w:bCs/>
                <w:kern w:val="0"/>
              </w:rPr>
              <w:t>HJ 2025-2012</w:t>
            </w:r>
            <w:r>
              <w:rPr>
                <w:rFonts w:hint="eastAsia"/>
                <w:bCs/>
                <w:kern w:val="0"/>
              </w:rPr>
              <w:t>）执行，具体如下：</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1</w:t>
            </w:r>
            <w:r>
              <w:rPr>
                <w:rFonts w:hint="eastAsia"/>
                <w:bCs/>
                <w:kern w:val="0"/>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2</w:t>
            </w:r>
            <w:r>
              <w:rPr>
                <w:rFonts w:hint="eastAsia"/>
                <w:bCs/>
                <w:kern w:val="0"/>
              </w:rPr>
              <w:t>）危险废物转移过程应按</w:t>
            </w:r>
            <w:r>
              <w:rPr>
                <w:rFonts w:hint="eastAsia"/>
                <w:bCs/>
                <w:kern w:val="0"/>
                <w:highlight w:val="none"/>
              </w:rPr>
              <w:t>《危险废物转移管理办法》</w:t>
            </w:r>
            <w:r>
              <w:rPr>
                <w:rFonts w:hint="eastAsia"/>
                <w:bCs/>
                <w:kern w:val="0"/>
              </w:rPr>
              <w:t>执行。</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3</w:t>
            </w:r>
            <w:r>
              <w:rPr>
                <w:rFonts w:hint="eastAsia"/>
                <w:bCs/>
                <w:kern w:val="0"/>
              </w:rPr>
              <w:t>）危险废物收集、运输单位应建立规范的管理和技术人员培训制度，定期针对管理和技术人员进行培训。培训内容至少应包括</w:t>
            </w:r>
            <w:r>
              <w:rPr>
                <w:rFonts w:hint="eastAsia"/>
                <w:bCs/>
                <w:kern w:val="0"/>
                <w:highlight w:val="none"/>
                <w:u w:val="none"/>
              </w:rPr>
              <w:t>危险废物鉴别要求、危险废物经营许可证管理、危险废物转移联单管理、危险废物包装和标识、危险废物运输要求、危险废物事故应急方法</w:t>
            </w:r>
            <w:r>
              <w:rPr>
                <w:rFonts w:hint="eastAsia"/>
                <w:bCs/>
                <w:kern w:val="0"/>
              </w:rPr>
              <w:t>等。</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4</w:t>
            </w:r>
            <w:r>
              <w:rPr>
                <w:rFonts w:hint="eastAsia"/>
                <w:bCs/>
                <w:kern w:val="0"/>
              </w:rPr>
              <w:t>）危险废物收集、贮存、运输过程中一旦发生意外事故，收集、贮存、运输单位及相关部门应根据风险程度采取如下措施：</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①设立事故警戒线，启动应急预案，并按要求进行报告。</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②若造成事故的危险废物具有剧毒性、易燃性、爆炸性或高传染性，应立即疏散人群，并请求环境保护、消防、医疗、公安等相关部门支援。</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③对事故现场受到污染的土壤和水体等环境介质应进行相应的清理和修复。</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④清理过程中产生的所有废物均应按危险废物进行管理和处置。</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⑤进入现场清理和包装危险废物的人员应受过专业培训，穿着防护服，并佩戴相应的防护用具。</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5</w:t>
            </w:r>
            <w:r>
              <w:rPr>
                <w:rFonts w:hint="eastAsia"/>
                <w:bCs/>
                <w:kern w:val="0"/>
              </w:rPr>
              <w:t>）危险废物收集、运输时应按腐蚀性、毒性、易燃性、反应性和感染性等危险特性对危险废物进行分类、包装并设置相应的标志及标签。危险废物特性应根据其产生源特性及</w:t>
            </w:r>
            <w:r>
              <w:rPr>
                <w:bCs/>
                <w:kern w:val="0"/>
              </w:rPr>
              <w:t>GB5085.1~7</w:t>
            </w:r>
            <w:r>
              <w:rPr>
                <w:rFonts w:hint="eastAsia"/>
                <w:bCs/>
                <w:kern w:val="0"/>
              </w:rPr>
              <w:t>、</w:t>
            </w:r>
            <w:r>
              <w:rPr>
                <w:bCs/>
                <w:kern w:val="0"/>
              </w:rPr>
              <w:t>HJ/T298</w:t>
            </w:r>
            <w:r>
              <w:rPr>
                <w:rFonts w:hint="eastAsia"/>
                <w:bCs/>
                <w:kern w:val="0"/>
              </w:rPr>
              <w:t>进行鉴别。</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（3）危废的收集</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危险废物收集过程中应做好以下工作。</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1</w:t>
            </w:r>
            <w:r>
              <w:rPr>
                <w:rFonts w:hint="eastAsia"/>
                <w:bCs/>
                <w:kern w:val="0"/>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2</w:t>
            </w:r>
            <w:r>
              <w:rPr>
                <w:rFonts w:hint="eastAsia"/>
                <w:bCs/>
                <w:kern w:val="0"/>
              </w:rPr>
              <w:t>）危险废物的收集应制定详细的操作规程，内容至少应包括适用范围、操作程序和方法、专用设备和工具、转移和交接、安全保障和应急防护等。</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3</w:t>
            </w:r>
            <w:r>
              <w:rPr>
                <w:rFonts w:hint="eastAsia"/>
                <w:bCs/>
                <w:kern w:val="0"/>
              </w:rPr>
              <w:t>）危险废物收集和转运作业人员应根据工作需要配备必要的个人防护装备，如手套、防护镜、防护服、防毒面具或口罩等。</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4</w:t>
            </w:r>
            <w:r>
              <w:rPr>
                <w:rFonts w:hint="eastAsia"/>
                <w:bCs/>
                <w:kern w:val="0"/>
              </w:rPr>
              <w:t>）在危险废物的收集和转运过程中，应采取相应的安全防护和污染防治措施，包括防爆、防火、防中毒、防感染、防泄漏、防飞扬、防雨或其它防止污染环境的措施。</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5</w:t>
            </w:r>
            <w:r>
              <w:rPr>
                <w:rFonts w:hint="eastAsia"/>
                <w:bCs/>
                <w:kern w:val="0"/>
              </w:rPr>
              <w:t>）危险废物收集时应根据危险废物的种类、数量、危险特性、物理形态、运输要求等因素确定包装形式，具体包装应符合如下要求：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①包装材质要与危险废物相容，可根据废物特性选择钢、铝、塑料等材质。</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②性质类似的废物可收集到同一容器中，性质不相容的危险废物不应混合包装。</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③危险废物包装应能有效隔断危险废物迁移扩散途径，并达到防渗、防漏要求。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④包装好的危险废物应设置相应的标签，标签信息应填写完整翔实。</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⑤盛装过危险废物的包装袋或包装容器破损后应按危险废物进行管理和处置。</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⑥危险废物还应根据</w:t>
            </w:r>
            <w:r>
              <w:rPr>
                <w:bCs/>
                <w:kern w:val="0"/>
              </w:rPr>
              <w:t>GB12463</w:t>
            </w:r>
            <w:r>
              <w:rPr>
                <w:rFonts w:hint="eastAsia"/>
                <w:bCs/>
                <w:kern w:val="0"/>
              </w:rPr>
              <w:t>的有关要求进行运输包装。</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6</w:t>
            </w:r>
            <w:r>
              <w:rPr>
                <w:rFonts w:hint="eastAsia"/>
                <w:bCs/>
                <w:kern w:val="0"/>
              </w:rPr>
              <w:t>）危险废物的收集作业应满足如下要求：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①应根据收集设备、转运车辆以及现场人员等实际情况确定相应作业区域，同时要设置作业界限标志和警示牌。</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②作业区域内应设置危险废物收集专用通道和人员避险通道。</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③收集时应配备必要的收集工具和包装物，以及必要的应急监测设备及应急装备。</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④危险废物收集应按规范填写记录表，并将记录表作为危险废物管理的重要档案妥善保存。</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⑤收集结束后应清理和恢复收集作业区域，确保作业区域环境整洁安全。</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⑥收集过危险废物的容器、设备、设施、场所及其它物品转作它用时，应消除污染，确保其使用安全。</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w:t>
            </w:r>
            <w:r>
              <w:rPr>
                <w:bCs/>
                <w:kern w:val="0"/>
              </w:rPr>
              <w:t>4</w:t>
            </w:r>
            <w:r>
              <w:rPr>
                <w:rFonts w:hint="eastAsia"/>
                <w:bCs/>
                <w:kern w:val="0"/>
              </w:rPr>
              <w:t>）危废的运输</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1</w:t>
            </w:r>
            <w:r>
              <w:rPr>
                <w:rFonts w:hint="eastAsia"/>
                <w:bCs/>
                <w:kern w:val="0"/>
              </w:rPr>
              <w:t>）运输管理要求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①项目应配备专用货运车，车辆配置</w:t>
            </w:r>
            <w:r>
              <w:rPr>
                <w:bCs/>
                <w:kern w:val="0"/>
              </w:rPr>
              <w:t>GPS</w:t>
            </w:r>
            <w:r>
              <w:rPr>
                <w:rFonts w:hint="eastAsia"/>
                <w:bCs/>
                <w:kern w:val="0"/>
              </w:rPr>
              <w:t>定位系统。</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②危险废物公路运输应按照《道路危险货物运输管理规定》（交通部令</w:t>
            </w:r>
            <w:r>
              <w:rPr>
                <w:bCs/>
                <w:kern w:val="0"/>
              </w:rPr>
              <w:t>[2005]</w:t>
            </w:r>
            <w:r>
              <w:rPr>
                <w:rFonts w:hint="eastAsia"/>
                <w:bCs/>
                <w:kern w:val="0"/>
              </w:rPr>
              <w:t>第</w:t>
            </w:r>
            <w:r>
              <w:rPr>
                <w:bCs/>
                <w:kern w:val="0"/>
              </w:rPr>
              <w:t>9</w:t>
            </w:r>
            <w:r>
              <w:rPr>
                <w:rFonts w:hint="eastAsia"/>
                <w:bCs/>
                <w:kern w:val="0"/>
              </w:rPr>
              <w:t>号）、</w:t>
            </w:r>
            <w:r>
              <w:rPr>
                <w:bCs/>
                <w:kern w:val="0"/>
              </w:rPr>
              <w:t>JT617</w:t>
            </w:r>
            <w:r>
              <w:rPr>
                <w:rFonts w:hint="eastAsia"/>
                <w:bCs/>
                <w:kern w:val="0"/>
              </w:rPr>
              <w:t>以及</w:t>
            </w:r>
            <w:r>
              <w:rPr>
                <w:bCs/>
                <w:kern w:val="0"/>
              </w:rPr>
              <w:t>JT618</w:t>
            </w:r>
            <w:r>
              <w:rPr>
                <w:rFonts w:hint="eastAsia"/>
                <w:bCs/>
                <w:kern w:val="0"/>
              </w:rPr>
              <w:t>执行。</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③废弃危险化学品的运输应执行《危险化学品安全管理条例》有关运输的规定。</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④运输单位承运危险废物时，应在危险废物包装上按照</w:t>
            </w:r>
            <w:r>
              <w:rPr>
                <w:bCs/>
                <w:kern w:val="0"/>
              </w:rPr>
              <w:t>GB18597</w:t>
            </w:r>
            <w:r>
              <w:rPr>
                <w:rFonts w:hint="eastAsia"/>
                <w:bCs/>
                <w:kern w:val="0"/>
              </w:rPr>
              <w:t>附录</w:t>
            </w:r>
            <w:r>
              <w:rPr>
                <w:bCs/>
                <w:kern w:val="0"/>
              </w:rPr>
              <w:t>A</w:t>
            </w:r>
            <w:r>
              <w:rPr>
                <w:rFonts w:hint="eastAsia"/>
                <w:bCs/>
                <w:kern w:val="0"/>
              </w:rPr>
              <w:t>设置标志。</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⑤危险废物公路运输时，运输车辆应按</w:t>
            </w:r>
            <w:r>
              <w:rPr>
                <w:bCs/>
                <w:kern w:val="0"/>
              </w:rPr>
              <w:t>GB13392</w:t>
            </w:r>
            <w:r>
              <w:rPr>
                <w:rFonts w:hint="eastAsia"/>
                <w:bCs/>
                <w:kern w:val="0"/>
              </w:rPr>
              <w:t>设置车辆标志。</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⑥危险废物运输时的中转、装卸过程应遵守如下技术要求：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a</w:t>
            </w:r>
            <w:r>
              <w:rPr>
                <w:bCs/>
                <w:kern w:val="0"/>
              </w:rPr>
              <w:t>.</w:t>
            </w:r>
            <w:r>
              <w:rPr>
                <w:rFonts w:hint="eastAsia"/>
                <w:bCs/>
                <w:kern w:val="0"/>
              </w:rPr>
              <w:t>卸载区的工作人员应熟悉废物的危险特性，并配备适当的个人防护装备。</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b</w:t>
            </w:r>
            <w:r>
              <w:rPr>
                <w:bCs/>
                <w:kern w:val="0"/>
              </w:rPr>
              <w:t>.</w:t>
            </w:r>
            <w:r>
              <w:rPr>
                <w:rFonts w:hint="eastAsia"/>
                <w:bCs/>
                <w:kern w:val="0"/>
              </w:rPr>
              <w:t>卸载区应配备必要的消防设备和设施，并设置明显的指示标志。</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bCs/>
                <w:kern w:val="0"/>
              </w:rPr>
              <w:t>c.</w:t>
            </w:r>
            <w:r>
              <w:rPr>
                <w:rFonts w:hint="eastAsia"/>
                <w:bCs/>
                <w:kern w:val="0"/>
              </w:rPr>
              <w:t>危险废物装卸区应设置隔离设施，液态废物卸载区应设置收集槽和缓冲罐。</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2）运输方案</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①危险废物运输采取公路运输的方式。选用专用运输车，按时到各产生点收集、选用路线短、对沿路影响小的运输路线，避免在装卸、运途中产生二次污染。</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②本项目根据不同的废物性质采取不同的收集方式和运输方式。</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a</w:t>
            </w:r>
            <w:r>
              <w:rPr>
                <w:bCs/>
                <w:kern w:val="0"/>
              </w:rPr>
              <w:t>.</w:t>
            </w:r>
            <w:r>
              <w:rPr>
                <w:rFonts w:hint="eastAsia"/>
                <w:bCs/>
                <w:kern w:val="0"/>
              </w:rPr>
              <w:t>相互之间发生化学反应的危险废物不得混装、混运。</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b</w:t>
            </w:r>
            <w:r>
              <w:rPr>
                <w:bCs/>
                <w:kern w:val="0"/>
              </w:rPr>
              <w:t>.</w:t>
            </w:r>
            <w:r>
              <w:rPr>
                <w:rFonts w:hint="eastAsia"/>
                <w:bCs/>
                <w:kern w:val="0"/>
              </w:rPr>
              <w:t>若发生交叉污染造成危险废物处置成本大幅上涨的危险废物不得混装、混运。</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③运输车辆及收运容器</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根据《危险废物贮存污染控制标准》，所有危险废物产生者应建造专门的贮存设施，并按不同性质的危险废物进行分类、预处理、贮存。参照有关技术规范，本工程采用专门定做的专用容器进行危险废物收集。专用容器及其标志应满足《危险废物贮存污染控制标准》（</w:t>
            </w:r>
            <w:r>
              <w:rPr>
                <w:bCs/>
                <w:kern w:val="0"/>
              </w:rPr>
              <w:t>GB18597-2001</w:t>
            </w:r>
            <w:r>
              <w:rPr>
                <w:rFonts w:hint="eastAsia"/>
                <w:bCs/>
                <w:kern w:val="0"/>
              </w:rPr>
              <w:t>）的要求。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根据危险废物的性质和形态，可采用不同大小和不同材质的容器进行盛装。盛装危险废物的容器可以是钢桶、钢罐或塑料制品。</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应根据危险废物与收集容器材质的相容性，以及不同危险废物间的化学相容性，对危险废物进行分类收集。危险废物的具体收集要求及相容性应满足《危险废物贮存污染控制标准》（</w:t>
            </w:r>
            <w:r>
              <w:rPr>
                <w:bCs/>
                <w:kern w:val="0"/>
              </w:rPr>
              <w:t>GB18597-2001</w:t>
            </w:r>
            <w:r>
              <w:rPr>
                <w:rFonts w:hint="eastAsia"/>
                <w:bCs/>
                <w:kern w:val="0"/>
              </w:rPr>
              <w:t>）的要求。在危险废物收集、密封和移动等过程中，一定要小心操作，避免包装物损坏或割伤身体。</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装满危险废物待运走的容器或贮罐都应清楚地标明内盛物的类别、危害、数量和装入日期。危险废物的盛装应足够安全，并经过周密检查，严防在转载、搬移或运输过程中出现渗漏、溢出、抛洒或挥发等情况。</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具体收集程序：收集容器由企业自备。企业根据危险废物的不同性质，分类装入不同的容器，并按要求标示出危险废物的类别、危害、数量和装入日期等。</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3）收运路线</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危险废物根据其性质和数量定期收集，兼顾应急收集。转运路线确定的总体原则为：转运车辆运输途中应避开经过医院、学校和居民区等人口密集区，避开饮用水水源保护区、自然保护区等敏感区域。装卸前，操作人员负责核实包装桶的大小盖子已拧紧、包装袋已系紧密封，以防运输时泄露。</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4）运输车辆要求</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危险废物的转运属于特殊行业，需组建专业运输车队，按照国家和当地有关工业固体废物转运的规定进行运输，本项目运输委托第三方有资质单位运输。车厢内设置固定装置，以保证非满载车辆紧急启动、停车或事故情况下，危险废物收集容器不会翻转。</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为了保证废物转运过程的有效控制及特殊情况下的应急处置，每辆运输车均配备一台专用手机及</w:t>
            </w:r>
            <w:r>
              <w:rPr>
                <w:bCs/>
                <w:kern w:val="0"/>
              </w:rPr>
              <w:t>GPS</w:t>
            </w:r>
            <w:r>
              <w:rPr>
                <w:rFonts w:hint="eastAsia"/>
                <w:bCs/>
                <w:kern w:val="0"/>
              </w:rPr>
              <w:t>全球定位系统。</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废物转运人员需严格按照收集人员的同等要求穿戴相应的防护衣具。转运车需要维护和检修前，必须经过严格的清洗工序。转运车停用时，必须将车厢内外进行彻底清洗、晾干、锁上车门和驾驶室，停放在通风、防潮、防暴晒、无腐蚀性气体侵害的专用停车场所，停用期间不得用于其他目的的运输。</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各车辆均配备</w:t>
            </w:r>
            <w:r>
              <w:rPr>
                <w:bCs/>
                <w:kern w:val="0"/>
              </w:rPr>
              <w:t>GPS</w:t>
            </w:r>
            <w:r>
              <w:rPr>
                <w:rFonts w:hint="eastAsia"/>
                <w:bCs/>
                <w:kern w:val="0"/>
              </w:rPr>
              <w:t>全球定位系统，配备</w:t>
            </w:r>
            <w:r>
              <w:rPr>
                <w:bCs/>
                <w:kern w:val="0"/>
              </w:rPr>
              <w:t>2</w:t>
            </w:r>
            <w:r>
              <w:rPr>
                <w:rFonts w:hint="eastAsia"/>
                <w:bCs/>
                <w:kern w:val="0"/>
              </w:rPr>
              <w:t>台放射性废物检测仪。运输车辆上应配备应对突发事故（如泄漏、车辆倾覆）的应急工具和器材，如容器、铁锹、编织袋、活性炭等。</w:t>
            </w:r>
            <w:r>
              <w:rPr>
                <w:rFonts w:hint="eastAsia"/>
                <w:bCs/>
                <w:kern w:val="0"/>
                <w:highlight w:val="none"/>
              </w:rPr>
              <w:t>收运系统配相应停车棚或停车场，并配有车辆清洗设施</w:t>
            </w:r>
            <w:r>
              <w:rPr>
                <w:rFonts w:hint="eastAsia"/>
                <w:bCs/>
                <w:kern w:val="0"/>
              </w:rPr>
              <w:t>，危废运输避开交通高峰时段。</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（5）车间内分拣专用方式</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卸货：各种危险废物经过专用车辆运送到本项目，在车间出入口处装卸，工作人员对进库储存的危废进行检查核对，并过磅记录，接收人员根据</w:t>
            </w:r>
            <w:r>
              <w:rPr>
                <w:rFonts w:hint="eastAsia"/>
                <w:bCs/>
                <w:kern w:val="0"/>
                <w:lang w:eastAsia="zh-CN"/>
              </w:rPr>
              <w:t>“</w:t>
            </w:r>
            <w:r>
              <w:rPr>
                <w:rFonts w:hint="eastAsia"/>
                <w:bCs/>
                <w:kern w:val="0"/>
              </w:rPr>
              <w:t>转移联单</w:t>
            </w:r>
            <w:r>
              <w:rPr>
                <w:rFonts w:hint="eastAsia"/>
                <w:bCs/>
                <w:kern w:val="0"/>
                <w:lang w:eastAsia="zh-CN"/>
              </w:rPr>
              <w:t>”</w:t>
            </w:r>
            <w:r>
              <w:rPr>
                <w:rFonts w:hint="eastAsia"/>
                <w:bCs/>
                <w:kern w:val="0"/>
              </w:rPr>
              <w:t>制度进行接收登记，叉车将危废卸入到相应的分拣区，再人工分拣后叠放至对应区域堆放。卸载过程不改变其原有包装。</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装货：叉车将贮存区内的危废装载到运输车内，然后运输至下游危废处置单位处置。</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（6）贮存方式及能力符合性分析</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highlight w:val="none"/>
              </w:rPr>
            </w:pPr>
            <w:r>
              <w:rPr>
                <w:rFonts w:hint="eastAsia"/>
                <w:bCs/>
                <w:kern w:val="0"/>
              </w:rPr>
              <w:t>本项目贮存危险废物时按危险废物的种类和特性进行分区贮存，车间设置防雨、防火、防雷、防扬尘装置，配置有机气体报警、火灾报警装置和导出静电的接地装置。本项目平均转运周期为</w:t>
            </w:r>
            <w:r>
              <w:rPr>
                <w:rFonts w:hint="eastAsia"/>
                <w:bCs/>
                <w:kern w:val="0"/>
                <w:highlight w:val="none"/>
                <w:lang w:val="en-US" w:eastAsia="zh-CN"/>
              </w:rPr>
              <w:t>31.8</w:t>
            </w:r>
            <w:r>
              <w:rPr>
                <w:rFonts w:hint="eastAsia"/>
                <w:bCs/>
                <w:kern w:val="0"/>
              </w:rPr>
              <w:t>天。</w:t>
            </w:r>
            <w:r>
              <w:rPr>
                <w:rFonts w:hint="eastAsia"/>
                <w:bCs/>
                <w:kern w:val="0"/>
                <w:highlight w:val="none"/>
              </w:rPr>
              <w:t>危险废物贮存方式、贮存能力以及最长贮存时间应满足《危险废物收集贮存运输技术规范》（</w:t>
            </w:r>
            <w:r>
              <w:rPr>
                <w:bCs/>
                <w:kern w:val="0"/>
                <w:highlight w:val="none"/>
              </w:rPr>
              <w:t>HJ2025-2012</w:t>
            </w:r>
            <w:r>
              <w:rPr>
                <w:rFonts w:hint="eastAsia"/>
                <w:bCs/>
                <w:kern w:val="0"/>
                <w:highlight w:val="none"/>
              </w:rPr>
              <w:t>）的要求。</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rFonts w:hint="eastAsia"/>
                <w:b/>
                <w:kern w:val="0"/>
                <w:sz w:val="24"/>
              </w:rPr>
              <w:t>7、总平面布置</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highlight w:val="green"/>
              </w:rPr>
            </w:pPr>
            <w:r>
              <w:rPr>
                <w:rFonts w:hint="eastAsia"/>
                <w:bCs/>
                <w:kern w:val="0"/>
                <w:highlight w:val="none"/>
              </w:rPr>
              <w:t>本项目</w:t>
            </w:r>
            <w:r>
              <w:rPr>
                <w:rFonts w:hint="eastAsia"/>
                <w:bCs/>
                <w:kern w:val="0"/>
                <w:highlight w:val="none"/>
                <w:lang w:val="en-US" w:eastAsia="zh-CN"/>
              </w:rPr>
              <w:t>厂房</w:t>
            </w:r>
            <w:r>
              <w:rPr>
                <w:rFonts w:hint="eastAsia"/>
                <w:bCs/>
                <w:kern w:val="0"/>
                <w:highlight w:val="none"/>
              </w:rPr>
              <w:t>内设危险废物暂存区、办公室</w:t>
            </w:r>
            <w:r>
              <w:rPr>
                <w:rFonts w:hint="eastAsia"/>
                <w:bCs/>
                <w:kern w:val="0"/>
                <w:highlight w:val="none"/>
                <w:lang w:val="en-US" w:eastAsia="zh-CN"/>
              </w:rPr>
              <w:t>及</w:t>
            </w:r>
            <w:r>
              <w:rPr>
                <w:rFonts w:hint="eastAsia"/>
                <w:bCs/>
                <w:kern w:val="0"/>
                <w:highlight w:val="none"/>
              </w:rPr>
              <w:t>应急物资</w:t>
            </w:r>
            <w:r>
              <w:rPr>
                <w:rFonts w:hint="eastAsia"/>
                <w:bCs/>
                <w:kern w:val="0"/>
                <w:highlight w:val="none"/>
                <w:lang w:val="en-US" w:eastAsia="zh-CN"/>
              </w:rPr>
              <w:t>暂存间</w:t>
            </w:r>
            <w:r>
              <w:rPr>
                <w:rFonts w:hint="eastAsia"/>
                <w:bCs/>
                <w:kern w:val="0"/>
                <w:highlight w:val="none"/>
              </w:rPr>
              <w:t>、装卸区及通道、</w:t>
            </w:r>
            <w:r>
              <w:rPr>
                <w:rFonts w:hint="eastAsia"/>
                <w:bCs/>
                <w:kern w:val="0"/>
                <w:highlight w:val="none"/>
                <w:lang w:val="en-US" w:eastAsia="zh-CN"/>
              </w:rPr>
              <w:t>消防水池、消防沙池、事故应急池、废气处理系统</w:t>
            </w:r>
            <w:r>
              <w:rPr>
                <w:rFonts w:hint="eastAsia"/>
                <w:bCs/>
                <w:kern w:val="0"/>
                <w:highlight w:val="none"/>
              </w:rPr>
              <w:t>等，具体平面布置详见附图2。</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b/>
                <w:kern w:val="0"/>
                <w:sz w:val="24"/>
              </w:rPr>
              <w:t>8</w:t>
            </w:r>
            <w:r>
              <w:rPr>
                <w:rFonts w:hint="eastAsia"/>
                <w:b/>
                <w:kern w:val="0"/>
                <w:sz w:val="24"/>
              </w:rPr>
              <w:t>、公用工程</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（1）给水</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项目区域已覆盖自来水，取用自来水，主要用于生活用水。</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本项目员工5人，均不在场内食宿，参照《湖南省用水定额标准》（DB43T388-2020）用水定额：用水量按45L/人·d计算，则生活用水量为0.</w:t>
            </w:r>
            <w:r>
              <w:rPr>
                <w:rFonts w:hint="eastAsia"/>
                <w:bCs/>
                <w:kern w:val="0"/>
                <w:lang w:val="en-US" w:eastAsia="zh-CN"/>
              </w:rPr>
              <w:t>22</w:t>
            </w:r>
            <w:r>
              <w:rPr>
                <w:bCs/>
                <w:kern w:val="0"/>
              </w:rPr>
              <w:t>5</w:t>
            </w:r>
            <w:r>
              <w:rPr>
                <w:rFonts w:hint="eastAsia"/>
                <w:bCs/>
                <w:kern w:val="0"/>
              </w:rPr>
              <w:t>m</w:t>
            </w:r>
            <w:r>
              <w:rPr>
                <w:rFonts w:hint="eastAsia"/>
                <w:bCs/>
                <w:kern w:val="0"/>
                <w:vertAlign w:val="superscript"/>
              </w:rPr>
              <w:t>3</w:t>
            </w:r>
            <w:r>
              <w:rPr>
                <w:rFonts w:hint="eastAsia"/>
                <w:bCs/>
                <w:kern w:val="0"/>
              </w:rPr>
              <w:t>/d（</w:t>
            </w:r>
            <w:r>
              <w:rPr>
                <w:rFonts w:hint="eastAsia"/>
                <w:bCs/>
                <w:kern w:val="0"/>
                <w:lang w:val="en-US" w:eastAsia="zh-CN"/>
              </w:rPr>
              <w:t>67</w:t>
            </w:r>
            <w:r>
              <w:rPr>
                <w:bCs/>
                <w:kern w:val="0"/>
              </w:rPr>
              <w:t>.5</w:t>
            </w:r>
            <w:r>
              <w:rPr>
                <w:rFonts w:hint="eastAsia"/>
                <w:bCs/>
                <w:kern w:val="0"/>
              </w:rPr>
              <w:t>m</w:t>
            </w:r>
            <w:r>
              <w:rPr>
                <w:rFonts w:hint="eastAsia"/>
                <w:bCs/>
                <w:kern w:val="0"/>
                <w:vertAlign w:val="superscript"/>
              </w:rPr>
              <w:t>3</w:t>
            </w:r>
            <w:r>
              <w:rPr>
                <w:rFonts w:hint="eastAsia"/>
                <w:bCs/>
                <w:kern w:val="0"/>
              </w:rPr>
              <w:t>/a）。</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（2）排水</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项目不</w:t>
            </w:r>
            <w:r>
              <w:rPr>
                <w:rFonts w:hint="eastAsia"/>
                <w:bCs/>
                <w:kern w:val="0"/>
                <w:lang w:val="en-US" w:eastAsia="zh-CN"/>
              </w:rPr>
              <w:t>产生</w:t>
            </w:r>
            <w:r>
              <w:rPr>
                <w:rFonts w:hint="eastAsia"/>
                <w:bCs/>
                <w:kern w:val="0"/>
              </w:rPr>
              <w:t>生产废水，生活污水产污系数按0.8计，则生活污水产生量为</w:t>
            </w:r>
            <w:r>
              <w:rPr>
                <w:bCs/>
                <w:kern w:val="0"/>
              </w:rPr>
              <w:t>0.</w:t>
            </w:r>
            <w:r>
              <w:rPr>
                <w:rFonts w:hint="eastAsia"/>
                <w:bCs/>
                <w:kern w:val="0"/>
                <w:lang w:val="en-US" w:eastAsia="zh-CN"/>
              </w:rPr>
              <w:t>18</w:t>
            </w:r>
            <w:r>
              <w:rPr>
                <w:rFonts w:hint="eastAsia"/>
                <w:bCs/>
                <w:kern w:val="0"/>
              </w:rPr>
              <w:t>m</w:t>
            </w:r>
            <w:r>
              <w:rPr>
                <w:rFonts w:hint="eastAsia"/>
                <w:bCs/>
                <w:kern w:val="0"/>
                <w:vertAlign w:val="superscript"/>
              </w:rPr>
              <w:t>3</w:t>
            </w:r>
            <w:r>
              <w:rPr>
                <w:rFonts w:hint="eastAsia"/>
                <w:bCs/>
                <w:kern w:val="0"/>
              </w:rPr>
              <w:t>/d（</w:t>
            </w:r>
            <w:r>
              <w:rPr>
                <w:rFonts w:hint="eastAsia"/>
                <w:bCs/>
                <w:kern w:val="0"/>
                <w:lang w:val="en-US" w:eastAsia="zh-CN"/>
              </w:rPr>
              <w:t>54</w:t>
            </w:r>
            <w:r>
              <w:rPr>
                <w:rFonts w:hint="eastAsia"/>
                <w:bCs/>
                <w:kern w:val="0"/>
              </w:rPr>
              <w:t>m</w:t>
            </w:r>
            <w:r>
              <w:rPr>
                <w:rFonts w:hint="eastAsia"/>
                <w:bCs/>
                <w:kern w:val="0"/>
                <w:vertAlign w:val="superscript"/>
              </w:rPr>
              <w:t>3</w:t>
            </w:r>
            <w:r>
              <w:rPr>
                <w:rFonts w:hint="eastAsia"/>
                <w:bCs/>
                <w:kern w:val="0"/>
              </w:rPr>
              <w:t>/a）。生活污水经</w:t>
            </w:r>
            <w:r>
              <w:rPr>
                <w:rFonts w:hint="eastAsia"/>
                <w:bCs/>
                <w:kern w:val="0"/>
                <w:lang w:val="en-US" w:eastAsia="zh-CN"/>
              </w:rPr>
              <w:t>化粪池预</w:t>
            </w:r>
            <w:r>
              <w:rPr>
                <w:rFonts w:hint="eastAsia"/>
                <w:bCs/>
                <w:kern w:val="0"/>
              </w:rPr>
              <w:t>处理后排入园区污水管网，汇入园区污水处理厂处理达标后外排。</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（3）供电</w:t>
            </w:r>
          </w:p>
          <w:p>
            <w:pPr>
              <w:pStyle w:val="58"/>
              <w:keepNext w:val="0"/>
              <w:keepLines w:val="0"/>
              <w:pageBreakBefore w:val="0"/>
              <w:kinsoku/>
              <w:wordWrap/>
              <w:overflowPunct/>
              <w:topLinePunct w:val="0"/>
              <w:bidi w:val="0"/>
              <w:spacing w:beforeAutospacing="0" w:afterAutospacing="0" w:line="360" w:lineRule="auto"/>
              <w:ind w:left="0" w:leftChars="0" w:firstLine="480"/>
              <w:jc w:val="left"/>
              <w:rPr>
                <w:bCs/>
                <w:kern w:val="0"/>
              </w:rPr>
            </w:pPr>
            <w:r>
              <w:rPr>
                <w:rFonts w:hint="eastAsia"/>
                <w:bCs/>
                <w:kern w:val="0"/>
              </w:rPr>
              <w:t>国家电网供电，依托现有厂区供配电设施。</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b/>
                <w:kern w:val="0"/>
                <w:sz w:val="24"/>
              </w:rPr>
            </w:pPr>
            <w:r>
              <w:rPr>
                <w:b/>
                <w:kern w:val="0"/>
                <w:sz w:val="24"/>
              </w:rPr>
              <w:t>9</w:t>
            </w:r>
            <w:r>
              <w:rPr>
                <w:rFonts w:hint="eastAsia"/>
                <w:b/>
                <w:kern w:val="0"/>
                <w:sz w:val="24"/>
              </w:rPr>
              <w:t>、劳动定员及工作制度</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ascii="宋体" w:hAnsi="宋体" w:cs="宋体"/>
                <w:bCs/>
                <w:sz w:val="24"/>
              </w:rPr>
            </w:pPr>
            <w:r>
              <w:rPr>
                <w:rFonts w:hint="eastAsia" w:ascii="宋体" w:hAnsi="宋体" w:cs="宋体"/>
                <w:bCs/>
                <w:sz w:val="24"/>
              </w:rPr>
              <w:t>本项目劳动定员5人，年工作时间3</w:t>
            </w:r>
            <w:r>
              <w:rPr>
                <w:rFonts w:ascii="宋体" w:hAnsi="宋体" w:cs="宋体"/>
                <w:bCs/>
                <w:sz w:val="24"/>
              </w:rPr>
              <w:t>00</w:t>
            </w:r>
            <w:r>
              <w:rPr>
                <w:rFonts w:hint="eastAsia" w:ascii="宋体" w:hAnsi="宋体" w:cs="宋体"/>
                <w:bCs/>
                <w:sz w:val="24"/>
              </w:rPr>
              <w:t>天，一天8小时。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9" w:type="dxa"/>
            <w:vAlign w:val="center"/>
          </w:tcPr>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szCs w:val="24"/>
              </w:rPr>
            </w:pPr>
            <w:r>
              <w:rPr>
                <w:rFonts w:hint="eastAsia" w:cs="宋体"/>
                <w:szCs w:val="24"/>
                <w:u w:val="single"/>
              </w:rPr>
              <w:t>工艺流程和产排污环节</w:t>
            </w:r>
          </w:p>
        </w:tc>
        <w:tc>
          <w:tcPr>
            <w:tcW w:w="8125" w:type="dxa"/>
          </w:tcPr>
          <w:p>
            <w:pPr>
              <w:pStyle w:val="8"/>
              <w:keepNext w:val="0"/>
              <w:keepLines w:val="0"/>
              <w:pageBreakBefore w:val="0"/>
              <w:kinsoku/>
              <w:wordWrap/>
              <w:overflowPunct/>
              <w:topLinePunct w:val="0"/>
              <w:bidi w:val="0"/>
              <w:spacing w:before="0" w:beforeAutospacing="0" w:after="0" w:afterAutospacing="0" w:line="360" w:lineRule="auto"/>
              <w:ind w:left="0" w:leftChars="0" w:firstLine="480" w:firstLineChars="200"/>
              <w:rPr>
                <w:rFonts w:hint="eastAsia"/>
                <w:sz w:val="24"/>
                <w:highlight w:val="none"/>
              </w:rPr>
            </w:pPr>
            <w:r>
              <w:rPr>
                <w:rFonts w:hint="eastAsia"/>
                <w:sz w:val="24"/>
                <w:highlight w:val="none"/>
              </w:rPr>
              <w:t>工艺流程及产污环节如下图所示：</w:t>
            </w:r>
          </w:p>
          <w:p>
            <w:pPr>
              <w:pStyle w:val="7"/>
              <w:keepNext w:val="0"/>
              <w:keepLines w:val="0"/>
              <w:pageBreakBefore w:val="0"/>
              <w:kinsoku/>
              <w:wordWrap/>
              <w:overflowPunct/>
              <w:topLinePunct w:val="0"/>
              <w:bidi w:val="0"/>
              <w:spacing w:beforeAutospacing="0" w:afterAutospacing="0" w:line="360" w:lineRule="auto"/>
              <w:ind w:left="0" w:leftChars="0"/>
              <w:jc w:val="center"/>
              <w:rPr>
                <w:rFonts w:hint="eastAsia"/>
                <w:sz w:val="21"/>
              </w:rPr>
            </w:pPr>
            <w:r>
              <w:rPr>
                <w:rFonts w:hint="eastAsia" w:ascii="宋体" w:hAnsi="宋体" w:eastAsia="宋体" w:cs="宋体"/>
                <w:b/>
                <w:bCs/>
                <w:sz w:val="21"/>
                <w:szCs w:val="21"/>
                <w:u w:val="none"/>
                <w:lang w:eastAsia="zh-CN"/>
              </w:rPr>
              <w:object>
                <v:shape id="_x0000_i1025" o:spt="75" type="#_x0000_t75" style="height:74.25pt;width:383.5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pPr>
              <w:pStyle w:val="7"/>
              <w:keepNext w:val="0"/>
              <w:keepLines w:val="0"/>
              <w:pageBreakBefore w:val="0"/>
              <w:kinsoku/>
              <w:wordWrap/>
              <w:overflowPunct/>
              <w:topLinePunct w:val="0"/>
              <w:bidi w:val="0"/>
              <w:spacing w:beforeAutospacing="0" w:afterAutospacing="0" w:line="360" w:lineRule="auto"/>
              <w:ind w:left="0" w:leftChars="0"/>
              <w:jc w:val="center"/>
              <w:rPr>
                <w:sz w:val="21"/>
              </w:rPr>
            </w:pPr>
            <w:r>
              <w:rPr>
                <w:rFonts w:hint="eastAsia"/>
                <w:sz w:val="21"/>
              </w:rPr>
              <w:t>图2-1 危险固废暂存工艺流程简述</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ascii="宋体" w:hAnsi="宋体"/>
              </w:rPr>
              <w:t>工艺流程简述：</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ascii="宋体" w:hAnsi="宋体"/>
              </w:rPr>
              <w:t>①收运：与产生危废的小微企业签订危废协议，然后将指派专业人员至产废单位进行收集，贮存容器发放至各危险废物产生单位，帮助产废单位采取科学的废物贮存措施，对于液体危废产生量较小的企业，本项目采用吨桶进行统一收集。危险废物在运输前按照</w:t>
            </w:r>
            <w:r>
              <w:rPr>
                <w:rFonts w:hint="eastAsia" w:ascii="宋体" w:hAnsi="宋体"/>
                <w:lang w:eastAsia="zh-CN"/>
              </w:rPr>
              <w:t>《危险废物转移管理办法》</w:t>
            </w:r>
            <w:r>
              <w:rPr>
                <w:rFonts w:hint="eastAsia" w:ascii="宋体" w:hAnsi="宋体"/>
              </w:rPr>
              <w:t>以及有关规定办理转移手续。运输均委托有危废转运资质的第三方运输公司进行。危废转运严格按照</w:t>
            </w:r>
            <w:r>
              <w:rPr>
                <w:rFonts w:hint="eastAsia" w:ascii="宋体" w:hAnsi="宋体"/>
                <w:lang w:eastAsia="zh-CN"/>
              </w:rPr>
              <w:t>《危险废物转移管理办法》</w:t>
            </w:r>
            <w:r>
              <w:rPr>
                <w:rFonts w:hint="eastAsia" w:ascii="宋体" w:hAnsi="宋体"/>
              </w:rPr>
              <w:t>、《危险废物贮存污染控制标准》（</w:t>
            </w:r>
            <w:r>
              <w:t>GB18957-2001</w:t>
            </w:r>
            <w:r>
              <w:rPr>
                <w:rFonts w:hint="eastAsia" w:ascii="宋体" w:hAnsi="宋体"/>
              </w:rPr>
              <w:t>）及其修改单、《危险废物收集贮存运输技术规范》（</w:t>
            </w:r>
            <w:r>
              <w:t>HJ2025-2012</w:t>
            </w:r>
            <w:r>
              <w:rPr>
                <w:rFonts w:hint="eastAsia" w:ascii="宋体" w:hAnsi="宋体"/>
              </w:rPr>
              <w:t>）、《废矿物油回收利用污染控制技术规范》（</w:t>
            </w:r>
            <w:r>
              <w:t>HJ607-2011</w:t>
            </w:r>
            <w:r>
              <w:rPr>
                <w:rFonts w:hint="eastAsia" w:ascii="宋体" w:hAnsi="宋体"/>
              </w:rPr>
              <w:t>）、《道路危险货物运输管理规定》等要求执行，做好收集、运输过程中的防泄漏、防爆、防晒、防雨、防污染环境等。</w:t>
            </w:r>
          </w:p>
          <w:p>
            <w:pPr>
              <w:pStyle w:val="58"/>
              <w:keepNext w:val="0"/>
              <w:keepLines w:val="0"/>
              <w:pageBreakBefore w:val="0"/>
              <w:kinsoku/>
              <w:wordWrap/>
              <w:overflowPunct/>
              <w:topLinePunct w:val="0"/>
              <w:bidi w:val="0"/>
              <w:spacing w:beforeAutospacing="0" w:afterAutospacing="0" w:line="360" w:lineRule="auto"/>
              <w:ind w:left="0" w:leftChars="0" w:firstLine="480"/>
              <w:rPr>
                <w:rFonts w:ascii="宋体" w:hAnsi="宋体"/>
              </w:rPr>
            </w:pPr>
            <w:r>
              <w:rPr>
                <w:rFonts w:hint="eastAsia" w:ascii="宋体" w:hAnsi="宋体"/>
              </w:rPr>
              <w:t>②卸货：各种危险废物经过专用车辆运送到本项目，工作人员对进库储存的危废进行检查核对，并过磅记录，接收人员根据</w:t>
            </w:r>
            <w:r>
              <w:t>“</w:t>
            </w:r>
            <w:r>
              <w:rPr>
                <w:rFonts w:hint="eastAsia" w:ascii="宋体" w:hAnsi="宋体"/>
              </w:rPr>
              <w:t>转移联单</w:t>
            </w:r>
            <w:r>
              <w:t>”</w:t>
            </w:r>
            <w:r>
              <w:rPr>
                <w:rFonts w:hint="eastAsia" w:ascii="宋体" w:hAnsi="宋体"/>
              </w:rPr>
              <w:t>制度进行接收登记。卸载过程不改变其原有包装。</w:t>
            </w:r>
          </w:p>
          <w:p>
            <w:pPr>
              <w:pStyle w:val="58"/>
              <w:keepNext w:val="0"/>
              <w:keepLines w:val="0"/>
              <w:pageBreakBefore w:val="0"/>
              <w:kinsoku/>
              <w:wordWrap/>
              <w:overflowPunct/>
              <w:topLinePunct w:val="0"/>
              <w:bidi w:val="0"/>
              <w:spacing w:beforeAutospacing="0" w:afterAutospacing="0" w:line="360" w:lineRule="auto"/>
              <w:ind w:left="0" w:leftChars="0" w:firstLine="480"/>
              <w:rPr>
                <w:rFonts w:hint="eastAsia" w:ascii="宋体" w:hAnsi="宋体"/>
              </w:rPr>
            </w:pPr>
            <w:r>
              <w:rPr>
                <w:rFonts w:hint="eastAsia" w:ascii="宋体" w:hAnsi="宋体"/>
              </w:rPr>
              <w:t>③集中存储：将危险废物的名称、类别、数量、规格挂牌标注，分区储存。登记造册。危险废物办理危废入库手续，填写危废入库单。</w:t>
            </w:r>
          </w:p>
          <w:p>
            <w:pPr>
              <w:pStyle w:val="58"/>
              <w:keepNext w:val="0"/>
              <w:keepLines w:val="0"/>
              <w:pageBreakBefore w:val="0"/>
              <w:kinsoku/>
              <w:wordWrap/>
              <w:overflowPunct/>
              <w:topLinePunct w:val="0"/>
              <w:bidi w:val="0"/>
              <w:spacing w:beforeAutospacing="0" w:afterAutospacing="0" w:line="360" w:lineRule="auto"/>
              <w:ind w:left="0" w:leftChars="0" w:firstLine="480"/>
              <w:rPr>
                <w:rFonts w:ascii="宋体" w:hAnsi="宋体"/>
              </w:rPr>
            </w:pPr>
            <w:r>
              <w:rPr>
                <w:rFonts w:hint="eastAsia" w:ascii="宋体" w:hAnsi="宋体"/>
              </w:rPr>
              <w:t>④处置：项目危废在车间内储存到一定数量时装车运输至相应危废处置单位进行处置。装车外运前核对转运的危废名称、数量、类别、规格型号，危险废物执行危废转移联单制度。项目装卸为人工装卸，仓储区内用叉车进行运输。</w:t>
            </w:r>
          </w:p>
          <w:p>
            <w:pPr>
              <w:pStyle w:val="58"/>
              <w:keepNext w:val="0"/>
              <w:keepLines w:val="0"/>
              <w:pageBreakBefore w:val="0"/>
              <w:kinsoku/>
              <w:wordWrap/>
              <w:overflowPunct/>
              <w:topLinePunct w:val="0"/>
              <w:bidi w:val="0"/>
              <w:spacing w:beforeAutospacing="0" w:afterAutospacing="0" w:line="360" w:lineRule="auto"/>
              <w:ind w:left="0" w:leftChars="0" w:firstLine="480"/>
              <w:rPr>
                <w:rFonts w:ascii="宋体" w:hAnsi="宋体"/>
              </w:rPr>
            </w:pPr>
            <w:r>
              <w:rPr>
                <w:rFonts w:hint="eastAsia" w:ascii="宋体" w:hAnsi="宋体"/>
                <w:highlight w:val="none"/>
              </w:rPr>
              <w:t>收集的危险废物中甲类、乙类危废以及实际对于产废量</w:t>
            </w:r>
            <w:r>
              <w:rPr>
                <w:rFonts w:ascii="宋体" w:hAnsi="宋体"/>
                <w:highlight w:val="none"/>
              </w:rPr>
              <w:t>5t</w:t>
            </w:r>
            <w:r>
              <w:rPr>
                <w:rFonts w:hint="eastAsia" w:ascii="宋体" w:hAnsi="宋体"/>
                <w:highlight w:val="none"/>
              </w:rPr>
              <w:t>以上的产废单位均不在本项目车间暂存，收集后直接运输至下游处置企业处置。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99" w:type="dxa"/>
            <w:vAlign w:val="center"/>
          </w:tcPr>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szCs w:val="24"/>
              </w:rPr>
            </w:pPr>
            <w:r>
              <w:rPr>
                <w:rFonts w:hint="eastAsia" w:cs="宋体"/>
                <w:bCs/>
                <w:kern w:val="2"/>
                <w:szCs w:val="24"/>
              </w:rPr>
              <w:t>与项目有关的原有环境污染问题</w:t>
            </w:r>
          </w:p>
        </w:tc>
        <w:tc>
          <w:tcPr>
            <w:tcW w:w="8125" w:type="dxa"/>
          </w:tcPr>
          <w:p>
            <w:pPr>
              <w:pStyle w:val="58"/>
              <w:keepNext w:val="0"/>
              <w:keepLines w:val="0"/>
              <w:pageBreakBefore w:val="0"/>
              <w:kinsoku/>
              <w:wordWrap/>
              <w:overflowPunct/>
              <w:topLinePunct w:val="0"/>
              <w:bidi w:val="0"/>
              <w:spacing w:beforeAutospacing="0" w:afterAutospacing="0" w:line="360" w:lineRule="auto"/>
              <w:ind w:left="0" w:leftChars="0" w:firstLine="0" w:firstLineChars="0"/>
              <w:rPr>
                <w:rFonts w:ascii="宋体" w:hAnsi="宋体"/>
              </w:rPr>
            </w:pPr>
          </w:p>
          <w:p>
            <w:pPr>
              <w:pStyle w:val="57"/>
              <w:keepNext w:val="0"/>
              <w:keepLines w:val="0"/>
              <w:pageBreakBefore w:val="0"/>
              <w:kinsoku/>
              <w:wordWrap/>
              <w:overflowPunct/>
              <w:topLinePunct w:val="0"/>
              <w:bidi w:val="0"/>
              <w:spacing w:beforeAutospacing="0" w:afterAutospacing="0" w:line="360" w:lineRule="auto"/>
              <w:ind w:left="0" w:leftChars="0" w:firstLine="360" w:firstLineChars="150"/>
              <w:rPr>
                <w:rFonts w:ascii="宋体" w:hAnsi="宋体"/>
                <w:bCs/>
              </w:rPr>
            </w:pPr>
            <w:r>
              <w:rPr>
                <w:rFonts w:hint="default"/>
                <w:u w:val="none"/>
              </w:rPr>
              <w:t>本项目</w:t>
            </w:r>
            <w:r>
              <w:rPr>
                <w:rFonts w:hint="eastAsia"/>
                <w:u w:val="none"/>
                <w:lang w:eastAsia="zh-CN"/>
              </w:rPr>
              <w:t>为新建项目，位于</w:t>
            </w:r>
            <w:r>
              <w:rPr>
                <w:rFonts w:hint="default" w:ascii="Times New Roman" w:hAnsi="Times New Roman" w:eastAsia="宋体" w:cs="Times New Roman"/>
                <w:color w:val="auto"/>
                <w:sz w:val="24"/>
                <w:szCs w:val="24"/>
              </w:rPr>
              <w:t>祁东经济开发区归阳工业园</w:t>
            </w:r>
            <w:r>
              <w:rPr>
                <w:rFonts w:hint="eastAsia"/>
                <w:u w:val="none"/>
                <w:lang w:eastAsia="zh-CN"/>
              </w:rPr>
              <w:t>，项目租赁厂房为标准化厂房，厂房内无遗留设备、设施，原料、杂物等，周边环境状况良好，无历史遗留环境问题。</w:t>
            </w:r>
          </w:p>
        </w:tc>
      </w:tr>
    </w:tbl>
    <w:p>
      <w:pPr>
        <w:pStyle w:val="18"/>
        <w:keepNext w:val="0"/>
        <w:keepLines w:val="0"/>
        <w:pageBreakBefore w:val="0"/>
        <w:kinsoku/>
        <w:wordWrap/>
        <w:overflowPunct/>
        <w:topLinePunct w:val="0"/>
        <w:bidi w:val="0"/>
        <w:spacing w:before="0" w:beforeAutospacing="0" w:after="0" w:afterAutospacing="0" w:line="360" w:lineRule="auto"/>
        <w:ind w:left="0" w:leftChars="0"/>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highlight w:val="red"/>
        </w:rPr>
      </w:pPr>
      <w:bookmarkStart w:id="3" w:name="_Toc75787038"/>
      <w:r>
        <w:rPr>
          <w:rFonts w:hint="eastAsia" w:ascii="黑体" w:hAnsi="黑体" w:eastAsia="黑体"/>
          <w:snapToGrid w:val="0"/>
          <w:sz w:val="30"/>
          <w:szCs w:val="30"/>
          <w:highlight w:val="none"/>
        </w:rPr>
        <w:t>三、区域环境质量现状、环境保护目标及评价标准</w:t>
      </w:r>
      <w:bookmarkEnd w:id="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1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6" w:hRule="atLeast"/>
          <w:jc w:val="center"/>
        </w:trPr>
        <w:tc>
          <w:tcPr>
            <w:tcW w:w="699"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区域</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环境</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质量</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现状</w:t>
            </w:r>
          </w:p>
        </w:tc>
        <w:tc>
          <w:tcPr>
            <w:tcW w:w="812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ascii="宋体" w:hAnsi="宋体" w:cs="宋体"/>
                <w:b/>
                <w:kern w:val="0"/>
                <w:sz w:val="24"/>
              </w:rPr>
            </w:pPr>
            <w:r>
              <w:rPr>
                <w:rFonts w:hint="eastAsia" w:ascii="宋体" w:hAnsi="宋体" w:cs="宋体"/>
                <w:b/>
                <w:kern w:val="0"/>
                <w:sz w:val="24"/>
              </w:rPr>
              <w:t>1、大气环境</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（1）达标区判定</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根据《环境影响评价技术导则 大气环境》（HJ 2.2-2018），项目所在区域达标判定，优先采用国家或地方生态环境主管部门公开发布的评价基准年环境质量公告或环境质量报告中的数据或结论。</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rPr>
            </w:pPr>
            <w:r>
              <w:rPr>
                <w:rFonts w:hint="eastAsia"/>
                <w:bCs/>
                <w:kern w:val="0"/>
                <w:sz w:val="24"/>
              </w:rPr>
              <w:t>根据湖南省生态环境厅发布的《关于 202</w:t>
            </w:r>
            <w:r>
              <w:rPr>
                <w:rFonts w:hint="eastAsia"/>
                <w:bCs/>
                <w:kern w:val="0"/>
                <w:sz w:val="24"/>
                <w:lang w:val="en-US" w:eastAsia="zh-CN"/>
              </w:rPr>
              <w:t>1</w:t>
            </w:r>
            <w:r>
              <w:rPr>
                <w:rFonts w:hint="eastAsia"/>
                <w:bCs/>
                <w:kern w:val="0"/>
                <w:sz w:val="24"/>
              </w:rPr>
              <w:t xml:space="preserve"> 年 1-12 月县（市、区）环境质量状况的通报》，本项目所在区域</w:t>
            </w:r>
            <w:r>
              <w:rPr>
                <w:rFonts w:hint="eastAsia" w:ascii="Times New Roman" w:hAnsi="Times New Roman" w:eastAsia="宋体" w:cs="Times New Roman"/>
                <w:color w:val="auto"/>
                <w:kern w:val="0"/>
                <w:sz w:val="24"/>
                <w:u w:val="none" w:color="auto"/>
                <w:lang w:val="en-US" w:eastAsia="zh-CN"/>
              </w:rPr>
              <w:t>祁东县</w:t>
            </w:r>
            <w:r>
              <w:rPr>
                <w:rFonts w:hint="eastAsia"/>
                <w:bCs/>
                <w:kern w:val="0"/>
                <w:sz w:val="24"/>
              </w:rPr>
              <w:t xml:space="preserve"> 202</w:t>
            </w:r>
            <w:r>
              <w:rPr>
                <w:rFonts w:hint="eastAsia"/>
                <w:bCs/>
                <w:kern w:val="0"/>
                <w:sz w:val="24"/>
                <w:lang w:val="en-US" w:eastAsia="zh-CN"/>
              </w:rPr>
              <w:t>1</w:t>
            </w:r>
            <w:r>
              <w:rPr>
                <w:rFonts w:hint="eastAsia"/>
                <w:bCs/>
                <w:kern w:val="0"/>
                <w:sz w:val="24"/>
              </w:rPr>
              <w:t xml:space="preserve"> 年属于达标区。本评价对</w:t>
            </w:r>
            <w:r>
              <w:rPr>
                <w:rFonts w:hint="eastAsia" w:ascii="Times New Roman" w:hAnsi="Times New Roman" w:eastAsia="宋体" w:cs="Times New Roman"/>
                <w:color w:val="auto"/>
                <w:kern w:val="0"/>
                <w:sz w:val="24"/>
                <w:u w:val="none" w:color="auto"/>
                <w:lang w:val="en-US" w:eastAsia="zh-CN"/>
              </w:rPr>
              <w:t>祁东县</w:t>
            </w:r>
            <w:r>
              <w:rPr>
                <w:rFonts w:hint="eastAsia"/>
                <w:bCs/>
                <w:kern w:val="0"/>
                <w:sz w:val="24"/>
              </w:rPr>
              <w:t>环境空气质量进行判定。根据衡阳市生态环境局发布的</w:t>
            </w:r>
            <w:r>
              <w:rPr>
                <w:rFonts w:hint="default" w:ascii="Times New Roman" w:hAnsi="Times New Roman" w:eastAsia="宋体" w:cs="Times New Roman"/>
                <w:color w:val="auto"/>
                <w:spacing w:val="0"/>
                <w:position w:val="0"/>
                <w:sz w:val="24"/>
                <w:szCs w:val="24"/>
                <w:lang w:val="en-US" w:eastAsia="zh-CN"/>
              </w:rPr>
              <w:t>《关于20</w:t>
            </w:r>
            <w:r>
              <w:rPr>
                <w:rFonts w:hint="eastAsia" w:ascii="Times New Roman" w:hAnsi="Times New Roman" w:eastAsia="宋体" w:cs="Times New Roman"/>
                <w:color w:val="auto"/>
                <w:spacing w:val="0"/>
                <w:position w:val="0"/>
                <w:sz w:val="24"/>
                <w:szCs w:val="24"/>
                <w:lang w:val="en-US" w:eastAsia="zh-CN"/>
              </w:rPr>
              <w:t>21</w:t>
            </w:r>
            <w:r>
              <w:rPr>
                <w:rFonts w:hint="default" w:ascii="Times New Roman" w:hAnsi="Times New Roman" w:eastAsia="宋体" w:cs="Times New Roman"/>
                <w:color w:val="auto"/>
                <w:spacing w:val="0"/>
                <w:position w:val="0"/>
                <w:sz w:val="24"/>
                <w:szCs w:val="24"/>
                <w:lang w:val="en-US" w:eastAsia="zh-CN"/>
              </w:rPr>
              <w:t>年12月及1~12月全市环境质量状况的通报》</w:t>
            </w:r>
            <w:r>
              <w:rPr>
                <w:rFonts w:hint="eastAsia"/>
                <w:bCs/>
                <w:kern w:val="0"/>
                <w:sz w:val="24"/>
              </w:rPr>
              <w:t>中相关数据判定，其判定结果见表3</w:t>
            </w:r>
            <w:r>
              <w:rPr>
                <w:bCs/>
                <w:kern w:val="0"/>
                <w:sz w:val="24"/>
              </w:rPr>
              <w:t>-1</w:t>
            </w:r>
            <w:r>
              <w:rPr>
                <w:rFonts w:hint="eastAsia"/>
                <w:bCs/>
                <w:kern w:val="0"/>
                <w:sz w:val="24"/>
              </w:rPr>
              <w:t>。</w:t>
            </w: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r>
              <w:rPr>
                <w:rFonts w:hint="eastAsia"/>
                <w:sz w:val="21"/>
              </w:rPr>
              <w:t>表3</w:t>
            </w:r>
            <w:r>
              <w:rPr>
                <w:sz w:val="21"/>
              </w:rPr>
              <w:t xml:space="preserve">-1  </w:t>
            </w:r>
            <w:r>
              <w:rPr>
                <w:rFonts w:hint="eastAsia"/>
                <w:sz w:val="21"/>
              </w:rPr>
              <w:t>区域空气质量现状评价表</w:t>
            </w:r>
          </w:p>
          <w:p>
            <w:pPr>
              <w:pStyle w:val="8"/>
              <w:ind w:left="0" w:leftChars="0" w:firstLine="0" w:firstLineChars="0"/>
              <w:jc w:val="center"/>
              <w:rPr>
                <w:rFonts w:hint="eastAsia"/>
              </w:rPr>
            </w:pPr>
            <w:r>
              <w:drawing>
                <wp:inline distT="0" distB="0" distL="114300" distR="114300">
                  <wp:extent cx="4906645" cy="2298700"/>
                  <wp:effectExtent l="0" t="0" r="63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4906645" cy="22987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bCs/>
                <w:kern w:val="0"/>
                <w:sz w:val="24"/>
              </w:rPr>
            </w:pPr>
            <w:r>
              <w:rPr>
                <w:rFonts w:hint="eastAsia"/>
                <w:bCs/>
                <w:kern w:val="0"/>
                <w:sz w:val="24"/>
              </w:rPr>
              <w:t>由上表可知，</w:t>
            </w:r>
            <w:r>
              <w:rPr>
                <w:rFonts w:hint="eastAsia" w:ascii="Times New Roman" w:hAnsi="Times New Roman" w:eastAsia="宋体" w:cs="Times New Roman"/>
                <w:color w:val="auto"/>
                <w:kern w:val="0"/>
                <w:sz w:val="24"/>
                <w:u w:val="none" w:color="auto"/>
                <w:lang w:val="en-US" w:eastAsia="zh-CN"/>
              </w:rPr>
              <w:t>祁东县</w:t>
            </w:r>
            <w:r>
              <w:rPr>
                <w:rFonts w:hint="eastAsia"/>
                <w:bCs/>
                <w:kern w:val="0"/>
                <w:sz w:val="24"/>
              </w:rPr>
              <w:t>环境空气质量达标情况评价指标 SO</w:t>
            </w:r>
            <w:r>
              <w:rPr>
                <w:rFonts w:hint="eastAsia"/>
                <w:bCs/>
                <w:kern w:val="0"/>
                <w:sz w:val="24"/>
                <w:vertAlign w:val="subscript"/>
              </w:rPr>
              <w:t>2</w:t>
            </w:r>
            <w:r>
              <w:rPr>
                <w:rFonts w:hint="eastAsia"/>
                <w:bCs/>
                <w:kern w:val="0"/>
                <w:sz w:val="24"/>
              </w:rPr>
              <w:t>、NO</w:t>
            </w:r>
            <w:r>
              <w:rPr>
                <w:rFonts w:hint="eastAsia"/>
                <w:bCs/>
                <w:kern w:val="0"/>
                <w:sz w:val="24"/>
                <w:vertAlign w:val="subscript"/>
              </w:rPr>
              <w:t>2</w:t>
            </w:r>
            <w:r>
              <w:rPr>
                <w:rFonts w:hint="eastAsia"/>
                <w:bCs/>
                <w:kern w:val="0"/>
                <w:sz w:val="24"/>
              </w:rPr>
              <w:t>、PM</w:t>
            </w:r>
            <w:r>
              <w:rPr>
                <w:rFonts w:hint="eastAsia"/>
                <w:bCs/>
                <w:kern w:val="0"/>
                <w:sz w:val="24"/>
                <w:vertAlign w:val="subscript"/>
              </w:rPr>
              <w:t>10</w:t>
            </w:r>
            <w:r>
              <w:rPr>
                <w:rFonts w:hint="eastAsia"/>
                <w:bCs/>
                <w:kern w:val="0"/>
                <w:sz w:val="24"/>
              </w:rPr>
              <w:t>、PM</w:t>
            </w:r>
            <w:r>
              <w:rPr>
                <w:rFonts w:hint="eastAsia"/>
                <w:bCs/>
                <w:kern w:val="0"/>
                <w:sz w:val="24"/>
                <w:vertAlign w:val="subscript"/>
              </w:rPr>
              <w:t>2.5</w:t>
            </w:r>
            <w:r>
              <w:rPr>
                <w:rFonts w:hint="eastAsia"/>
                <w:bCs/>
                <w:kern w:val="0"/>
                <w:sz w:val="24"/>
              </w:rPr>
              <w:t>、CO和O</w:t>
            </w:r>
            <w:r>
              <w:rPr>
                <w:rFonts w:hint="eastAsia"/>
                <w:bCs/>
                <w:kern w:val="0"/>
                <w:sz w:val="24"/>
                <w:vertAlign w:val="subscript"/>
              </w:rPr>
              <w:t>3</w:t>
            </w:r>
            <w:r>
              <w:rPr>
                <w:rFonts w:hint="eastAsia"/>
                <w:bCs/>
                <w:kern w:val="0"/>
                <w:sz w:val="24"/>
              </w:rPr>
              <w:t>六项因子年平均质量浓度均符合《环境空气质量标准》（GB3095-2012）</w:t>
            </w:r>
            <w:r>
              <w:rPr>
                <w:rFonts w:hint="eastAsia"/>
                <w:bCs/>
                <w:kern w:val="0"/>
                <w:sz w:val="24"/>
                <w:lang w:val="en-US" w:eastAsia="zh-CN"/>
              </w:rPr>
              <w:t>及其修改单二级标准</w:t>
            </w:r>
            <w:r>
              <w:rPr>
                <w:rFonts w:hint="eastAsia"/>
                <w:bCs/>
                <w:kern w:val="0"/>
                <w:sz w:val="24"/>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bCs/>
                <w:kern w:val="0"/>
                <w:sz w:val="24"/>
              </w:rPr>
            </w:pPr>
            <w:r>
              <w:rPr>
                <w:rFonts w:hint="eastAsia"/>
                <w:bCs/>
                <w:kern w:val="0"/>
                <w:sz w:val="24"/>
              </w:rPr>
              <w:t>因此本项目所在区域为达标区。</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（2）引用历史监测数据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bCs/>
                <w:kern w:val="0"/>
                <w:sz w:val="24"/>
                <w:highlight w:val="none"/>
              </w:rPr>
            </w:pPr>
            <w:r>
              <w:rPr>
                <w:rFonts w:hint="eastAsia" w:ascii="Times New Roman" w:hAnsi="Times New Roman" w:eastAsia="宋体" w:cs="Times New Roman"/>
                <w:bCs/>
                <w:kern w:val="0"/>
                <w:sz w:val="24"/>
                <w:highlight w:val="none"/>
              </w:rPr>
              <w:t>本项目引用</w:t>
            </w:r>
            <w:r>
              <w:rPr>
                <w:rFonts w:hint="default" w:ascii="Times New Roman" w:hAnsi="Times New Roman" w:eastAsia="宋体" w:cs="Times New Roman"/>
                <w:bCs/>
                <w:kern w:val="0"/>
                <w:sz w:val="24"/>
                <w:highlight w:val="none"/>
              </w:rPr>
              <w:t>《湖南派驰机械有限公司年产1万吨高铬泵车弯管抗磨白口铸铁件智能生产线建设项目</w:t>
            </w:r>
            <w:r>
              <w:rPr>
                <w:rFonts w:hint="eastAsia" w:ascii="Times New Roman" w:hAnsi="Times New Roman" w:eastAsia="宋体" w:cs="Times New Roman"/>
                <w:bCs/>
                <w:kern w:val="0"/>
                <w:sz w:val="24"/>
                <w:highlight w:val="none"/>
                <w:lang w:val="en-US" w:eastAsia="zh-CN"/>
              </w:rPr>
              <w:t>环境影响评价报告表</w:t>
            </w:r>
            <w:r>
              <w:rPr>
                <w:rFonts w:hint="default" w:ascii="Times New Roman" w:hAnsi="Times New Roman" w:eastAsia="宋体" w:cs="Times New Roman"/>
                <w:bCs/>
                <w:kern w:val="0"/>
                <w:sz w:val="24"/>
                <w:highlight w:val="none"/>
              </w:rPr>
              <w:t>》</w:t>
            </w:r>
            <w:r>
              <w:rPr>
                <w:rFonts w:hint="eastAsia" w:ascii="Times New Roman" w:hAnsi="Times New Roman" w:eastAsia="宋体" w:cs="Times New Roman"/>
                <w:bCs/>
                <w:kern w:val="0"/>
                <w:sz w:val="24"/>
                <w:highlight w:val="none"/>
              </w:rPr>
              <w:t>中</w:t>
            </w:r>
            <w:r>
              <w:rPr>
                <w:rFonts w:hint="eastAsia" w:ascii="Times New Roman" w:hAnsi="Times New Roman" w:eastAsia="宋体" w:cs="Times New Roman"/>
                <w:bCs/>
                <w:kern w:val="0"/>
                <w:sz w:val="24"/>
                <w:highlight w:val="none"/>
                <w:lang w:val="en-US" w:eastAsia="zh-CN"/>
              </w:rPr>
              <w:t>湖南中测湘源检测有限公司</w:t>
            </w:r>
            <w:r>
              <w:rPr>
                <w:rFonts w:hint="eastAsia" w:cs="Times New Roman"/>
                <w:bCs/>
                <w:kern w:val="0"/>
                <w:sz w:val="24"/>
                <w:highlight w:val="none"/>
                <w:lang w:val="en-US" w:eastAsia="zh-CN"/>
              </w:rPr>
              <w:t>于</w:t>
            </w:r>
            <w:r>
              <w:rPr>
                <w:rFonts w:hint="eastAsia" w:ascii="Times New Roman" w:hAnsi="Times New Roman" w:eastAsia="宋体" w:cs="Times New Roman"/>
                <w:color w:val="auto"/>
                <w:kern w:val="0"/>
                <w:sz w:val="24"/>
                <w:u w:val="none" w:color="auto"/>
                <w:lang w:val="en-US" w:eastAsia="zh-CN"/>
              </w:rPr>
              <w:t>2021年3月21~2021年3月27日</w:t>
            </w:r>
            <w:r>
              <w:rPr>
                <w:rFonts w:hint="eastAsia" w:ascii="Times New Roman" w:hAnsi="Times New Roman" w:eastAsia="宋体" w:cs="Times New Roman"/>
                <w:bCs/>
                <w:kern w:val="0"/>
                <w:sz w:val="24"/>
                <w:highlight w:val="none"/>
              </w:rPr>
              <w:t>检测的数据。该项目位于本项目西南侧</w:t>
            </w:r>
            <w:r>
              <w:rPr>
                <w:rFonts w:hint="eastAsia" w:ascii="Times New Roman" w:hAnsi="Times New Roman" w:eastAsia="宋体" w:cs="Times New Roman"/>
                <w:bCs/>
                <w:kern w:val="0"/>
                <w:sz w:val="24"/>
                <w:highlight w:val="none"/>
                <w:lang w:val="en-US" w:eastAsia="zh-CN"/>
              </w:rPr>
              <w:t>60</w:t>
            </w:r>
            <w:r>
              <w:rPr>
                <w:rFonts w:hint="eastAsia" w:ascii="Times New Roman" w:hAnsi="Times New Roman" w:eastAsia="宋体" w:cs="Times New Roman"/>
                <w:bCs/>
                <w:kern w:val="0"/>
                <w:sz w:val="24"/>
                <w:highlight w:val="none"/>
              </w:rPr>
              <w:t>m，监测结果具有代表性。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ascii="Times New Roman" w:hAnsi="Times New Roman"/>
                <w:color w:val="auto"/>
                <w:sz w:val="24"/>
                <w:szCs w:val="28"/>
                <w:u w:val="none" w:color="auto"/>
              </w:rPr>
            </w:pPr>
            <w:r>
              <w:rPr>
                <w:rFonts w:hint="eastAsia"/>
                <w:color w:val="auto"/>
                <w:sz w:val="24"/>
                <w:szCs w:val="28"/>
                <w:u w:val="none" w:color="auto"/>
                <w:lang w:val="en-US" w:eastAsia="zh-CN"/>
              </w:rPr>
              <w:t>①</w:t>
            </w:r>
            <w:r>
              <w:rPr>
                <w:rFonts w:ascii="Times New Roman" w:hAnsi="Times New Roman"/>
                <w:color w:val="auto"/>
                <w:sz w:val="24"/>
                <w:szCs w:val="28"/>
                <w:u w:val="none" w:color="auto"/>
              </w:rPr>
              <w:t>监测点位：设置</w:t>
            </w:r>
            <w:r>
              <w:rPr>
                <w:rFonts w:hint="eastAsia" w:ascii="Times New Roman" w:hAnsi="Times New Roman"/>
                <w:color w:val="auto"/>
                <w:sz w:val="24"/>
                <w:szCs w:val="28"/>
                <w:u w:val="none" w:color="auto"/>
                <w:lang w:val="en-US" w:eastAsia="zh-CN"/>
              </w:rPr>
              <w:t>1</w:t>
            </w:r>
            <w:r>
              <w:rPr>
                <w:rFonts w:ascii="Times New Roman" w:hAnsi="Times New Roman"/>
                <w:color w:val="auto"/>
                <w:sz w:val="24"/>
                <w:szCs w:val="28"/>
                <w:u w:val="none" w:color="auto"/>
              </w:rPr>
              <w:t>个监测点位。</w:t>
            </w:r>
          </w:p>
          <w:p>
            <w:pPr>
              <w:pStyle w:val="63"/>
              <w:keepNext w:val="0"/>
              <w:keepLines w:val="0"/>
              <w:pageBreakBefore w:val="0"/>
              <w:kinsoku/>
              <w:wordWrap/>
              <w:overflowPunct/>
              <w:topLinePunct w:val="0"/>
              <w:bidi w:val="0"/>
              <w:spacing w:beforeLines="0" w:beforeAutospacing="0" w:afterLines="0" w:afterAutospacing="0" w:line="360" w:lineRule="auto"/>
              <w:ind w:left="0" w:leftChars="0"/>
              <w:rPr>
                <w:color w:val="auto"/>
                <w:u w:val="none" w:color="auto"/>
              </w:rPr>
            </w:pPr>
            <w:r>
              <w:rPr>
                <w:color w:val="auto"/>
                <w:u w:val="none" w:color="auto"/>
              </w:rPr>
              <w:t>表3-</w:t>
            </w:r>
            <w:r>
              <w:rPr>
                <w:rFonts w:hint="eastAsia"/>
                <w:color w:val="auto"/>
                <w:u w:val="none" w:color="auto"/>
                <w:lang w:val="en-US" w:eastAsia="zh-CN"/>
              </w:rPr>
              <w:t>2</w:t>
            </w:r>
            <w:r>
              <w:rPr>
                <w:color w:val="auto"/>
                <w:u w:val="none" w:color="auto"/>
              </w:rPr>
              <w:t xml:space="preserve">  大气环境质量监测点位布置</w:t>
            </w:r>
          </w:p>
          <w:tbl>
            <w:tblPr>
              <w:tblStyle w:val="22"/>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86"/>
              <w:gridCol w:w="3415"/>
              <w:gridCol w:w="279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1686" w:type="dxa"/>
                  <w:noWrap w:val="0"/>
                  <w:vAlign w:val="center"/>
                </w:tcPr>
                <w:p>
                  <w:pPr>
                    <w:pStyle w:val="98"/>
                    <w:keepNext w:val="0"/>
                    <w:keepLines w:val="0"/>
                    <w:pageBreakBefore w:val="0"/>
                    <w:kinsoku/>
                    <w:wordWrap/>
                    <w:overflowPunct/>
                    <w:topLinePunct w:val="0"/>
                    <w:bidi w:val="0"/>
                    <w:snapToGrid/>
                    <w:spacing w:beforeAutospacing="0" w:afterAutospacing="0" w:line="360" w:lineRule="auto"/>
                    <w:ind w:left="0" w:leftChars="0" w:firstLine="0"/>
                    <w:jc w:val="center"/>
                    <w:rPr>
                      <w:rFonts w:ascii="Times New Roman" w:hAnsi="Times New Roman" w:eastAsia="宋体"/>
                      <w:color w:val="auto"/>
                      <w:sz w:val="21"/>
                      <w:szCs w:val="21"/>
                      <w:u w:val="none" w:color="auto"/>
                    </w:rPr>
                  </w:pPr>
                  <w:r>
                    <w:rPr>
                      <w:rFonts w:ascii="Times New Roman" w:hAnsi="Times New Roman" w:eastAsia="宋体"/>
                      <w:color w:val="auto"/>
                      <w:sz w:val="21"/>
                      <w:szCs w:val="21"/>
                      <w:u w:val="none" w:color="auto"/>
                    </w:rPr>
                    <w:t>编号</w:t>
                  </w:r>
                </w:p>
              </w:tc>
              <w:tc>
                <w:tcPr>
                  <w:tcW w:w="3415" w:type="dxa"/>
                  <w:noWrap w:val="0"/>
                  <w:vAlign w:val="center"/>
                </w:tcPr>
                <w:p>
                  <w:pPr>
                    <w:pStyle w:val="98"/>
                    <w:keepNext w:val="0"/>
                    <w:keepLines w:val="0"/>
                    <w:pageBreakBefore w:val="0"/>
                    <w:kinsoku/>
                    <w:wordWrap/>
                    <w:overflowPunct/>
                    <w:topLinePunct w:val="0"/>
                    <w:bidi w:val="0"/>
                    <w:snapToGrid/>
                    <w:spacing w:beforeAutospacing="0" w:afterAutospacing="0" w:line="360" w:lineRule="auto"/>
                    <w:ind w:left="0" w:leftChars="0" w:firstLine="0"/>
                    <w:jc w:val="center"/>
                    <w:rPr>
                      <w:rFonts w:ascii="Times New Roman" w:hAnsi="Times New Roman" w:eastAsia="宋体"/>
                      <w:color w:val="auto"/>
                      <w:sz w:val="21"/>
                      <w:szCs w:val="21"/>
                      <w:u w:val="none" w:color="auto"/>
                    </w:rPr>
                  </w:pPr>
                  <w:r>
                    <w:rPr>
                      <w:rFonts w:ascii="Times New Roman" w:hAnsi="Times New Roman" w:eastAsia="宋体"/>
                      <w:color w:val="auto"/>
                      <w:sz w:val="21"/>
                      <w:szCs w:val="21"/>
                      <w:u w:val="none" w:color="auto"/>
                    </w:rPr>
                    <w:t>点    位</w:t>
                  </w:r>
                </w:p>
              </w:tc>
              <w:tc>
                <w:tcPr>
                  <w:tcW w:w="2797" w:type="dxa"/>
                  <w:noWrap w:val="0"/>
                  <w:vAlign w:val="center"/>
                </w:tcPr>
                <w:p>
                  <w:pPr>
                    <w:pStyle w:val="98"/>
                    <w:keepNext w:val="0"/>
                    <w:keepLines w:val="0"/>
                    <w:pageBreakBefore w:val="0"/>
                    <w:kinsoku/>
                    <w:wordWrap/>
                    <w:overflowPunct/>
                    <w:topLinePunct w:val="0"/>
                    <w:bidi w:val="0"/>
                    <w:snapToGrid/>
                    <w:spacing w:beforeAutospacing="0" w:afterAutospacing="0" w:line="360" w:lineRule="auto"/>
                    <w:ind w:left="0" w:leftChars="0" w:firstLine="0"/>
                    <w:jc w:val="center"/>
                    <w:rPr>
                      <w:rFonts w:ascii="Times New Roman" w:hAnsi="Times New Roman" w:eastAsia="宋体"/>
                      <w:color w:val="auto"/>
                      <w:sz w:val="21"/>
                      <w:szCs w:val="21"/>
                      <w:u w:val="none" w:color="auto"/>
                    </w:rPr>
                  </w:pPr>
                  <w:r>
                    <w:rPr>
                      <w:rFonts w:ascii="Times New Roman" w:hAnsi="Times New Roman" w:eastAsia="宋体"/>
                      <w:color w:val="auto"/>
                      <w:sz w:val="21"/>
                      <w:szCs w:val="21"/>
                      <w:u w:val="none" w:color="auto"/>
                    </w:rPr>
                    <w:t>距离本项目方位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1686" w:type="dxa"/>
                  <w:noWrap w:val="0"/>
                  <w:vAlign w:val="center"/>
                </w:tcPr>
                <w:p>
                  <w:pPr>
                    <w:pStyle w:val="98"/>
                    <w:keepNext w:val="0"/>
                    <w:keepLines w:val="0"/>
                    <w:pageBreakBefore w:val="0"/>
                    <w:kinsoku/>
                    <w:wordWrap/>
                    <w:overflowPunct/>
                    <w:topLinePunct w:val="0"/>
                    <w:bidi w:val="0"/>
                    <w:snapToGrid/>
                    <w:spacing w:beforeAutospacing="0" w:afterAutospacing="0" w:line="360" w:lineRule="auto"/>
                    <w:ind w:left="0" w:leftChars="0" w:firstLine="0"/>
                    <w:jc w:val="center"/>
                    <w:rPr>
                      <w:rFonts w:ascii="Times New Roman" w:hAnsi="Times New Roman" w:eastAsia="宋体"/>
                      <w:color w:val="auto"/>
                      <w:sz w:val="21"/>
                      <w:szCs w:val="21"/>
                      <w:u w:val="none" w:color="auto"/>
                    </w:rPr>
                  </w:pPr>
                  <w:r>
                    <w:rPr>
                      <w:rFonts w:ascii="Times New Roman" w:hAnsi="Times New Roman" w:eastAsia="宋体"/>
                      <w:color w:val="auto"/>
                      <w:sz w:val="21"/>
                      <w:szCs w:val="21"/>
                      <w:u w:val="none" w:color="auto"/>
                    </w:rPr>
                    <w:t>G1</w:t>
                  </w:r>
                </w:p>
              </w:tc>
              <w:tc>
                <w:tcPr>
                  <w:tcW w:w="3415" w:type="dxa"/>
                  <w:noWrap w:val="0"/>
                  <w:vAlign w:val="center"/>
                </w:tcPr>
                <w:p>
                  <w:pPr>
                    <w:pStyle w:val="99"/>
                    <w:keepNext w:val="0"/>
                    <w:keepLines w:val="0"/>
                    <w:pageBreakBefore w:val="0"/>
                    <w:kinsoku/>
                    <w:wordWrap/>
                    <w:overflowPunct/>
                    <w:topLinePunct w:val="0"/>
                    <w:bidi w:val="0"/>
                    <w:spacing w:beforeAutospacing="0" w:afterAutospacing="0" w:line="360" w:lineRule="auto"/>
                    <w:ind w:left="0" w:leftChars="0"/>
                    <w:jc w:val="center"/>
                    <w:rPr>
                      <w:rFonts w:hint="default" w:ascii="Times New Roman" w:hAnsi="Times New Roman" w:eastAsia="宋体"/>
                      <w:color w:val="auto"/>
                      <w:u w:val="none" w:color="auto"/>
                      <w:lang w:val="en-US" w:eastAsia="zh-CN"/>
                    </w:rPr>
                  </w:pPr>
                  <w:r>
                    <w:rPr>
                      <w:rFonts w:hint="eastAsia"/>
                      <w:color w:val="auto"/>
                      <w:u w:val="none" w:color="auto"/>
                      <w:lang w:val="en-US" w:eastAsia="zh-CN"/>
                    </w:rPr>
                    <w:t>横塘冲居民点</w:t>
                  </w:r>
                </w:p>
              </w:tc>
              <w:tc>
                <w:tcPr>
                  <w:tcW w:w="2797" w:type="dxa"/>
                  <w:noWrap w:val="0"/>
                  <w:vAlign w:val="center"/>
                </w:tcPr>
                <w:p>
                  <w:pPr>
                    <w:pStyle w:val="99"/>
                    <w:keepNext w:val="0"/>
                    <w:keepLines w:val="0"/>
                    <w:pageBreakBefore w:val="0"/>
                    <w:kinsoku/>
                    <w:wordWrap/>
                    <w:overflowPunct/>
                    <w:topLinePunct w:val="0"/>
                    <w:bidi w:val="0"/>
                    <w:spacing w:beforeAutospacing="0" w:afterAutospacing="0" w:line="360" w:lineRule="auto"/>
                    <w:ind w:left="0" w:leftChars="0"/>
                    <w:jc w:val="center"/>
                    <w:rPr>
                      <w:rFonts w:hint="eastAsia" w:ascii="Times New Roman" w:hAnsi="Times New Roman" w:eastAsia="宋体"/>
                      <w:color w:val="auto"/>
                      <w:u w:val="none" w:color="auto"/>
                      <w:lang w:val="en-US" w:eastAsia="zh-CN"/>
                    </w:rPr>
                  </w:pPr>
                  <w:r>
                    <w:rPr>
                      <w:rFonts w:hint="eastAsia"/>
                      <w:color w:val="auto"/>
                      <w:u w:val="none" w:color="auto"/>
                      <w:lang w:val="en-US" w:eastAsia="zh-CN"/>
                    </w:rPr>
                    <w:t>西南面200</w:t>
                  </w:r>
                  <w:r>
                    <w:rPr>
                      <w:rFonts w:hint="eastAsia" w:ascii="Times New Roman" w:hAnsi="Times New Roman"/>
                      <w:color w:val="auto"/>
                      <w:u w:val="none" w:color="auto"/>
                    </w:rPr>
                    <w:t>m</w:t>
                  </w:r>
                  <w:r>
                    <w:rPr>
                      <w:rFonts w:hint="eastAsia"/>
                      <w:color w:val="auto"/>
                      <w:u w:val="none" w:color="auto"/>
                      <w:lang w:val="en-US" w:eastAsia="zh-CN"/>
                    </w:rPr>
                    <w:t>处</w:t>
                  </w:r>
                </w:p>
              </w:tc>
            </w:tr>
          </w:tbl>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ascii="Times New Roman" w:hAnsi="Times New Roman"/>
                <w:color w:val="auto"/>
                <w:sz w:val="24"/>
                <w:u w:val="none" w:color="auto"/>
              </w:rPr>
            </w:pPr>
            <w:r>
              <w:rPr>
                <w:rFonts w:hint="eastAsia"/>
                <w:color w:val="auto"/>
                <w:sz w:val="24"/>
                <w:u w:val="none" w:color="auto"/>
                <w:lang w:val="en-US" w:eastAsia="zh-CN"/>
              </w:rPr>
              <w:t>②</w:t>
            </w:r>
            <w:r>
              <w:rPr>
                <w:rFonts w:ascii="Times New Roman" w:hAnsi="Times New Roman"/>
                <w:color w:val="auto"/>
                <w:sz w:val="24"/>
                <w:u w:val="none" w:color="auto"/>
              </w:rPr>
              <w:t>监测时间和频次</w:t>
            </w:r>
          </w:p>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ascii="Times New Roman" w:hAnsi="Times New Roman"/>
                <w:color w:val="auto"/>
                <w:sz w:val="24"/>
                <w:u w:val="none" w:color="auto"/>
              </w:rPr>
            </w:pPr>
            <w:r>
              <w:rPr>
                <w:rFonts w:ascii="Times New Roman" w:hAnsi="Times New Roman"/>
                <w:color w:val="auto"/>
                <w:sz w:val="24"/>
                <w:szCs w:val="28"/>
                <w:u w:val="none" w:color="auto"/>
              </w:rPr>
              <w:t>根据本项目气型污染物的特征，监测因子</w:t>
            </w:r>
            <w:r>
              <w:rPr>
                <w:rFonts w:hint="eastAsia" w:ascii="Times New Roman" w:hAnsi="Times New Roman"/>
                <w:color w:val="auto"/>
                <w:sz w:val="24"/>
                <w:szCs w:val="28"/>
                <w:u w:val="none" w:color="auto"/>
                <w:lang w:val="en-US" w:eastAsia="zh-CN"/>
              </w:rPr>
              <w:t>TVOC</w:t>
            </w:r>
            <w:r>
              <w:rPr>
                <w:rFonts w:ascii="Times New Roman" w:hAnsi="Times New Roman"/>
                <w:color w:val="auto"/>
                <w:sz w:val="24"/>
                <w:u w:val="none" w:color="auto"/>
              </w:rPr>
              <w:t>，连续监测</w:t>
            </w:r>
            <w:r>
              <w:rPr>
                <w:rFonts w:hint="eastAsia" w:ascii="Times New Roman" w:hAnsi="Times New Roman"/>
                <w:color w:val="auto"/>
                <w:sz w:val="24"/>
                <w:u w:val="none" w:color="auto"/>
                <w:lang w:val="en-US" w:eastAsia="zh-CN"/>
              </w:rPr>
              <w:t>7</w:t>
            </w:r>
            <w:r>
              <w:rPr>
                <w:rFonts w:ascii="Times New Roman" w:hAnsi="Times New Roman"/>
                <w:color w:val="auto"/>
                <w:sz w:val="24"/>
                <w:u w:val="none" w:color="auto"/>
              </w:rPr>
              <w:t>天。</w:t>
            </w:r>
          </w:p>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ascii="Times New Roman" w:hAnsi="Times New Roman"/>
                <w:color w:val="auto"/>
                <w:sz w:val="24"/>
                <w:u w:val="none" w:color="auto"/>
              </w:rPr>
            </w:pPr>
            <w:r>
              <w:rPr>
                <w:rFonts w:hint="eastAsia"/>
                <w:color w:val="auto"/>
                <w:sz w:val="24"/>
                <w:u w:val="none" w:color="auto"/>
                <w:lang w:val="en-US" w:eastAsia="zh-CN"/>
              </w:rPr>
              <w:t>③</w:t>
            </w:r>
            <w:r>
              <w:rPr>
                <w:rFonts w:ascii="Times New Roman" w:hAnsi="Times New Roman"/>
                <w:color w:val="auto"/>
                <w:sz w:val="24"/>
                <w:u w:val="none" w:color="auto"/>
              </w:rPr>
              <w:t>评价标准</w:t>
            </w:r>
          </w:p>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ascii="Times New Roman" w:hAnsi="Times New Roman"/>
                <w:color w:val="auto"/>
                <w:sz w:val="24"/>
                <w:u w:val="none" w:color="auto"/>
              </w:rPr>
            </w:pPr>
            <w:r>
              <w:rPr>
                <w:rFonts w:hint="eastAsia" w:ascii="Times New Roman" w:hAnsi="Times New Roman"/>
                <w:color w:val="auto"/>
                <w:sz w:val="24"/>
                <w:u w:val="none" w:color="auto"/>
                <w:lang w:val="en-US" w:eastAsia="zh-CN"/>
              </w:rPr>
              <w:t>TVOC</w:t>
            </w:r>
            <w:r>
              <w:rPr>
                <w:rFonts w:ascii="Times New Roman" w:hAnsi="Times New Roman"/>
                <w:color w:val="auto"/>
                <w:sz w:val="24"/>
                <w:u w:val="none" w:color="auto"/>
              </w:rPr>
              <w:t>执行</w:t>
            </w:r>
            <w:r>
              <w:rPr>
                <w:rFonts w:hint="eastAsia" w:ascii="Times New Roman" w:hAnsi="Times New Roman"/>
                <w:color w:val="auto"/>
                <w:sz w:val="24"/>
                <w:u w:val="none" w:color="auto"/>
              </w:rPr>
              <w:t>《环境影响评价技术导则 大气环境》（HJ2.2-2018）附录D其他污染物空气质量浓度参考限值中的1小时浓度值</w:t>
            </w:r>
            <w:r>
              <w:rPr>
                <w:rFonts w:ascii="Times New Roman" w:hAnsi="Times New Roman"/>
                <w:color w:val="auto"/>
                <w:sz w:val="24"/>
                <w:u w:val="none" w:color="auto"/>
              </w:rPr>
              <w:t>。其标准值详见表3-</w:t>
            </w:r>
            <w:r>
              <w:rPr>
                <w:rFonts w:hint="eastAsia" w:ascii="Times New Roman" w:hAnsi="Times New Roman"/>
                <w:color w:val="auto"/>
                <w:sz w:val="24"/>
                <w:u w:val="none" w:color="auto"/>
                <w:lang w:val="en-US" w:eastAsia="zh-CN"/>
              </w:rPr>
              <w:t>3</w:t>
            </w:r>
            <w:r>
              <w:rPr>
                <w:rFonts w:ascii="Times New Roman" w:hAnsi="Times New Roman"/>
                <w:color w:val="auto"/>
                <w:sz w:val="24"/>
                <w:u w:val="none" w:color="auto"/>
              </w:rPr>
              <w:t>。</w:t>
            </w:r>
          </w:p>
          <w:p>
            <w:pPr>
              <w:pStyle w:val="63"/>
              <w:keepNext w:val="0"/>
              <w:keepLines w:val="0"/>
              <w:pageBreakBefore w:val="0"/>
              <w:kinsoku/>
              <w:wordWrap/>
              <w:overflowPunct/>
              <w:topLinePunct w:val="0"/>
              <w:bidi w:val="0"/>
              <w:spacing w:beforeLines="0" w:beforeAutospacing="0" w:afterLines="0" w:afterAutospacing="0" w:line="360" w:lineRule="auto"/>
              <w:ind w:left="0" w:leftChars="0"/>
              <w:rPr>
                <w:color w:val="auto"/>
                <w:u w:val="none" w:color="auto"/>
              </w:rPr>
            </w:pPr>
            <w:r>
              <w:rPr>
                <w:color w:val="auto"/>
                <w:u w:val="none" w:color="auto"/>
              </w:rPr>
              <w:t>表3-</w:t>
            </w:r>
            <w:r>
              <w:rPr>
                <w:rFonts w:hint="eastAsia"/>
                <w:color w:val="auto"/>
                <w:u w:val="none" w:color="auto"/>
                <w:lang w:val="en-US" w:eastAsia="zh-CN"/>
              </w:rPr>
              <w:t>3</w:t>
            </w:r>
            <w:r>
              <w:rPr>
                <w:color w:val="auto"/>
                <w:u w:val="none" w:color="auto"/>
              </w:rPr>
              <w:t xml:space="preserve">  环境空气质量二级标准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58"/>
              <w:gridCol w:w="1347"/>
              <w:gridCol w:w="1965"/>
              <w:gridCol w:w="32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3" w:hRule="atLeast"/>
                <w:jc w:val="center"/>
              </w:trPr>
              <w:tc>
                <w:tcPr>
                  <w:tcW w:w="1358"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firstLine="0" w:firstLineChars="0"/>
                    <w:jc w:val="both"/>
                    <w:rPr>
                      <w:rFonts w:ascii="Times New Roman" w:hAnsi="Times New Roman"/>
                      <w:b/>
                      <w:color w:val="auto"/>
                      <w:kern w:val="0"/>
                      <w:u w:val="none" w:color="auto"/>
                    </w:rPr>
                  </w:pPr>
                  <w:r>
                    <w:rPr>
                      <w:rFonts w:ascii="Times New Roman" w:hAnsi="Times New Roman"/>
                      <w:b/>
                      <w:color w:val="auto"/>
                      <w:kern w:val="0"/>
                      <w:u w:val="none" w:color="auto"/>
                    </w:rPr>
                    <w:t>污染物名称</w:t>
                  </w:r>
                </w:p>
              </w:tc>
              <w:tc>
                <w:tcPr>
                  <w:tcW w:w="1347"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ascii="Times New Roman" w:hAnsi="Times New Roman"/>
                      <w:b/>
                      <w:color w:val="auto"/>
                      <w:kern w:val="0"/>
                      <w:u w:val="none" w:color="auto"/>
                    </w:rPr>
                  </w:pPr>
                  <w:r>
                    <w:rPr>
                      <w:rFonts w:ascii="Times New Roman" w:hAnsi="Times New Roman"/>
                      <w:b/>
                      <w:color w:val="auto"/>
                      <w:kern w:val="0"/>
                      <w:u w:val="none" w:color="auto"/>
                    </w:rPr>
                    <w:t>取值时间</w:t>
                  </w:r>
                </w:p>
              </w:tc>
              <w:tc>
                <w:tcPr>
                  <w:tcW w:w="1965"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firstLine="0" w:firstLineChars="0"/>
                    <w:jc w:val="both"/>
                    <w:rPr>
                      <w:rFonts w:ascii="Times New Roman" w:hAnsi="Times New Roman"/>
                      <w:b/>
                      <w:color w:val="auto"/>
                      <w:kern w:val="0"/>
                      <w:u w:val="none" w:color="auto"/>
                    </w:rPr>
                  </w:pPr>
                  <w:r>
                    <w:rPr>
                      <w:rFonts w:ascii="Times New Roman" w:hAnsi="Times New Roman"/>
                      <w:b/>
                      <w:color w:val="auto"/>
                      <w:kern w:val="0"/>
                      <w:u w:val="none" w:color="auto"/>
                    </w:rPr>
                    <w:t>浓度限值（mg/m</w:t>
                  </w:r>
                  <w:r>
                    <w:rPr>
                      <w:rFonts w:ascii="Times New Roman" w:hAnsi="Times New Roman"/>
                      <w:b/>
                      <w:color w:val="auto"/>
                      <w:kern w:val="0"/>
                      <w:u w:val="none" w:color="auto"/>
                      <w:vertAlign w:val="superscript"/>
                    </w:rPr>
                    <w:t>3</w:t>
                  </w:r>
                  <w:r>
                    <w:rPr>
                      <w:rFonts w:ascii="Times New Roman" w:hAnsi="Times New Roman"/>
                      <w:b/>
                      <w:color w:val="auto"/>
                      <w:kern w:val="0"/>
                      <w:u w:val="none" w:color="auto"/>
                    </w:rPr>
                    <w:t>）</w:t>
                  </w:r>
                </w:p>
              </w:tc>
              <w:tc>
                <w:tcPr>
                  <w:tcW w:w="3208"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ascii="Times New Roman" w:hAnsi="Times New Roman"/>
                      <w:b/>
                      <w:color w:val="auto"/>
                      <w:kern w:val="0"/>
                      <w:u w:val="none" w:color="auto"/>
                    </w:rPr>
                  </w:pPr>
                  <w:r>
                    <w:rPr>
                      <w:rFonts w:ascii="Times New Roman" w:hAnsi="Times New Roman"/>
                      <w:b/>
                      <w:color w:val="auto"/>
                      <w:kern w:val="0"/>
                      <w:u w:val="none" w:color="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58"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hint="default" w:ascii="Times New Roman" w:hAnsi="Times New Roman" w:eastAsia="宋体" w:cs="Times New Roman"/>
                      <w:color w:val="auto"/>
                      <w:kern w:val="0"/>
                      <w:u w:val="none" w:color="auto"/>
                      <w:lang w:val="en-US" w:eastAsia="zh-CN"/>
                    </w:rPr>
                  </w:pPr>
                  <w:r>
                    <w:rPr>
                      <w:rFonts w:hint="default" w:ascii="Times New Roman" w:hAnsi="Times New Roman" w:eastAsia="宋体" w:cs="Times New Roman"/>
                      <w:color w:val="auto"/>
                      <w:kern w:val="0"/>
                      <w:u w:val="none" w:color="auto"/>
                      <w:lang w:val="en-US" w:eastAsia="zh-CN"/>
                    </w:rPr>
                    <w:t>TVOC</w:t>
                  </w:r>
                </w:p>
              </w:tc>
              <w:tc>
                <w:tcPr>
                  <w:tcW w:w="1347"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hint="default" w:ascii="Times New Roman" w:hAnsi="Times New Roman" w:eastAsia="宋体" w:cs="Times New Roman"/>
                      <w:color w:val="auto"/>
                      <w:kern w:val="0"/>
                      <w:u w:val="none" w:color="auto"/>
                    </w:rPr>
                  </w:pPr>
                  <w:r>
                    <w:rPr>
                      <w:rFonts w:hint="default" w:ascii="Times New Roman" w:hAnsi="Times New Roman" w:eastAsia="宋体" w:cs="Times New Roman"/>
                      <w:color w:val="auto"/>
                      <w:szCs w:val="21"/>
                      <w:u w:val="none" w:color="auto"/>
                    </w:rPr>
                    <w:t>小时</w:t>
                  </w:r>
                  <w:r>
                    <w:rPr>
                      <w:rFonts w:hint="default" w:ascii="Times New Roman" w:hAnsi="Times New Roman" w:eastAsia="宋体" w:cs="Times New Roman"/>
                      <w:color w:val="auto"/>
                      <w:kern w:val="0"/>
                      <w:u w:val="none" w:color="auto"/>
                    </w:rPr>
                    <w:t>值</w:t>
                  </w:r>
                </w:p>
              </w:tc>
              <w:tc>
                <w:tcPr>
                  <w:tcW w:w="1965"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hint="default" w:ascii="Times New Roman" w:hAnsi="Times New Roman" w:eastAsia="宋体" w:cs="Times New Roman"/>
                      <w:color w:val="auto"/>
                      <w:kern w:val="0"/>
                      <w:u w:val="none" w:color="auto"/>
                      <w:lang w:val="en-US" w:eastAsia="zh-CN"/>
                    </w:rPr>
                  </w:pPr>
                  <w:r>
                    <w:rPr>
                      <w:rFonts w:hint="default" w:ascii="Times New Roman" w:hAnsi="Times New Roman" w:eastAsia="宋体" w:cs="Times New Roman"/>
                      <w:color w:val="auto"/>
                      <w:kern w:val="0"/>
                      <w:u w:val="none" w:color="auto"/>
                      <w:lang w:val="en-US" w:eastAsia="zh-CN"/>
                    </w:rPr>
                    <w:t>1.2</w:t>
                  </w:r>
                </w:p>
              </w:tc>
              <w:tc>
                <w:tcPr>
                  <w:tcW w:w="3208" w:type="dxa"/>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rPr>
                      <w:rFonts w:hint="default" w:ascii="Times New Roman" w:hAnsi="Times New Roman" w:eastAsia="宋体" w:cs="Times New Roman"/>
                      <w:color w:val="auto"/>
                      <w:kern w:val="0"/>
                      <w:u w:val="none" w:color="auto"/>
                    </w:rPr>
                  </w:pPr>
                  <w:r>
                    <w:rPr>
                      <w:rFonts w:hint="default" w:ascii="Times New Roman" w:hAnsi="Times New Roman" w:eastAsia="宋体" w:cs="Times New Roman"/>
                      <w:color w:val="auto"/>
                      <w:kern w:val="0"/>
                      <w:u w:val="none" w:color="auto"/>
                    </w:rPr>
                    <w:t>《环境影响评价技术导则 大气环境》（HJ2.2-2018）附录D</w:t>
                  </w:r>
                </w:p>
              </w:tc>
            </w:tr>
          </w:tbl>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color w:val="auto"/>
                <w:sz w:val="24"/>
                <w:u w:val="none" w:color="auto"/>
              </w:rPr>
            </w:pPr>
            <w:r>
              <w:rPr>
                <w:rFonts w:hint="eastAsia" w:cs="Times New Roman"/>
                <w:color w:val="auto"/>
                <w:sz w:val="24"/>
                <w:u w:val="none" w:color="auto"/>
                <w:lang w:val="en-US" w:eastAsia="zh-CN"/>
              </w:rPr>
              <w:t>④</w:t>
            </w:r>
            <w:r>
              <w:rPr>
                <w:rFonts w:hint="default" w:ascii="Times New Roman" w:hAnsi="Times New Roman" w:eastAsia="宋体" w:cs="Times New Roman"/>
                <w:color w:val="auto"/>
                <w:sz w:val="24"/>
                <w:u w:val="none" w:color="auto"/>
              </w:rPr>
              <w:t>根据现场采样监测结果</w:t>
            </w:r>
          </w:p>
          <w:p>
            <w:pPr>
              <w:pStyle w:val="63"/>
              <w:keepNext w:val="0"/>
              <w:keepLines w:val="0"/>
              <w:pageBreakBefore w:val="0"/>
              <w:kinsoku/>
              <w:wordWrap/>
              <w:overflowPunct/>
              <w:topLinePunct w:val="0"/>
              <w:bidi w:val="0"/>
              <w:spacing w:beforeLines="0" w:beforeAutospacing="0" w:afterLines="0" w:afterAutospacing="0" w:line="360" w:lineRule="auto"/>
              <w:ind w:left="0" w:leftChars="0" w:firstLine="422"/>
              <w:rPr>
                <w:rFonts w:hint="default" w:ascii="Times New Roman" w:hAnsi="Times New Roman" w:eastAsia="宋体" w:cs="Times New Roman"/>
                <w:color w:val="auto"/>
                <w:highlight w:val="yellow"/>
                <w:u w:val="none" w:color="auto"/>
              </w:rPr>
            </w:pPr>
            <w:r>
              <w:rPr>
                <w:rFonts w:hint="default" w:ascii="Times New Roman" w:hAnsi="Times New Roman" w:eastAsia="宋体" w:cs="Times New Roman"/>
                <w:color w:val="auto"/>
                <w:u w:val="none" w:color="auto"/>
              </w:rPr>
              <w:t>表3-</w:t>
            </w:r>
            <w:r>
              <w:rPr>
                <w:rFonts w:hint="eastAsia" w:ascii="Times New Roman" w:hAnsi="Times New Roman" w:cs="Times New Roman"/>
                <w:color w:val="auto"/>
                <w:u w:val="none" w:color="auto"/>
                <w:lang w:val="en-US" w:eastAsia="zh-CN"/>
              </w:rPr>
              <w:t>4</w:t>
            </w:r>
            <w:r>
              <w:rPr>
                <w:rFonts w:hint="default" w:ascii="Times New Roman" w:hAnsi="Times New Roman" w:eastAsia="宋体" w:cs="Times New Roman"/>
                <w:color w:val="auto"/>
                <w:u w:val="none" w:color="auto"/>
              </w:rPr>
              <w:t xml:space="preserve">  大气环境监测评价结果统计表         单位μg/m</w:t>
            </w:r>
            <w:r>
              <w:rPr>
                <w:rFonts w:hint="default" w:ascii="Times New Roman" w:hAnsi="Times New Roman" w:eastAsia="宋体" w:cs="Times New Roman"/>
                <w:color w:val="auto"/>
                <w:u w:val="none" w:color="auto"/>
                <w:vertAlign w:val="superscript"/>
              </w:rPr>
              <w:t>3</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255"/>
              <w:gridCol w:w="2431"/>
              <w:gridCol w:w="145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blHeader/>
                <w:jc w:val="center"/>
              </w:trPr>
              <w:tc>
                <w:tcPr>
                  <w:tcW w:w="148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bCs/>
                      <w:color w:val="auto"/>
                      <w:kern w:val="0"/>
                      <w:szCs w:val="21"/>
                      <w:u w:val="none" w:color="auto"/>
                    </w:rPr>
                  </w:pPr>
                  <w:r>
                    <w:rPr>
                      <w:rFonts w:hint="default" w:ascii="Times New Roman" w:hAnsi="Times New Roman" w:eastAsia="宋体" w:cs="Times New Roman"/>
                      <w:b/>
                      <w:bCs/>
                      <w:color w:val="auto"/>
                      <w:kern w:val="0"/>
                      <w:szCs w:val="21"/>
                      <w:u w:val="none" w:color="auto"/>
                    </w:rPr>
                    <w:t>项目</w:t>
                  </w:r>
                </w:p>
              </w:tc>
              <w:tc>
                <w:tcPr>
                  <w:tcW w:w="1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bCs/>
                      <w:color w:val="auto"/>
                      <w:kern w:val="0"/>
                      <w:szCs w:val="21"/>
                      <w:u w:val="none" w:color="auto"/>
                    </w:rPr>
                  </w:pPr>
                  <w:r>
                    <w:rPr>
                      <w:rFonts w:hint="default" w:ascii="Times New Roman" w:hAnsi="Times New Roman" w:eastAsia="宋体" w:cs="Times New Roman"/>
                      <w:b/>
                      <w:bCs/>
                      <w:color w:val="auto"/>
                      <w:kern w:val="0"/>
                      <w:szCs w:val="21"/>
                      <w:u w:val="none" w:color="auto"/>
                    </w:rPr>
                    <w:t>指标</w:t>
                  </w:r>
                </w:p>
              </w:tc>
              <w:tc>
                <w:tcPr>
                  <w:tcW w:w="9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bCs/>
                      <w:color w:val="auto"/>
                      <w:kern w:val="0"/>
                      <w:szCs w:val="21"/>
                      <w:u w:val="none" w:color="auto"/>
                    </w:rPr>
                  </w:pPr>
                  <w:r>
                    <w:rPr>
                      <w:rFonts w:hint="default" w:ascii="Times New Roman" w:hAnsi="Times New Roman" w:eastAsia="宋体" w:cs="Times New Roman"/>
                      <w:b/>
                      <w:bCs/>
                      <w:color w:val="auto"/>
                      <w:kern w:val="0"/>
                      <w:szCs w:val="21"/>
                      <w:u w:val="none" w:color="auto"/>
                    </w:rPr>
                    <w:t>G1</w:t>
                  </w:r>
                </w:p>
              </w:tc>
              <w:tc>
                <w:tcPr>
                  <w:tcW w:w="10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bCs/>
                      <w:color w:val="auto"/>
                      <w:kern w:val="0"/>
                      <w:szCs w:val="21"/>
                      <w:u w:val="none" w:color="auto"/>
                    </w:rPr>
                  </w:pPr>
                  <w:r>
                    <w:rPr>
                      <w:rFonts w:hint="default" w:ascii="Times New Roman" w:hAnsi="Times New Roman" w:eastAsia="宋体" w:cs="Times New Roman"/>
                      <w:b/>
                      <w:bCs/>
                      <w:color w:val="auto"/>
                      <w:kern w:val="0"/>
                      <w:szCs w:val="21"/>
                      <w:u w:val="none" w:color="auto"/>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pct"/>
                  <w:vMerge w:val="restart"/>
                  <w:tcBorders>
                    <w:tl2br w:val="nil"/>
                    <w:tr2bl w:val="nil"/>
                  </w:tcBorders>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firstLine="0" w:firstLineChars="0"/>
                    <w:rPr>
                      <w:rFonts w:hint="default" w:ascii="Times New Roman" w:hAnsi="Times New Roman" w:eastAsia="宋体" w:cs="Times New Roman"/>
                      <w:color w:val="auto"/>
                      <w:kern w:val="0"/>
                      <w:szCs w:val="21"/>
                      <w:u w:val="none" w:color="auto"/>
                      <w:lang w:val="en-US" w:eastAsia="zh-CN"/>
                    </w:rPr>
                  </w:pPr>
                  <w:r>
                    <w:rPr>
                      <w:rFonts w:hint="eastAsia" w:ascii="Times New Roman" w:hAnsi="Times New Roman" w:eastAsia="宋体"/>
                      <w:color w:val="auto"/>
                      <w:kern w:val="0"/>
                      <w:u w:val="none" w:color="auto"/>
                      <w:lang w:val="en-US" w:eastAsia="zh-CN"/>
                    </w:rPr>
                    <w:t>TVOC</w:t>
                  </w:r>
                </w:p>
              </w:tc>
              <w:tc>
                <w:tcPr>
                  <w:tcW w:w="793" w:type="pct"/>
                  <w:vMerge w:val="restart"/>
                  <w:tcBorders>
                    <w:tl2br w:val="nil"/>
                    <w:tr2bl w:val="nil"/>
                  </w:tcBorders>
                  <w:noWrap w:val="0"/>
                  <w:vAlign w:val="center"/>
                </w:tcPr>
                <w:p>
                  <w:pPr>
                    <w:pStyle w:val="49"/>
                    <w:keepNext w:val="0"/>
                    <w:keepLines w:val="0"/>
                    <w:pageBreakBefore w:val="0"/>
                    <w:kinsoku/>
                    <w:wordWrap/>
                    <w:overflowPunct/>
                    <w:topLinePunct w:val="0"/>
                    <w:bidi w:val="0"/>
                    <w:adjustRightInd/>
                    <w:snapToGrid/>
                    <w:spacing w:before="0" w:beforeAutospacing="0" w:after="0" w:afterAutospacing="0" w:line="360" w:lineRule="auto"/>
                    <w:ind w:left="0" w:leftChars="0" w:firstLine="0" w:firstLineChars="0"/>
                    <w:rPr>
                      <w:rFonts w:hint="default" w:ascii="Times New Roman" w:hAnsi="Times New Roman" w:eastAsia="宋体" w:cs="Times New Roman"/>
                      <w:color w:val="auto"/>
                      <w:kern w:val="0"/>
                      <w:szCs w:val="21"/>
                      <w:u w:val="none" w:color="auto"/>
                    </w:rPr>
                  </w:pPr>
                  <w:r>
                    <w:rPr>
                      <w:rFonts w:ascii="Times New Roman" w:hAnsi="Times New Roman"/>
                      <w:color w:val="auto"/>
                      <w:szCs w:val="21"/>
                      <w:u w:val="none" w:color="auto"/>
                    </w:rPr>
                    <w:t>小时</w:t>
                  </w:r>
                  <w:r>
                    <w:rPr>
                      <w:rFonts w:ascii="Times New Roman" w:hAnsi="Times New Roman"/>
                      <w:color w:val="auto"/>
                      <w:kern w:val="0"/>
                      <w:u w:val="none" w:color="auto"/>
                    </w:rPr>
                    <w:t>值</w:t>
                  </w:r>
                </w:p>
              </w:tc>
              <w:tc>
                <w:tcPr>
                  <w:tcW w:w="1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浓度范围（μg/m</w:t>
                  </w:r>
                  <w:r>
                    <w:rPr>
                      <w:rFonts w:hint="default" w:ascii="Times New Roman" w:hAnsi="Times New Roman" w:eastAsia="宋体" w:cs="Times New Roman"/>
                      <w:color w:val="auto"/>
                      <w:kern w:val="0"/>
                      <w:szCs w:val="21"/>
                      <w:u w:val="none" w:color="auto"/>
                      <w:vertAlign w:val="superscript"/>
                    </w:rPr>
                    <w:t>3</w:t>
                  </w:r>
                  <w:r>
                    <w:rPr>
                      <w:rFonts w:hint="default" w:ascii="Times New Roman" w:hAnsi="Times New Roman" w:eastAsia="宋体" w:cs="Times New Roman"/>
                      <w:color w:val="auto"/>
                      <w:kern w:val="0"/>
                      <w:szCs w:val="21"/>
                      <w:u w:val="none" w:color="auto"/>
                    </w:rPr>
                    <w:t>）</w:t>
                  </w:r>
                </w:p>
              </w:tc>
              <w:tc>
                <w:tcPr>
                  <w:tcW w:w="9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kern w:val="0"/>
                      <w:szCs w:val="21"/>
                      <w:u w:val="none" w:color="auto"/>
                      <w:lang w:val="en-US" w:eastAsia="zh-CN"/>
                    </w:rPr>
                    <w:t>7.1~12.7</w:t>
                  </w:r>
                </w:p>
              </w:tc>
              <w:tc>
                <w:tcPr>
                  <w:tcW w:w="105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r>
                    <w:rPr>
                      <w:rFonts w:hint="eastAsia" w:ascii="Times New Roman" w:hAnsi="Times New Roman" w:eastAsia="宋体" w:cs="Times New Roman"/>
                      <w:color w:val="auto"/>
                      <w:kern w:val="0"/>
                      <w:szCs w:val="21"/>
                      <w:u w:val="none" w:color="auto"/>
                      <w:lang w:val="en-US" w:eastAsia="zh-CN"/>
                    </w:rPr>
                    <w:t>1200</w:t>
                  </w:r>
                  <w:r>
                    <w:rPr>
                      <w:rFonts w:hint="default" w:ascii="Times New Roman" w:hAnsi="Times New Roman" w:eastAsia="宋体" w:cs="Times New Roman"/>
                      <w:color w:val="auto"/>
                      <w:kern w:val="0"/>
                      <w:szCs w:val="21"/>
                      <w:u w:val="none" w:color="auto"/>
                    </w:rPr>
                    <w:t>μg/m</w:t>
                  </w:r>
                  <w:r>
                    <w:rPr>
                      <w:rFonts w:hint="default" w:ascii="Times New Roman" w:hAnsi="Times New Roman" w:eastAsia="宋体" w:cs="Times New Roman"/>
                      <w:color w:val="auto"/>
                      <w:kern w:val="0"/>
                      <w:szCs w:val="21"/>
                      <w:u w:val="none" w:color="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7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1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超标率（%）</w:t>
                  </w:r>
                </w:p>
              </w:tc>
              <w:tc>
                <w:tcPr>
                  <w:tcW w:w="9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0</w:t>
                  </w:r>
                </w:p>
              </w:tc>
              <w:tc>
                <w:tcPr>
                  <w:tcW w:w="10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7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1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最大值占标（%）</w:t>
                  </w:r>
                </w:p>
              </w:tc>
              <w:tc>
                <w:tcPr>
                  <w:tcW w:w="9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0</w:t>
                  </w:r>
                </w:p>
              </w:tc>
              <w:tc>
                <w:tcPr>
                  <w:tcW w:w="10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79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c>
                <w:tcPr>
                  <w:tcW w:w="15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r>
                    <w:rPr>
                      <w:rFonts w:hint="default" w:ascii="Times New Roman" w:hAnsi="Times New Roman" w:eastAsia="宋体" w:cs="Times New Roman"/>
                      <w:color w:val="auto"/>
                      <w:kern w:val="0"/>
                      <w:szCs w:val="21"/>
                      <w:u w:val="none" w:color="auto"/>
                    </w:rPr>
                    <w:t>最大超标倍数</w:t>
                  </w:r>
                </w:p>
              </w:tc>
              <w:tc>
                <w:tcPr>
                  <w:tcW w:w="9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szCs w:val="21"/>
                      <w:u w:val="none" w:color="auto"/>
                    </w:rPr>
                  </w:pPr>
                  <w:r>
                    <w:rPr>
                      <w:rFonts w:hint="default" w:ascii="Times New Roman" w:hAnsi="Times New Roman" w:eastAsia="宋体" w:cs="Times New Roman"/>
                      <w:color w:val="auto"/>
                      <w:szCs w:val="21"/>
                      <w:u w:val="none" w:color="auto"/>
                    </w:rPr>
                    <w:t>0</w:t>
                  </w:r>
                </w:p>
              </w:tc>
              <w:tc>
                <w:tcPr>
                  <w:tcW w:w="10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color w:val="auto"/>
                      <w:kern w:val="0"/>
                      <w:szCs w:val="21"/>
                      <w:u w:val="none" w:color="auto"/>
                    </w:rPr>
                  </w:pPr>
                </w:p>
              </w:tc>
            </w:tr>
          </w:tbl>
          <w:p>
            <w:pPr>
              <w:keepNext w:val="0"/>
              <w:keepLines w:val="0"/>
              <w:pageBreakBefore w:val="0"/>
              <w:tabs>
                <w:tab w:val="left" w:pos="1021"/>
              </w:tabs>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color w:val="auto"/>
                <w:sz w:val="24"/>
                <w:szCs w:val="28"/>
                <w:u w:val="none" w:color="auto"/>
              </w:rPr>
            </w:pPr>
            <w:r>
              <w:rPr>
                <w:rFonts w:hint="default" w:ascii="Times New Roman" w:hAnsi="Times New Roman" w:eastAsia="宋体" w:cs="Times New Roman"/>
                <w:color w:val="auto"/>
                <w:sz w:val="24"/>
                <w:szCs w:val="28"/>
                <w:u w:val="none" w:color="auto"/>
              </w:rPr>
              <w:t>从上表分析可知项目所在地大气环境因子</w:t>
            </w:r>
            <w:r>
              <w:rPr>
                <w:rFonts w:hint="eastAsia" w:ascii="Times New Roman" w:hAnsi="Times New Roman" w:eastAsia="宋体" w:cs="Times New Roman"/>
                <w:color w:val="auto"/>
                <w:sz w:val="24"/>
                <w:szCs w:val="28"/>
                <w:u w:val="none" w:color="auto"/>
                <w:lang w:val="en-US" w:eastAsia="zh-CN"/>
              </w:rPr>
              <w:t>TVOC</w:t>
            </w:r>
            <w:r>
              <w:rPr>
                <w:rFonts w:hint="default" w:ascii="Times New Roman" w:hAnsi="Times New Roman" w:eastAsia="宋体" w:cs="Times New Roman"/>
                <w:color w:val="auto"/>
                <w:sz w:val="24"/>
                <w:szCs w:val="28"/>
                <w:u w:val="none" w:color="auto"/>
              </w:rPr>
              <w:t>的监测值均能满足《环境影响评价技术导则 大气环境》（HJ2.2-2018）附录 D 中其他污染物空气质量浓度参考限值</w:t>
            </w:r>
            <w:r>
              <w:rPr>
                <w:rFonts w:hint="eastAsia" w:ascii="Times New Roman" w:hAnsi="Times New Roman" w:eastAsia="宋体" w:cs="Times New Roman"/>
                <w:color w:val="auto"/>
                <w:sz w:val="24"/>
                <w:szCs w:val="28"/>
                <w:u w:val="none" w:color="auto"/>
                <w:lang w:eastAsia="zh-CN"/>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hint="default" w:ascii="Times New Roman" w:hAnsi="Times New Roman" w:eastAsia="宋体" w:cs="Times New Roman"/>
                <w:color w:val="auto"/>
                <w:spacing w:val="0"/>
                <w:position w:val="0"/>
                <w:sz w:val="24"/>
                <w:szCs w:val="24"/>
                <w:lang w:val="en-US" w:eastAsia="zh-CN"/>
              </w:rPr>
            </w:pPr>
            <w:r>
              <w:rPr>
                <w:rFonts w:hint="eastAsia" w:ascii="宋体" w:hAnsi="宋体" w:cs="宋体"/>
                <w:b/>
                <w:kern w:val="0"/>
                <w:sz w:val="24"/>
              </w:rPr>
              <w:t>2、地表水环境</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（1）断面水质达标情况</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bCs/>
                <w:kern w:val="0"/>
                <w:sz w:val="24"/>
              </w:rPr>
            </w:pPr>
            <w:r>
              <w:rPr>
                <w:rFonts w:hint="eastAsia"/>
                <w:bCs/>
                <w:kern w:val="0"/>
                <w:sz w:val="24"/>
              </w:rPr>
              <w:t>根据湖南省生态环境厅发布的202</w:t>
            </w:r>
            <w:r>
              <w:rPr>
                <w:rFonts w:hint="eastAsia"/>
                <w:bCs/>
                <w:kern w:val="0"/>
                <w:sz w:val="24"/>
                <w:lang w:val="en-US" w:eastAsia="zh-CN"/>
              </w:rPr>
              <w:t>1</w:t>
            </w:r>
            <w:r>
              <w:rPr>
                <w:rFonts w:hint="eastAsia"/>
                <w:bCs/>
                <w:kern w:val="0"/>
                <w:sz w:val="24"/>
              </w:rPr>
              <w:t>年1月-12月份湖南省地表水环境质量月报，</w:t>
            </w:r>
            <w:r>
              <w:rPr>
                <w:rFonts w:hint="default" w:ascii="Times New Roman" w:hAnsi="Times New Roman" w:eastAsia="宋体" w:cs="Times New Roman"/>
                <w:color w:val="auto"/>
                <w:spacing w:val="0"/>
                <w:position w:val="0"/>
                <w:sz w:val="24"/>
                <w:szCs w:val="24"/>
                <w:lang w:val="en-US" w:eastAsia="zh-CN"/>
              </w:rPr>
              <w:t>本项目周边最近的地表水体为西</w:t>
            </w:r>
            <w:r>
              <w:rPr>
                <w:rFonts w:hint="eastAsia" w:ascii="Times New Roman" w:hAnsi="Times New Roman" w:eastAsia="宋体" w:cs="Times New Roman"/>
                <w:color w:val="auto"/>
                <w:spacing w:val="0"/>
                <w:position w:val="0"/>
                <w:sz w:val="24"/>
                <w:szCs w:val="24"/>
                <w:lang w:val="en-US" w:eastAsia="zh-CN"/>
              </w:rPr>
              <w:t>面</w:t>
            </w:r>
            <w:r>
              <w:rPr>
                <w:rFonts w:hint="default" w:ascii="Times New Roman" w:hAnsi="Times New Roman" w:eastAsia="宋体" w:cs="Times New Roman"/>
                <w:color w:val="auto"/>
                <w:spacing w:val="0"/>
                <w:position w:val="0"/>
                <w:sz w:val="24"/>
                <w:szCs w:val="24"/>
                <w:lang w:val="en-US" w:eastAsia="zh-CN"/>
              </w:rPr>
              <w:t>归阳河及南</w:t>
            </w:r>
            <w:r>
              <w:rPr>
                <w:rFonts w:hint="eastAsia" w:ascii="Times New Roman" w:hAnsi="Times New Roman" w:eastAsia="宋体" w:cs="Times New Roman"/>
                <w:color w:val="auto"/>
                <w:spacing w:val="0"/>
                <w:position w:val="0"/>
                <w:sz w:val="24"/>
                <w:szCs w:val="24"/>
                <w:lang w:val="en-US" w:eastAsia="zh-CN"/>
              </w:rPr>
              <w:t>面</w:t>
            </w:r>
            <w:r>
              <w:rPr>
                <w:rFonts w:hint="default" w:ascii="Times New Roman" w:hAnsi="Times New Roman" w:eastAsia="宋体" w:cs="Times New Roman"/>
                <w:color w:val="auto"/>
                <w:spacing w:val="0"/>
                <w:position w:val="0"/>
                <w:sz w:val="24"/>
                <w:szCs w:val="24"/>
                <w:lang w:val="en-US" w:eastAsia="zh-CN"/>
              </w:rPr>
              <w:t>湘江，距离本项目最近的地表水监测断面为状元桥（白河入湘江口）监测断面，据衡阳市生态环境局发布的《关于20</w:t>
            </w:r>
            <w:r>
              <w:rPr>
                <w:rFonts w:hint="eastAsia" w:ascii="Times New Roman" w:hAnsi="Times New Roman" w:eastAsia="宋体" w:cs="Times New Roman"/>
                <w:color w:val="auto"/>
                <w:spacing w:val="0"/>
                <w:position w:val="0"/>
                <w:sz w:val="24"/>
                <w:szCs w:val="24"/>
                <w:lang w:val="en-US" w:eastAsia="zh-CN"/>
              </w:rPr>
              <w:t>21</w:t>
            </w:r>
            <w:r>
              <w:rPr>
                <w:rFonts w:hint="default" w:ascii="Times New Roman" w:hAnsi="Times New Roman" w:eastAsia="宋体" w:cs="Times New Roman"/>
                <w:color w:val="auto"/>
                <w:spacing w:val="0"/>
                <w:position w:val="0"/>
                <w:sz w:val="24"/>
                <w:szCs w:val="24"/>
                <w:lang w:val="en-US" w:eastAsia="zh-CN"/>
              </w:rPr>
              <w:t>年12月及1~12月全市环境质量状况的通报》可知其水质监测情况</w:t>
            </w:r>
            <w:r>
              <w:rPr>
                <w:rFonts w:hint="eastAsia"/>
                <w:bCs/>
                <w:kern w:val="0"/>
                <w:sz w:val="24"/>
              </w:rPr>
              <w:t>见下表。</w:t>
            </w:r>
          </w:p>
          <w:p>
            <w:pPr>
              <w:pStyle w:val="7"/>
              <w:keepNext w:val="0"/>
              <w:keepLines w:val="0"/>
              <w:pageBreakBefore w:val="0"/>
              <w:kinsoku/>
              <w:wordWrap/>
              <w:overflowPunct/>
              <w:topLinePunct w:val="0"/>
              <w:bidi w:val="0"/>
              <w:spacing w:beforeAutospacing="0" w:afterAutospacing="0" w:line="360" w:lineRule="auto"/>
              <w:ind w:left="0" w:leftChars="0"/>
              <w:rPr>
                <w:rFonts w:hint="eastAsia"/>
                <w:sz w:val="21"/>
              </w:rPr>
            </w:pPr>
            <w:r>
              <w:rPr>
                <w:rFonts w:hint="eastAsia"/>
                <w:sz w:val="21"/>
              </w:rPr>
              <w:t>表3</w:t>
            </w:r>
            <w:r>
              <w:rPr>
                <w:sz w:val="21"/>
              </w:rPr>
              <w:t xml:space="preserve">-5  </w:t>
            </w:r>
            <w:r>
              <w:rPr>
                <w:rFonts w:hint="default" w:ascii="Times New Roman" w:hAnsi="Times New Roman" w:cs="Times New Roman"/>
                <w:sz w:val="21"/>
                <w:lang w:val="en-US" w:eastAsia="zh-CN"/>
              </w:rPr>
              <w:t>状元桥（白河入湘江口）监测断面</w:t>
            </w:r>
            <w:r>
              <w:rPr>
                <w:rFonts w:hint="eastAsia" w:ascii="Times New Roman" w:hAnsi="Times New Roman" w:cs="Times New Roman"/>
                <w:sz w:val="21"/>
              </w:rPr>
              <w:t>水质类别统</w:t>
            </w:r>
            <w:r>
              <w:rPr>
                <w:rFonts w:hint="eastAsia"/>
                <w:sz w:val="21"/>
              </w:rPr>
              <w:t>计结果</w:t>
            </w:r>
          </w:p>
          <w:p>
            <w:pPr>
              <w:pStyle w:val="8"/>
              <w:ind w:left="0" w:leftChars="0" w:firstLine="0" w:firstLineChars="0"/>
              <w:jc w:val="center"/>
              <w:rPr>
                <w:rFonts w:hint="eastAsia"/>
                <w:sz w:val="21"/>
              </w:rPr>
            </w:pPr>
            <w:r>
              <w:drawing>
                <wp:inline distT="0" distB="0" distL="114300" distR="114300">
                  <wp:extent cx="4817110" cy="3254375"/>
                  <wp:effectExtent l="0" t="0" r="13970"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4817110" cy="325437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firstLine="480" w:firstLineChars="200"/>
              <w:rPr>
                <w:rFonts w:hint="eastAsia"/>
                <w:bCs/>
                <w:kern w:val="0"/>
                <w:sz w:val="24"/>
              </w:rPr>
            </w:pPr>
            <w:r>
              <w:rPr>
                <w:rFonts w:hint="eastAsia"/>
                <w:bCs/>
                <w:kern w:val="0"/>
                <w:sz w:val="24"/>
              </w:rPr>
              <w:t>根据统计结果，202</w:t>
            </w:r>
            <w:r>
              <w:rPr>
                <w:rFonts w:hint="eastAsia"/>
                <w:bCs/>
                <w:kern w:val="0"/>
                <w:sz w:val="24"/>
                <w:lang w:val="en-US" w:eastAsia="zh-CN"/>
              </w:rPr>
              <w:t>1</w:t>
            </w:r>
            <w:r>
              <w:rPr>
                <w:rFonts w:hint="eastAsia"/>
                <w:bCs/>
                <w:kern w:val="0"/>
                <w:sz w:val="24"/>
              </w:rPr>
              <w:t>年1月-12月，</w:t>
            </w:r>
            <w:r>
              <w:rPr>
                <w:rFonts w:hint="default" w:ascii="Times New Roman" w:hAnsi="Times New Roman" w:eastAsia="宋体" w:cs="Times New Roman"/>
                <w:color w:val="auto"/>
                <w:spacing w:val="0"/>
                <w:position w:val="0"/>
                <w:sz w:val="24"/>
                <w:szCs w:val="24"/>
                <w:lang w:val="en-US" w:eastAsia="zh-CN"/>
              </w:rPr>
              <w:t>状元桥（白河入湘江口）监测</w:t>
            </w:r>
            <w:r>
              <w:rPr>
                <w:rFonts w:hint="eastAsia"/>
                <w:bCs/>
                <w:kern w:val="0"/>
                <w:sz w:val="24"/>
              </w:rPr>
              <w:t>断面水质均满足《地表水环境质量标准》（GB3838-2002）中Ⅲ类标准限值要求</w:t>
            </w:r>
            <w:r>
              <w:rPr>
                <w:rFonts w:hint="default" w:ascii="Times New Roman" w:hAnsi="Times New Roman" w:eastAsia="宋体" w:cs="Times New Roman"/>
                <w:color w:val="auto"/>
                <w:spacing w:val="0"/>
                <w:position w:val="0"/>
                <w:sz w:val="24"/>
                <w:szCs w:val="24"/>
                <w:lang w:val="en-US" w:eastAsia="zh-CN"/>
              </w:rPr>
              <w:t>，项目所在区域地表水环境质量现状较好</w:t>
            </w:r>
            <w:r>
              <w:rPr>
                <w:rFonts w:hint="eastAsia"/>
                <w:bCs/>
                <w:kern w:val="0"/>
                <w:sz w:val="24"/>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ascii="宋体" w:hAnsi="宋体" w:cs="宋体"/>
                <w:b/>
                <w:kern w:val="0"/>
                <w:sz w:val="24"/>
              </w:rPr>
            </w:pPr>
            <w:r>
              <w:rPr>
                <w:rFonts w:ascii="宋体" w:hAnsi="宋体" w:cs="宋体"/>
                <w:b/>
                <w:kern w:val="0"/>
                <w:sz w:val="24"/>
              </w:rPr>
              <w:t>3</w:t>
            </w:r>
            <w:r>
              <w:rPr>
                <w:rFonts w:hint="eastAsia" w:ascii="宋体" w:hAnsi="宋体" w:cs="宋体"/>
                <w:b/>
                <w:kern w:val="0"/>
                <w:sz w:val="24"/>
              </w:rPr>
              <w:t>、</w:t>
            </w:r>
            <w:r>
              <w:rPr>
                <w:rFonts w:hint="eastAsia" w:ascii="宋体" w:hAnsi="宋体" w:cs="宋体"/>
                <w:b/>
                <w:kern w:val="0"/>
                <w:sz w:val="24"/>
                <w:highlight w:val="none"/>
              </w:rPr>
              <w:t>声环境</w:t>
            </w:r>
          </w:p>
          <w:p>
            <w:pPr>
              <w:keepNext w:val="0"/>
              <w:keepLines w:val="0"/>
              <w:pageBreakBefore w:val="0"/>
              <w:kinsoku/>
              <w:wordWrap/>
              <w:overflowPunct/>
              <w:topLinePunct w:val="0"/>
              <w:bidi w:val="0"/>
              <w:spacing w:beforeAutospacing="0" w:afterAutospacing="0" w:line="360" w:lineRule="auto"/>
              <w:ind w:left="0" w:leftChars="0" w:firstLine="480" w:firstLineChars="200"/>
              <w:rPr>
                <w:sz w:val="24"/>
              </w:rPr>
            </w:pPr>
            <w:r>
              <w:rPr>
                <w:rFonts w:ascii="宋体" w:hAnsi="宋体"/>
                <w:sz w:val="24"/>
              </w:rPr>
              <w:t>为了解评价区域内的声环境质量现状，湖南</w:t>
            </w:r>
            <w:r>
              <w:rPr>
                <w:rFonts w:hint="eastAsia" w:ascii="宋体" w:hAnsi="宋体"/>
                <w:sz w:val="24"/>
                <w:lang w:val="en-US" w:eastAsia="zh-CN"/>
              </w:rPr>
              <w:t>永蓝检测技术股份</w:t>
            </w:r>
            <w:r>
              <w:rPr>
                <w:rFonts w:ascii="宋体" w:hAnsi="宋体"/>
                <w:sz w:val="24"/>
              </w:rPr>
              <w:t>有限公司对本项目场区东、南、西、北四个厂界进行噪声实测。</w:t>
            </w:r>
          </w:p>
          <w:p>
            <w:pPr>
              <w:keepNext w:val="0"/>
              <w:keepLines w:val="0"/>
              <w:pageBreakBefore w:val="0"/>
              <w:kinsoku/>
              <w:wordWrap/>
              <w:overflowPunct/>
              <w:topLinePunct w:val="0"/>
              <w:bidi w:val="0"/>
              <w:spacing w:beforeAutospacing="0" w:afterAutospacing="0" w:line="360" w:lineRule="auto"/>
              <w:ind w:left="0" w:leftChars="0" w:firstLine="480" w:firstLineChars="200"/>
              <w:rPr>
                <w:sz w:val="24"/>
              </w:rPr>
            </w:pPr>
            <w:r>
              <w:rPr>
                <w:rFonts w:ascii="宋体" w:hAnsi="宋体"/>
                <w:sz w:val="24"/>
              </w:rPr>
              <w:t>（</w:t>
            </w:r>
            <w:r>
              <w:rPr>
                <w:sz w:val="24"/>
              </w:rPr>
              <w:t>1</w:t>
            </w:r>
            <w:r>
              <w:rPr>
                <w:rFonts w:ascii="宋体" w:hAnsi="宋体"/>
                <w:sz w:val="24"/>
              </w:rPr>
              <w:t>）监测布点</w:t>
            </w:r>
            <w:r>
              <w:rPr>
                <w:rFonts w:hint="eastAsia" w:ascii="宋体" w:hAnsi="宋体"/>
                <w:sz w:val="24"/>
              </w:rPr>
              <w:t>：</w:t>
            </w:r>
            <w:r>
              <w:rPr>
                <w:rFonts w:ascii="宋体" w:hAnsi="宋体"/>
                <w:sz w:val="24"/>
              </w:rPr>
              <w:t>东、南、西、北四个厂界</w:t>
            </w:r>
            <w:r>
              <w:rPr>
                <w:rFonts w:hint="eastAsia" w:ascii="宋体" w:hAnsi="宋体"/>
                <w:sz w:val="24"/>
              </w:rPr>
              <w:t>外1m处；</w:t>
            </w:r>
          </w:p>
          <w:p>
            <w:pPr>
              <w:keepNext w:val="0"/>
              <w:keepLines w:val="0"/>
              <w:pageBreakBefore w:val="0"/>
              <w:kinsoku/>
              <w:wordWrap/>
              <w:overflowPunct/>
              <w:topLinePunct w:val="0"/>
              <w:bidi w:val="0"/>
              <w:spacing w:beforeAutospacing="0" w:afterAutospacing="0" w:line="360" w:lineRule="auto"/>
              <w:ind w:left="0" w:leftChars="0" w:firstLine="480" w:firstLineChars="200"/>
              <w:rPr>
                <w:sz w:val="24"/>
              </w:rPr>
            </w:pPr>
            <w:r>
              <w:rPr>
                <w:rFonts w:ascii="宋体" w:hAnsi="宋体"/>
                <w:sz w:val="24"/>
              </w:rPr>
              <w:t>（</w:t>
            </w:r>
            <w:r>
              <w:rPr>
                <w:sz w:val="24"/>
              </w:rPr>
              <w:t>2</w:t>
            </w:r>
            <w:r>
              <w:rPr>
                <w:rFonts w:ascii="宋体" w:hAnsi="宋体"/>
                <w:sz w:val="24"/>
              </w:rPr>
              <w:t>）监测因子</w:t>
            </w:r>
            <w:r>
              <w:rPr>
                <w:rFonts w:hint="eastAsia"/>
                <w:sz w:val="24"/>
              </w:rPr>
              <w:t>：</w:t>
            </w:r>
            <w:r>
              <w:rPr>
                <w:rFonts w:ascii="宋体" w:hAnsi="宋体"/>
                <w:sz w:val="24"/>
              </w:rPr>
              <w:t>等效连续</w:t>
            </w:r>
            <w:r>
              <w:rPr>
                <w:sz w:val="24"/>
              </w:rPr>
              <w:t>A</w:t>
            </w:r>
            <w:r>
              <w:rPr>
                <w:rFonts w:ascii="宋体" w:hAnsi="宋体"/>
                <w:sz w:val="24"/>
              </w:rPr>
              <w:t>声级</w:t>
            </w:r>
            <w:r>
              <w:rPr>
                <w:sz w:val="24"/>
              </w:rPr>
              <w:t>LAeq</w:t>
            </w:r>
            <w:r>
              <w:rPr>
                <w:rFonts w:hint="eastAsia" w:ascii="宋体" w:hAnsi="宋体"/>
                <w:sz w:val="24"/>
              </w:rPr>
              <w:t>；</w:t>
            </w:r>
          </w:p>
          <w:p>
            <w:pPr>
              <w:keepNext w:val="0"/>
              <w:keepLines w:val="0"/>
              <w:pageBreakBefore w:val="0"/>
              <w:kinsoku/>
              <w:wordWrap/>
              <w:overflowPunct/>
              <w:topLinePunct w:val="0"/>
              <w:bidi w:val="0"/>
              <w:spacing w:beforeAutospacing="0" w:afterAutospacing="0" w:line="360" w:lineRule="auto"/>
              <w:ind w:left="0" w:leftChars="0" w:firstLine="480" w:firstLineChars="200"/>
              <w:rPr>
                <w:sz w:val="24"/>
              </w:rPr>
            </w:pPr>
            <w:r>
              <w:rPr>
                <w:rFonts w:ascii="宋体" w:hAnsi="宋体"/>
                <w:sz w:val="24"/>
              </w:rPr>
              <w:t>（</w:t>
            </w:r>
            <w:r>
              <w:rPr>
                <w:sz w:val="24"/>
              </w:rPr>
              <w:t>3</w:t>
            </w:r>
            <w:r>
              <w:rPr>
                <w:rFonts w:ascii="宋体" w:hAnsi="宋体"/>
                <w:sz w:val="24"/>
              </w:rPr>
              <w:t>）监测时间及频次</w:t>
            </w:r>
            <w:r>
              <w:rPr>
                <w:rFonts w:hint="eastAsia"/>
                <w:sz w:val="24"/>
              </w:rPr>
              <w:t>：</w:t>
            </w:r>
            <w:r>
              <w:rPr>
                <w:sz w:val="24"/>
              </w:rPr>
              <w:t>2022</w:t>
            </w:r>
            <w:r>
              <w:rPr>
                <w:rFonts w:ascii="宋体" w:hAnsi="宋体"/>
                <w:sz w:val="24"/>
              </w:rPr>
              <w:t>年</w:t>
            </w:r>
            <w:r>
              <w:rPr>
                <w:rFonts w:hint="eastAsia"/>
                <w:sz w:val="24"/>
                <w:lang w:val="en-US" w:eastAsia="zh-CN"/>
              </w:rPr>
              <w:t>6</w:t>
            </w:r>
            <w:r>
              <w:rPr>
                <w:rFonts w:ascii="宋体" w:hAnsi="宋体"/>
                <w:sz w:val="24"/>
              </w:rPr>
              <w:t>月</w:t>
            </w:r>
            <w:r>
              <w:rPr>
                <w:rFonts w:hint="eastAsia"/>
                <w:sz w:val="24"/>
                <w:lang w:val="en-US" w:eastAsia="zh-CN"/>
              </w:rPr>
              <w:t>21</w:t>
            </w:r>
            <w:r>
              <w:rPr>
                <w:rFonts w:ascii="宋体" w:hAnsi="宋体"/>
                <w:sz w:val="24"/>
              </w:rPr>
              <w:t>日</w:t>
            </w:r>
            <w:r>
              <w:rPr>
                <w:sz w:val="24"/>
              </w:rPr>
              <w:t>~</w:t>
            </w:r>
            <w:r>
              <w:rPr>
                <w:rFonts w:hint="eastAsia"/>
                <w:sz w:val="24"/>
                <w:lang w:val="en-US" w:eastAsia="zh-CN"/>
              </w:rPr>
              <w:t>6</w:t>
            </w:r>
            <w:r>
              <w:rPr>
                <w:rFonts w:ascii="宋体" w:hAnsi="宋体"/>
                <w:sz w:val="24"/>
              </w:rPr>
              <w:t>月</w:t>
            </w:r>
            <w:r>
              <w:rPr>
                <w:rFonts w:hint="eastAsia"/>
                <w:sz w:val="24"/>
                <w:lang w:val="en-US" w:eastAsia="zh-CN"/>
              </w:rPr>
              <w:t>22</w:t>
            </w:r>
            <w:r>
              <w:rPr>
                <w:rFonts w:ascii="宋体" w:hAnsi="宋体"/>
                <w:sz w:val="24"/>
              </w:rPr>
              <w:t>日，昼夜间各监测一次，监测</w:t>
            </w:r>
            <w:r>
              <w:rPr>
                <w:sz w:val="24"/>
              </w:rPr>
              <w:t>2</w:t>
            </w:r>
            <w:r>
              <w:rPr>
                <w:rFonts w:ascii="宋体" w:hAnsi="宋体"/>
                <w:sz w:val="24"/>
              </w:rPr>
              <w:t>天</w:t>
            </w:r>
            <w:r>
              <w:rPr>
                <w:rFonts w:hint="eastAsia" w:ascii="宋体" w:hAnsi="宋体"/>
                <w:sz w:val="24"/>
              </w:rPr>
              <w:t>；</w:t>
            </w:r>
          </w:p>
          <w:p>
            <w:pPr>
              <w:keepNext w:val="0"/>
              <w:keepLines w:val="0"/>
              <w:pageBreakBefore w:val="0"/>
              <w:kinsoku/>
              <w:wordWrap/>
              <w:overflowPunct/>
              <w:topLinePunct w:val="0"/>
              <w:bidi w:val="0"/>
              <w:spacing w:beforeAutospacing="0" w:afterAutospacing="0" w:line="360" w:lineRule="auto"/>
              <w:ind w:left="0" w:leftChars="0" w:firstLine="480" w:firstLineChars="200"/>
              <w:rPr>
                <w:rFonts w:ascii="宋体" w:hAnsi="宋体"/>
                <w:sz w:val="24"/>
              </w:rPr>
            </w:pPr>
            <w:r>
              <w:rPr>
                <w:rFonts w:ascii="宋体" w:hAnsi="宋体"/>
                <w:sz w:val="24"/>
              </w:rPr>
              <w:t>（</w:t>
            </w:r>
            <w:r>
              <w:rPr>
                <w:sz w:val="24"/>
              </w:rPr>
              <w:t>4</w:t>
            </w:r>
            <w:r>
              <w:rPr>
                <w:rFonts w:ascii="宋体" w:hAnsi="宋体"/>
                <w:sz w:val="24"/>
              </w:rPr>
              <w:t>）</w:t>
            </w:r>
            <w:r>
              <w:rPr>
                <w:rFonts w:hint="eastAsia" w:ascii="宋体" w:hAnsi="宋体"/>
                <w:sz w:val="24"/>
              </w:rPr>
              <w:t>评价标准：《声环境质量标准》（GB3096-2008）中</w:t>
            </w:r>
            <w:r>
              <w:rPr>
                <w:rFonts w:ascii="宋体" w:hAnsi="宋体"/>
                <w:sz w:val="24"/>
              </w:rPr>
              <w:t>3</w:t>
            </w:r>
            <w:r>
              <w:rPr>
                <w:rFonts w:hint="eastAsia" w:ascii="宋体" w:hAnsi="宋体"/>
                <w:sz w:val="24"/>
              </w:rPr>
              <w:t>类标准。</w:t>
            </w:r>
          </w:p>
          <w:p>
            <w:pPr>
              <w:keepNext w:val="0"/>
              <w:keepLines w:val="0"/>
              <w:pageBreakBefore w:val="0"/>
              <w:kinsoku/>
              <w:wordWrap/>
              <w:overflowPunct/>
              <w:topLinePunct w:val="0"/>
              <w:bidi w:val="0"/>
              <w:spacing w:beforeAutospacing="0" w:afterAutospacing="0" w:line="360" w:lineRule="auto"/>
              <w:ind w:left="0" w:leftChars="0" w:firstLine="480" w:firstLineChars="200"/>
            </w:pPr>
            <w:r>
              <w:rPr>
                <w:rFonts w:hint="eastAsia" w:ascii="宋体" w:hAnsi="宋体"/>
                <w:sz w:val="24"/>
              </w:rPr>
              <w:t>（5）</w:t>
            </w:r>
            <w:r>
              <w:rPr>
                <w:rFonts w:ascii="宋体" w:hAnsi="宋体"/>
                <w:sz w:val="24"/>
              </w:rPr>
              <w:t>监测结果</w:t>
            </w:r>
            <w:r>
              <w:rPr>
                <w:rFonts w:hint="eastAsia"/>
                <w:sz w:val="24"/>
              </w:rPr>
              <w:t>：</w:t>
            </w:r>
            <w:r>
              <w:rPr>
                <w:rFonts w:ascii="宋体" w:hAnsi="宋体"/>
                <w:sz w:val="24"/>
              </w:rPr>
              <w:t>噪声监测结果见表</w:t>
            </w:r>
            <w:r>
              <w:rPr>
                <w:sz w:val="24"/>
              </w:rPr>
              <w:t>3-8</w:t>
            </w:r>
            <w:r>
              <w:rPr>
                <w:rFonts w:ascii="宋体" w:hAnsi="宋体"/>
                <w:sz w:val="24"/>
              </w:rPr>
              <w:t>。</w:t>
            </w:r>
          </w:p>
          <w:p>
            <w:pPr>
              <w:pStyle w:val="7"/>
              <w:keepNext w:val="0"/>
              <w:keepLines w:val="0"/>
              <w:pageBreakBefore w:val="0"/>
              <w:kinsoku/>
              <w:wordWrap/>
              <w:overflowPunct/>
              <w:topLinePunct w:val="0"/>
              <w:bidi w:val="0"/>
              <w:spacing w:beforeAutospacing="0" w:afterAutospacing="0" w:line="360" w:lineRule="auto"/>
              <w:ind w:left="0" w:leftChars="0"/>
              <w:rPr>
                <w:sz w:val="21"/>
              </w:rPr>
            </w:pPr>
            <w:r>
              <w:rPr>
                <w:sz w:val="21"/>
              </w:rPr>
              <w:t>表3-8  声环境现状监测统计结果</w:t>
            </w:r>
            <w:r>
              <w:rPr>
                <w:rFonts w:hint="eastAsia"/>
                <w:sz w:val="21"/>
              </w:rPr>
              <w:t xml:space="preserve"> </w:t>
            </w:r>
            <w:r>
              <w:rPr>
                <w:sz w:val="21"/>
              </w:rPr>
              <w:t xml:space="preserve"> 单位：dB(A)</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64" w:type="dxa"/>
                <w:bottom w:w="0" w:type="dxa"/>
                <w:right w:w="51" w:type="dxa"/>
              </w:tblCellMar>
            </w:tblPr>
            <w:tblGrid>
              <w:gridCol w:w="1286"/>
              <w:gridCol w:w="1359"/>
              <w:gridCol w:w="1357"/>
              <w:gridCol w:w="1294"/>
              <w:gridCol w:w="1413"/>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left"/>
                    <w:rPr>
                      <w:rFonts w:ascii="宋体" w:hAnsi="宋体"/>
                    </w:rPr>
                  </w:pPr>
                  <w:r>
                    <w:rPr>
                      <w:rFonts w:ascii="宋体" w:hAnsi="宋体"/>
                    </w:rPr>
                    <w:t>点位名称</w:t>
                  </w:r>
                </w:p>
              </w:tc>
              <w:tc>
                <w:tcPr>
                  <w:tcW w:w="860"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时段</w:t>
                  </w:r>
                </w:p>
              </w:tc>
              <w:tc>
                <w:tcPr>
                  <w:tcW w:w="1678" w:type="pct"/>
                  <w:gridSpan w:val="2"/>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监测值</w:t>
                  </w:r>
                </w:p>
              </w:tc>
              <w:tc>
                <w:tcPr>
                  <w:tcW w:w="89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标准值</w:t>
                  </w:r>
                </w:p>
              </w:tc>
              <w:tc>
                <w:tcPr>
                  <w:tcW w:w="75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rPr>
                      <w:szCs w:val="21"/>
                    </w:rPr>
                  </w:pPr>
                </w:p>
              </w:tc>
              <w:tc>
                <w:tcPr>
                  <w:tcW w:w="860"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rPr>
                    <w:t>2</w:t>
                  </w:r>
                  <w:r>
                    <w:t>022.</w:t>
                  </w:r>
                  <w:r>
                    <w:rPr>
                      <w:rFonts w:hint="eastAsia"/>
                      <w:lang w:val="en-US" w:eastAsia="zh-CN"/>
                    </w:rPr>
                    <w:t>6</w:t>
                  </w:r>
                  <w:r>
                    <w:t>.</w:t>
                  </w:r>
                  <w:r>
                    <w:rPr>
                      <w:rFonts w:hint="eastAsia"/>
                      <w:lang w:val="en-US" w:eastAsia="zh-CN"/>
                    </w:rPr>
                    <w:t>21</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rPr>
                    <w:t>2</w:t>
                  </w:r>
                  <w:r>
                    <w:t>022.</w:t>
                  </w:r>
                  <w:r>
                    <w:rPr>
                      <w:rFonts w:hint="eastAsia"/>
                      <w:lang w:val="en-US" w:eastAsia="zh-CN"/>
                    </w:rPr>
                    <w:t>6</w:t>
                  </w:r>
                  <w:r>
                    <w:t>.</w:t>
                  </w:r>
                  <w:r>
                    <w:rPr>
                      <w:rFonts w:hint="eastAsia"/>
                      <w:lang w:val="en-US" w:eastAsia="zh-CN"/>
                    </w:rPr>
                    <w:t>22</w:t>
                  </w:r>
                </w:p>
              </w:tc>
              <w:tc>
                <w:tcPr>
                  <w:tcW w:w="89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75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N</w:t>
                  </w:r>
                  <w:r>
                    <w:t>1</w:t>
                  </w:r>
                  <w:r>
                    <w:rPr>
                      <w:rFonts w:hint="eastAsia"/>
                    </w:rPr>
                    <w:t>：东侧厂界外1</w:t>
                  </w:r>
                  <w:r>
                    <w:t>m</w:t>
                  </w: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昼间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56</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56</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6</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夜间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51</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52</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5</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81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N</w:t>
                  </w:r>
                  <w:r>
                    <w:t>2</w:t>
                  </w:r>
                  <w:r>
                    <w:rPr>
                      <w:rFonts w:hint="eastAsia"/>
                    </w:rPr>
                    <w:t>：南侧厂界外1</w:t>
                  </w:r>
                  <w:r>
                    <w:t>m</w:t>
                  </w: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昼间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5</w:t>
                  </w:r>
                  <w:r>
                    <w:rPr>
                      <w:rFonts w:hint="eastAsia"/>
                      <w:lang w:val="en-US" w:eastAsia="zh-CN"/>
                    </w:rPr>
                    <w:t>0</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51</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6</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夜间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44</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4</w:t>
                  </w:r>
                  <w:r>
                    <w:rPr>
                      <w:rFonts w:hint="eastAsia"/>
                      <w:lang w:val="en-US" w:eastAsia="zh-CN"/>
                    </w:rPr>
                    <w:t>7</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5</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N</w:t>
                  </w:r>
                  <w:r>
                    <w:t>3</w:t>
                  </w:r>
                  <w:r>
                    <w:rPr>
                      <w:rFonts w:hint="eastAsia"/>
                    </w:rPr>
                    <w:t>：西侧厂界外1</w:t>
                  </w:r>
                  <w:r>
                    <w:t>m</w:t>
                  </w: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昼间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5</w:t>
                  </w:r>
                  <w:r>
                    <w:rPr>
                      <w:rFonts w:hint="eastAsia"/>
                      <w:lang w:val="en-US" w:eastAsia="zh-CN"/>
                    </w:rPr>
                    <w:t>1</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lang w:val="en-US"/>
                    </w:rPr>
                  </w:pPr>
                  <w:r>
                    <w:rPr>
                      <w:rFonts w:hint="eastAsia"/>
                      <w:lang w:val="en-US" w:eastAsia="zh-CN"/>
                    </w:rPr>
                    <w:t>53</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6</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夜间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43</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4</w:t>
                  </w:r>
                  <w:r>
                    <w:rPr>
                      <w:rFonts w:hint="eastAsia"/>
                      <w:lang w:val="en-US" w:eastAsia="zh-CN"/>
                    </w:rPr>
                    <w:t>5</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5</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97" w:hRule="atLeast"/>
              </w:trPr>
              <w:tc>
                <w:tcPr>
                  <w:tcW w:w="814" w:type="pct"/>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N</w:t>
                  </w:r>
                  <w:r>
                    <w:t>4</w:t>
                  </w:r>
                  <w:r>
                    <w:rPr>
                      <w:rFonts w:hint="eastAsia"/>
                    </w:rPr>
                    <w:t>：北侧厂界外1</w:t>
                  </w:r>
                  <w:r>
                    <w:t>m</w:t>
                  </w: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昼间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5</w:t>
                  </w:r>
                  <w:r>
                    <w:rPr>
                      <w:rFonts w:hint="eastAsia"/>
                      <w:lang w:val="en-US" w:eastAsia="zh-CN"/>
                    </w:rPr>
                    <w:t>0</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53</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6</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trPr>
              <w:tc>
                <w:tcPr>
                  <w:tcW w:w="814" w:type="pct"/>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860"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夜间</w:t>
                  </w:r>
                </w:p>
              </w:tc>
              <w:tc>
                <w:tcPr>
                  <w:tcW w:w="85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lang w:val="en-US" w:eastAsia="zh-CN"/>
                    </w:rPr>
                    <w:t>44</w:t>
                  </w:r>
                </w:p>
              </w:tc>
              <w:tc>
                <w:tcPr>
                  <w:tcW w:w="819" w:type="pc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rPr>
                    <w:t>4</w:t>
                  </w:r>
                  <w:r>
                    <w:rPr>
                      <w:rFonts w:hint="eastAsia"/>
                      <w:lang w:val="en-US" w:eastAsia="zh-CN"/>
                    </w:rPr>
                    <w:t>9</w:t>
                  </w:r>
                </w:p>
              </w:tc>
              <w:tc>
                <w:tcPr>
                  <w:tcW w:w="89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5</w:t>
                  </w:r>
                  <w:r>
                    <w:t>5</w:t>
                  </w:r>
                </w:p>
              </w:tc>
              <w:tc>
                <w:tcPr>
                  <w:tcW w:w="754" w:type="pc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达标</w:t>
                  </w:r>
                </w:p>
              </w:tc>
            </w:tr>
          </w:tbl>
          <w:p>
            <w:pPr>
              <w:keepNext w:val="0"/>
              <w:keepLines w:val="0"/>
              <w:pageBreakBefore w:val="0"/>
              <w:kinsoku/>
              <w:wordWrap/>
              <w:overflowPunct/>
              <w:topLinePunct w:val="0"/>
              <w:bidi w:val="0"/>
              <w:spacing w:beforeAutospacing="0" w:afterAutospacing="0" w:line="360" w:lineRule="auto"/>
              <w:ind w:left="0" w:leftChars="0" w:firstLine="480" w:firstLineChars="200"/>
              <w:rPr>
                <w:szCs w:val="21"/>
              </w:rPr>
            </w:pPr>
            <w:r>
              <w:rPr>
                <w:rFonts w:ascii="宋体" w:hAnsi="宋体"/>
                <w:sz w:val="24"/>
              </w:rPr>
              <w:t>监测结果表明，该项目厂界噪声满足《声环境质量标准》（</w:t>
            </w:r>
            <w:r>
              <w:rPr>
                <w:sz w:val="24"/>
              </w:rPr>
              <w:t>GB3096-2008</w:t>
            </w:r>
            <w:r>
              <w:rPr>
                <w:rFonts w:ascii="宋体" w:hAnsi="宋体"/>
                <w:sz w:val="24"/>
              </w:rPr>
              <w:t>）</w:t>
            </w:r>
            <w:r>
              <w:rPr>
                <w:sz w:val="24"/>
              </w:rPr>
              <w:t>3</w:t>
            </w:r>
            <w:r>
              <w:rPr>
                <w:rFonts w:ascii="宋体" w:hAnsi="宋体"/>
                <w:sz w:val="24"/>
              </w:rPr>
              <w:t>类标准。</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ascii="宋体" w:hAnsi="宋体" w:cs="宋体"/>
                <w:b/>
                <w:kern w:val="0"/>
                <w:sz w:val="24"/>
              </w:rPr>
            </w:pPr>
            <w:r>
              <w:rPr>
                <w:rFonts w:hint="eastAsia" w:ascii="宋体" w:hAnsi="宋体" w:cs="宋体"/>
                <w:b/>
                <w:kern w:val="0"/>
                <w:sz w:val="24"/>
              </w:rPr>
              <w:t>4、</w:t>
            </w:r>
            <w:r>
              <w:rPr>
                <w:rFonts w:hint="eastAsia" w:ascii="宋体" w:hAnsi="宋体" w:cs="宋体"/>
                <w:b/>
                <w:kern w:val="0"/>
                <w:sz w:val="24"/>
                <w:highlight w:val="none"/>
              </w:rPr>
              <w:t>地下水环境</w:t>
            </w:r>
          </w:p>
          <w:p>
            <w:pPr>
              <w:keepNext w:val="0"/>
              <w:keepLines w:val="0"/>
              <w:pageBreakBefore w:val="0"/>
              <w:widowControl/>
              <w:suppressLineNumbers w:val="0"/>
              <w:kinsoku/>
              <w:wordWrap/>
              <w:overflowPunct/>
              <w:topLinePunct w:val="0"/>
              <w:bidi w:val="0"/>
              <w:spacing w:beforeAutospacing="0" w:afterAutospacing="0" w:line="360" w:lineRule="auto"/>
              <w:ind w:left="0" w:leftChars="0" w:firstLine="480" w:firstLineChars="200"/>
              <w:jc w:val="left"/>
            </w:pPr>
            <w:r>
              <w:rPr>
                <w:rFonts w:hint="eastAsia" w:ascii="宋体" w:hAnsi="宋体" w:eastAsia="宋体" w:cs="宋体"/>
                <w:color w:val="000000"/>
                <w:kern w:val="0"/>
                <w:sz w:val="24"/>
                <w:szCs w:val="24"/>
                <w:lang w:val="en-US" w:eastAsia="zh-CN" w:bidi="ar"/>
              </w:rPr>
              <w:t>根据《建设项目环境影响报告表编制技术指南（污染影响类）（试行）》，地下水原则上不开展环境质量现状调查</w:t>
            </w:r>
            <w:r>
              <w:rPr>
                <w:rFonts w:hint="eastAsia" w:ascii="宋体" w:hAnsi="宋体" w:cs="宋体"/>
                <w:color w:val="000000"/>
                <w:kern w:val="0"/>
                <w:sz w:val="24"/>
                <w:szCs w:val="24"/>
                <w:lang w:val="en-US" w:eastAsia="zh-CN" w:bidi="ar"/>
              </w:rPr>
              <w:t>，且项目所在地地面均已硬化</w:t>
            </w:r>
            <w:r>
              <w:rPr>
                <w:rFonts w:hint="eastAsia" w:ascii="宋体" w:hAnsi="宋体" w:eastAsia="宋体" w:cs="宋体"/>
                <w:color w:val="000000"/>
                <w:kern w:val="0"/>
                <w:sz w:val="24"/>
                <w:szCs w:val="24"/>
                <w:lang w:val="en-US" w:eastAsia="zh-CN" w:bidi="ar"/>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ascii="宋体" w:hAnsi="宋体" w:cs="宋体"/>
                <w:b/>
                <w:kern w:val="0"/>
                <w:sz w:val="24"/>
              </w:rPr>
            </w:pPr>
            <w:r>
              <w:rPr>
                <w:rFonts w:hint="eastAsia" w:ascii="宋体" w:hAnsi="宋体" w:cs="宋体"/>
                <w:b/>
                <w:kern w:val="0"/>
                <w:sz w:val="24"/>
              </w:rPr>
              <w:t>5、</w:t>
            </w:r>
            <w:r>
              <w:rPr>
                <w:rFonts w:hint="eastAsia" w:ascii="宋体" w:hAnsi="宋体" w:cs="宋体"/>
                <w:b/>
                <w:kern w:val="0"/>
                <w:sz w:val="24"/>
                <w:highlight w:val="none"/>
              </w:rPr>
              <w:t>土壤环境</w:t>
            </w:r>
          </w:p>
          <w:p>
            <w:pPr>
              <w:keepNext w:val="0"/>
              <w:keepLines w:val="0"/>
              <w:pageBreakBefore w:val="0"/>
              <w:widowControl/>
              <w:suppressLineNumbers w:val="0"/>
              <w:kinsoku/>
              <w:wordWrap/>
              <w:overflowPunct/>
              <w:topLinePunct w:val="0"/>
              <w:bidi w:val="0"/>
              <w:spacing w:beforeAutospacing="0" w:afterAutospacing="0" w:line="360" w:lineRule="auto"/>
              <w:ind w:left="0" w:leftChars="0" w:firstLine="480" w:firstLineChars="200"/>
              <w:jc w:val="left"/>
              <w:rPr>
                <w:rFonts w:ascii="宋体" w:hAnsi="宋体" w:cs="宋体"/>
                <w:kern w:val="0"/>
                <w:sz w:val="24"/>
              </w:rPr>
            </w:pPr>
            <w:r>
              <w:rPr>
                <w:rFonts w:hint="eastAsia" w:ascii="宋体" w:hAnsi="宋体" w:eastAsia="宋体" w:cs="宋体"/>
                <w:color w:val="000000"/>
                <w:kern w:val="0"/>
                <w:sz w:val="24"/>
                <w:szCs w:val="24"/>
                <w:lang w:val="en-US" w:eastAsia="zh-CN" w:bidi="ar"/>
              </w:rPr>
              <w:t>根据《建设项目环境影响报告表编制技术指南（污染影响类）（试行）》，土壤原则上不开展环境质量现状调查</w:t>
            </w:r>
            <w:r>
              <w:rPr>
                <w:rFonts w:hint="eastAsia" w:ascii="宋体" w:hAnsi="宋体" w:cs="宋体"/>
                <w:color w:val="000000"/>
                <w:kern w:val="0"/>
                <w:sz w:val="24"/>
                <w:szCs w:val="24"/>
                <w:lang w:val="en-US" w:eastAsia="zh-CN" w:bidi="ar"/>
              </w:rPr>
              <w:t>，且项目所在地地面均已硬化</w:t>
            </w:r>
            <w:r>
              <w:rPr>
                <w:rFonts w:hint="eastAsia" w:ascii="宋体" w:hAnsi="宋体" w:eastAsia="宋体" w:cs="宋体"/>
                <w:color w:val="000000"/>
                <w:kern w:val="0"/>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99"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环境</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保护</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u w:val="single"/>
              </w:rPr>
              <w:t>目标</w:t>
            </w:r>
          </w:p>
        </w:tc>
        <w:tc>
          <w:tcPr>
            <w:tcW w:w="812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sz w:val="24"/>
              </w:rPr>
            </w:pPr>
            <w:r>
              <w:rPr>
                <w:rFonts w:hint="eastAsia" w:ascii="宋体" w:hAnsi="宋体" w:cs="宋体"/>
                <w:kern w:val="0"/>
                <w:sz w:val="24"/>
                <w:highlight w:val="none"/>
              </w:rPr>
              <w:t>本项目位于</w:t>
            </w:r>
            <w:r>
              <w:rPr>
                <w:rFonts w:hint="eastAsia" w:ascii="宋体" w:hAnsi="宋体" w:cs="宋体"/>
                <w:kern w:val="0"/>
                <w:sz w:val="24"/>
                <w:highlight w:val="none"/>
                <w:lang w:val="en-US" w:eastAsia="zh-CN"/>
              </w:rPr>
              <w:t>祁东经济开发区归阳工业园</w:t>
            </w:r>
            <w:r>
              <w:rPr>
                <w:rFonts w:hint="eastAsia" w:ascii="宋体" w:hAnsi="宋体" w:cs="宋体"/>
                <w:kern w:val="0"/>
                <w:sz w:val="24"/>
                <w:highlight w:val="none"/>
              </w:rPr>
              <w:t>，经现场踏勘并结合卫星资料图，厂界外50米范围内无声环境保护目标，厂界外500米范围内不存在地下水集中式饮用水水源和热水、矿泉水、温泉等特殊地下水资源，本项目</w:t>
            </w:r>
            <w:r>
              <w:rPr>
                <w:rFonts w:hint="eastAsia" w:ascii="宋体" w:hAnsi="宋体" w:cs="宋体"/>
                <w:kern w:val="0"/>
                <w:sz w:val="24"/>
                <w:highlight w:val="none"/>
                <w:lang w:val="en-US" w:eastAsia="zh-CN"/>
              </w:rPr>
              <w:t>租赁园区现有厂房</w:t>
            </w:r>
            <w:r>
              <w:rPr>
                <w:rFonts w:hint="eastAsia" w:ascii="宋体" w:hAnsi="宋体" w:cs="宋体"/>
                <w:kern w:val="0"/>
                <w:sz w:val="24"/>
                <w:highlight w:val="none"/>
              </w:rPr>
              <w:t>，不新增用地。其主要环境保护目标见表</w:t>
            </w:r>
            <w:r>
              <w:rPr>
                <w:sz w:val="24"/>
                <w:highlight w:val="none"/>
              </w:rPr>
              <w:t>3</w:t>
            </w:r>
            <w:r>
              <w:rPr>
                <w:rFonts w:hint="eastAsia"/>
                <w:sz w:val="24"/>
                <w:highlight w:val="none"/>
              </w:rPr>
              <w:t>-</w:t>
            </w:r>
            <w:r>
              <w:rPr>
                <w:sz w:val="24"/>
                <w:highlight w:val="none"/>
              </w:rPr>
              <w:t>1</w:t>
            </w:r>
            <w:r>
              <w:rPr>
                <w:rFonts w:hint="eastAsia"/>
                <w:sz w:val="24"/>
                <w:highlight w:val="none"/>
                <w:lang w:val="en-US" w:eastAsia="zh-CN"/>
              </w:rPr>
              <w:t>4</w:t>
            </w:r>
            <w:r>
              <w:rPr>
                <w:rFonts w:hint="eastAsia"/>
                <w:sz w:val="24"/>
                <w:highlight w:val="none"/>
              </w:rPr>
              <w:t>。</w:t>
            </w:r>
          </w:p>
          <w:p>
            <w:pPr>
              <w:pStyle w:val="7"/>
              <w:keepNext w:val="0"/>
              <w:keepLines w:val="0"/>
              <w:pageBreakBefore w:val="0"/>
              <w:kinsoku/>
              <w:wordWrap/>
              <w:overflowPunct/>
              <w:topLinePunct w:val="0"/>
              <w:bidi w:val="0"/>
              <w:spacing w:beforeAutospacing="0" w:afterAutospacing="0" w:line="360" w:lineRule="auto"/>
              <w:ind w:left="0" w:leftChars="0" w:firstLine="210"/>
              <w:rPr>
                <w:sz w:val="21"/>
                <w:szCs w:val="21"/>
                <w:highlight w:val="none"/>
              </w:rPr>
            </w:pPr>
            <w:r>
              <w:rPr>
                <w:sz w:val="21"/>
                <w:szCs w:val="21"/>
                <w:highlight w:val="none"/>
              </w:rPr>
              <w:t>表3</w:t>
            </w:r>
            <w:r>
              <w:rPr>
                <w:rFonts w:hint="eastAsia"/>
                <w:sz w:val="21"/>
                <w:szCs w:val="21"/>
                <w:highlight w:val="none"/>
              </w:rPr>
              <w:t>-</w:t>
            </w:r>
            <w:r>
              <w:rPr>
                <w:sz w:val="21"/>
                <w:szCs w:val="21"/>
                <w:highlight w:val="none"/>
              </w:rPr>
              <w:t>1</w:t>
            </w:r>
            <w:r>
              <w:rPr>
                <w:rFonts w:hint="eastAsia"/>
                <w:sz w:val="21"/>
                <w:szCs w:val="21"/>
                <w:highlight w:val="none"/>
                <w:lang w:val="en-US" w:eastAsia="zh-CN"/>
              </w:rPr>
              <w:t>4</w:t>
            </w:r>
            <w:r>
              <w:rPr>
                <w:sz w:val="21"/>
                <w:szCs w:val="21"/>
                <w:highlight w:val="none"/>
              </w:rPr>
              <w:t xml:space="preserve">  主要空气环境保护目标一览表</w:t>
            </w:r>
          </w:p>
          <w:tbl>
            <w:tblPr>
              <w:tblStyle w:val="2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205"/>
              <w:gridCol w:w="700"/>
              <w:gridCol w:w="665"/>
              <w:gridCol w:w="626"/>
              <w:gridCol w:w="1021"/>
              <w:gridCol w:w="882"/>
              <w:gridCol w:w="717"/>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敏感要素</w:t>
                  </w:r>
                </w:p>
              </w:tc>
              <w:tc>
                <w:tcPr>
                  <w:tcW w:w="76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名称</w:t>
                  </w:r>
                </w:p>
              </w:tc>
              <w:tc>
                <w:tcPr>
                  <w:tcW w:w="86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距厂界最近点坐标（</w:t>
                  </w:r>
                  <w:r>
                    <w:rPr>
                      <w:rFonts w:hint="default" w:ascii="Times New Roman" w:hAnsi="Times New Roman" w:eastAsia="宋体" w:cs="Times New Roman"/>
                      <w:b/>
                      <w:bCs/>
                      <w:color w:val="auto"/>
                      <w:sz w:val="21"/>
                      <w:szCs w:val="21"/>
                      <w:u w:val="none" w:color="auto"/>
                      <w:lang w:val="en-US" w:eastAsia="zh-CN"/>
                    </w:rPr>
                    <w:t>项目</w:t>
                  </w:r>
                  <w:r>
                    <w:rPr>
                      <w:rFonts w:hint="default" w:ascii="Times New Roman" w:hAnsi="Times New Roman" w:eastAsia="宋体" w:cs="Times New Roman"/>
                      <w:b/>
                      <w:bCs/>
                      <w:color w:val="auto"/>
                      <w:sz w:val="21"/>
                      <w:szCs w:val="21"/>
                      <w:u w:val="none" w:color="auto"/>
                    </w:rPr>
                    <w:t>中心点为坐标原点）</w:t>
                  </w:r>
                </w:p>
              </w:tc>
              <w:tc>
                <w:tcPr>
                  <w:tcW w:w="39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保护对象</w:t>
                  </w:r>
                </w:p>
              </w:tc>
              <w:tc>
                <w:tcPr>
                  <w:tcW w:w="64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保护内容</w:t>
                  </w:r>
                </w:p>
              </w:tc>
              <w:tc>
                <w:tcPr>
                  <w:tcW w:w="55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环境功能区</w:t>
                  </w:r>
                </w:p>
              </w:tc>
              <w:tc>
                <w:tcPr>
                  <w:tcW w:w="454"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相对厂址方位</w:t>
                  </w:r>
                </w:p>
              </w:tc>
              <w:tc>
                <w:tcPr>
                  <w:tcW w:w="82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相对厂界距离范围（m）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76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44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X</w:t>
                  </w:r>
                </w:p>
              </w:tc>
              <w:tc>
                <w:tcPr>
                  <w:tcW w:w="4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Y</w:t>
                  </w:r>
                </w:p>
              </w:tc>
              <w:tc>
                <w:tcPr>
                  <w:tcW w:w="39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64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5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45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82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大气环境</w:t>
                  </w: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en-US" w:eastAsia="zh-CN"/>
                    </w:rPr>
                    <w:t>归阳镇</w:t>
                  </w:r>
                  <w:r>
                    <w:rPr>
                      <w:rFonts w:hint="default" w:ascii="Times New Roman" w:hAnsi="Times New Roman" w:eastAsia="宋体" w:cs="Times New Roman"/>
                      <w:color w:val="auto"/>
                      <w:u w:val="none" w:color="auto"/>
                    </w:rPr>
                    <w:t>居民点</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-458</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73</w:t>
                  </w:r>
                </w:p>
              </w:tc>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居民</w:t>
                  </w:r>
                </w:p>
              </w:tc>
              <w:tc>
                <w:tcPr>
                  <w:tcW w:w="647"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约300人</w:t>
                  </w:r>
                </w:p>
              </w:tc>
              <w:tc>
                <w:tcPr>
                  <w:tcW w:w="55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环境空气质量二级标准</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西北面</w:t>
                  </w:r>
                </w:p>
              </w:tc>
              <w:tc>
                <w:tcPr>
                  <w:tcW w:w="8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418~666m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en-US" w:eastAsia="zh-CN"/>
                    </w:rPr>
                    <w:t>下横塘冲</w:t>
                  </w:r>
                  <w:r>
                    <w:rPr>
                      <w:rFonts w:hint="default" w:ascii="Times New Roman" w:hAnsi="Times New Roman" w:eastAsia="宋体" w:cs="Times New Roman"/>
                      <w:color w:val="auto"/>
                      <w:u w:val="none" w:color="auto"/>
                    </w:rPr>
                    <w:t>居民点</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43</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-164</w:t>
                  </w:r>
                </w:p>
              </w:tc>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居民</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约120人</w:t>
                  </w:r>
                </w:p>
              </w:tc>
              <w:tc>
                <w:tcPr>
                  <w:tcW w:w="5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西南面</w:t>
                  </w:r>
                </w:p>
              </w:tc>
              <w:tc>
                <w:tcPr>
                  <w:tcW w:w="828" w:type="pct"/>
                  <w:tcBorders>
                    <w:tl2br w:val="nil"/>
                    <w:tr2bl w:val="nil"/>
                  </w:tcBorders>
                  <w:noWrap w:val="0"/>
                  <w:vAlign w:val="center"/>
                </w:tcPr>
                <w:p>
                  <w:pPr>
                    <w:pStyle w:val="4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156~620m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u w:val="none" w:color="auto"/>
                      <w:lang w:val="en-US" w:eastAsia="zh-CN"/>
                    </w:rPr>
                    <w:t>沙子岭</w:t>
                  </w:r>
                  <w:r>
                    <w:rPr>
                      <w:rFonts w:hint="default" w:ascii="Times New Roman" w:hAnsi="Times New Roman" w:eastAsia="宋体" w:cs="Times New Roman"/>
                      <w:color w:val="auto"/>
                      <w:u w:val="none" w:color="auto"/>
                    </w:rPr>
                    <w:t>居民点</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-148</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rPr>
                    <w:t>123</w:t>
                  </w:r>
                </w:p>
              </w:tc>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居民</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约120人</w:t>
                  </w:r>
                </w:p>
              </w:tc>
              <w:tc>
                <w:tcPr>
                  <w:tcW w:w="5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西北面</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140~346m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祁东职专归阳工业园实训基地</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rPr>
                    <w:t>-51</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rPr>
                    <w:t>36</w:t>
                  </w:r>
                </w:p>
              </w:tc>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教育</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约500人</w:t>
                  </w:r>
                </w:p>
              </w:tc>
              <w:tc>
                <w:tcPr>
                  <w:tcW w:w="55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西北面</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10~142m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声环境</w:t>
                  </w: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u w:val="none" w:color="auto"/>
                    </w:rPr>
                    <w:t>祁东职专归阳工业园实训基地</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-148</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123</w:t>
                  </w:r>
                </w:p>
              </w:tc>
              <w:tc>
                <w:tcPr>
                  <w:tcW w:w="3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教育</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约</w:t>
                  </w:r>
                  <w:r>
                    <w:rPr>
                      <w:rFonts w:hint="eastAsia" w:ascii="Times New Roman" w:hAnsi="Times New Roman" w:eastAsia="宋体" w:cs="Times New Roman"/>
                      <w:color w:val="auto"/>
                      <w:sz w:val="21"/>
                      <w:szCs w:val="21"/>
                      <w:u w:val="none" w:color="auto"/>
                      <w:lang w:val="en-US" w:eastAsia="zh-CN"/>
                    </w:rPr>
                    <w:t>100</w:t>
                  </w:r>
                  <w:r>
                    <w:rPr>
                      <w:rFonts w:hint="default" w:ascii="Times New Roman" w:hAnsi="Times New Roman" w:eastAsia="宋体" w:cs="Times New Roman"/>
                      <w:color w:val="auto"/>
                      <w:sz w:val="21"/>
                      <w:szCs w:val="21"/>
                      <w:u w:val="none" w:color="auto"/>
                      <w:lang w:val="en-US" w:eastAsia="zh-CN"/>
                    </w:rPr>
                    <w:t>人</w:t>
                  </w:r>
                </w:p>
              </w:tc>
              <w:tc>
                <w:tcPr>
                  <w:tcW w:w="5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声环境质量</w:t>
                  </w:r>
                  <w:r>
                    <w:rPr>
                      <w:rFonts w:hint="eastAsia" w:ascii="Times New Roman" w:hAnsi="Times New Roman" w:eastAsia="宋体" w:cs="Times New Roman"/>
                      <w:color w:val="auto"/>
                      <w:sz w:val="21"/>
                      <w:szCs w:val="21"/>
                      <w:u w:val="none" w:color="auto"/>
                      <w:lang w:val="en-US" w:eastAsia="zh-CN"/>
                    </w:rPr>
                    <w:t>3类</w:t>
                  </w:r>
                  <w:r>
                    <w:rPr>
                      <w:rFonts w:hint="default" w:ascii="Times New Roman" w:hAnsi="Times New Roman" w:eastAsia="宋体" w:cs="Times New Roman"/>
                      <w:color w:val="auto"/>
                      <w:sz w:val="21"/>
                      <w:szCs w:val="21"/>
                      <w:u w:val="none" w:color="auto"/>
                    </w:rPr>
                    <w:t>标准</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西北面</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10~</w:t>
                  </w:r>
                  <w:r>
                    <w:rPr>
                      <w:rFonts w:hint="eastAsia" w:ascii="Times New Roman" w:hAnsi="Times New Roman" w:eastAsia="宋体" w:cs="Times New Roman"/>
                      <w:color w:val="auto"/>
                      <w:sz w:val="21"/>
                      <w:szCs w:val="21"/>
                      <w:u w:val="none" w:color="auto"/>
                      <w:lang w:val="en-US" w:eastAsia="zh-CN"/>
                    </w:rPr>
                    <w:t>50</w:t>
                  </w:r>
                  <w:r>
                    <w:rPr>
                      <w:rFonts w:hint="default" w:ascii="Times New Roman" w:hAnsi="Times New Roman" w:eastAsia="宋体" w:cs="Times New Roman"/>
                      <w:color w:val="auto"/>
                      <w:sz w:val="21"/>
                      <w:szCs w:val="21"/>
                      <w:u w:val="none" w:color="auto"/>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地表水</w:t>
                  </w:r>
                </w:p>
              </w:tc>
              <w:tc>
                <w:tcPr>
                  <w:tcW w:w="76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湘江</w:t>
                  </w:r>
                </w:p>
              </w:tc>
              <w:tc>
                <w:tcPr>
                  <w:tcW w:w="1908"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归阳工业园污水处理厂排口上游500m至下游1000m</w:t>
                  </w:r>
                </w:p>
              </w:tc>
              <w:tc>
                <w:tcPr>
                  <w:tcW w:w="5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地表水环境质量</w:t>
                  </w:r>
                  <w:r>
                    <w:rPr>
                      <w:rFonts w:hint="default" w:ascii="Times New Roman" w:hAnsi="Times New Roman" w:eastAsia="宋体" w:cs="Times New Roman"/>
                      <w:color w:val="auto"/>
                      <w:spacing w:val="0"/>
                      <w:position w:val="0"/>
                      <w:sz w:val="21"/>
                      <w:szCs w:val="21"/>
                      <w:u w:val="none" w:color="auto"/>
                    </w:rPr>
                    <w:t>Ⅲ</w:t>
                  </w:r>
                  <w:r>
                    <w:rPr>
                      <w:rFonts w:hint="default" w:ascii="Times New Roman" w:hAnsi="Times New Roman" w:eastAsia="宋体" w:cs="Times New Roman"/>
                      <w:color w:val="auto"/>
                      <w:sz w:val="21"/>
                      <w:szCs w:val="21"/>
                      <w:u w:val="none" w:color="auto"/>
                    </w:rPr>
                    <w:t>类</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南面</w:t>
                  </w:r>
                </w:p>
              </w:tc>
              <w:tc>
                <w:tcPr>
                  <w:tcW w:w="8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690m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地下水</w:t>
                  </w:r>
                </w:p>
              </w:tc>
              <w:tc>
                <w:tcPr>
                  <w:tcW w:w="76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区域地下水</w:t>
                  </w:r>
                </w:p>
              </w:tc>
              <w:tc>
                <w:tcPr>
                  <w:tcW w:w="44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4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1043"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周边地下水</w:t>
                  </w:r>
                </w:p>
              </w:tc>
              <w:tc>
                <w:tcPr>
                  <w:tcW w:w="55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地下水环境质量III类</w:t>
                  </w:r>
                </w:p>
              </w:tc>
              <w:tc>
                <w:tcPr>
                  <w:tcW w:w="45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c>
                <w:tcPr>
                  <w:tcW w:w="8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社会环境</w:t>
                  </w:r>
                </w:p>
              </w:tc>
              <w:tc>
                <w:tcPr>
                  <w:tcW w:w="76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周边道路</w:t>
                  </w:r>
                </w:p>
              </w:tc>
              <w:tc>
                <w:tcPr>
                  <w:tcW w:w="3749" w:type="pct"/>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不影响道路正常交通</w:t>
                  </w:r>
                </w:p>
              </w:tc>
            </w:tr>
          </w:tbl>
          <w:p>
            <w:pPr>
              <w:pStyle w:val="65"/>
              <w:keepNext w:val="0"/>
              <w:keepLines w:val="0"/>
              <w:pageBreakBefore w:val="0"/>
              <w:kinsoku/>
              <w:wordWrap/>
              <w:overflowPunct/>
              <w:topLinePunct w:val="0"/>
              <w:bidi w:val="0"/>
              <w:spacing w:before="0" w:beforeAutospacing="0" w:after="0" w:afterAutospacing="0" w:line="360" w:lineRule="auto"/>
              <w:ind w:left="0" w:leftChars="0"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41" w:hRule="atLeast"/>
          <w:jc w:val="center"/>
        </w:trPr>
        <w:tc>
          <w:tcPr>
            <w:tcW w:w="699" w:type="dxa"/>
            <w:tcMar>
              <w:left w:w="28" w:type="dxa"/>
              <w:right w:w="28"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污染</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物排</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放控</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u w:val="single"/>
              </w:rPr>
            </w:pPr>
            <w:r>
              <w:rPr>
                <w:rFonts w:hint="eastAsia" w:ascii="宋体" w:hAnsi="宋体" w:cs="宋体"/>
                <w:kern w:val="0"/>
                <w:sz w:val="24"/>
                <w:u w:val="single"/>
              </w:rPr>
              <w:t>制标</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u w:val="single"/>
              </w:rPr>
              <w:t>准</w:t>
            </w:r>
          </w:p>
        </w:tc>
        <w:tc>
          <w:tcPr>
            <w:tcW w:w="8126" w:type="dxa"/>
            <w:vAlign w:val="center"/>
          </w:tcPr>
          <w:p>
            <w:pPr>
              <w:pStyle w:val="59"/>
              <w:keepNext w:val="0"/>
              <w:keepLines w:val="0"/>
              <w:pageBreakBefore w:val="0"/>
              <w:kinsoku/>
              <w:wordWrap/>
              <w:overflowPunct/>
              <w:topLinePunct w:val="0"/>
              <w:bidi w:val="0"/>
              <w:spacing w:before="0" w:beforeAutospacing="0" w:after="0" w:afterAutospacing="0" w:line="360" w:lineRule="auto"/>
              <w:ind w:left="0" w:leftChars="0" w:firstLine="480"/>
            </w:pPr>
            <w:r>
              <w:rPr>
                <w:rFonts w:ascii="宋体" w:hAnsi="宋体" w:cs="宋体"/>
              </w:rPr>
              <w:t>（1）污水排放标准：</w:t>
            </w:r>
            <w:r>
              <w:rPr>
                <w:rFonts w:hint="eastAsia" w:ascii="宋体" w:hAnsi="宋体" w:cs="宋体"/>
              </w:rPr>
              <w:t>本项目不涉及生产废水，</w:t>
            </w:r>
            <w:r>
              <w:rPr>
                <w:rFonts w:hint="eastAsia" w:ascii="宋体" w:hAnsi="宋体"/>
              </w:rPr>
              <w:t>生活污水经过化粪池处理后用于排入园区污水管网，生活污水排放执行</w:t>
            </w:r>
            <w:r>
              <w:rPr>
                <w:rFonts w:hint="eastAsia" w:ascii="宋体" w:hAnsi="宋体"/>
                <w:highlight w:val="none"/>
              </w:rPr>
              <w:t>《污水综合排放标准》（</w:t>
            </w:r>
            <w:r>
              <w:rPr>
                <w:rFonts w:hint="eastAsia"/>
                <w:highlight w:val="none"/>
              </w:rPr>
              <w:t>GB</w:t>
            </w:r>
            <w:r>
              <w:rPr>
                <w:highlight w:val="none"/>
              </w:rPr>
              <w:t>8978</w:t>
            </w:r>
            <w:r>
              <w:rPr>
                <w:rFonts w:hint="eastAsia"/>
                <w:highlight w:val="none"/>
              </w:rPr>
              <w:t>-</w:t>
            </w:r>
            <w:r>
              <w:rPr>
                <w:highlight w:val="none"/>
              </w:rPr>
              <w:t>1996</w:t>
            </w:r>
            <w:r>
              <w:rPr>
                <w:rFonts w:hint="eastAsia" w:ascii="宋体" w:hAnsi="宋体"/>
                <w:highlight w:val="none"/>
              </w:rPr>
              <w:t>）中三级标准</w:t>
            </w:r>
            <w:r>
              <w:rPr>
                <w:rFonts w:hint="eastAsia" w:ascii="宋体" w:hAnsi="宋体"/>
              </w:rPr>
              <w:t>。具体如下：</w:t>
            </w:r>
          </w:p>
          <w:p>
            <w:pPr>
              <w:pStyle w:val="7"/>
              <w:keepNext w:val="0"/>
              <w:keepLines w:val="0"/>
              <w:pageBreakBefore w:val="0"/>
              <w:kinsoku/>
              <w:wordWrap/>
              <w:overflowPunct/>
              <w:topLinePunct w:val="0"/>
              <w:bidi w:val="0"/>
              <w:spacing w:beforeAutospacing="0" w:afterAutospacing="0" w:line="360" w:lineRule="auto"/>
              <w:ind w:left="0" w:leftChars="0" w:firstLine="210"/>
              <w:rPr>
                <w:sz w:val="21"/>
                <w:szCs w:val="21"/>
              </w:rPr>
            </w:pPr>
            <w:r>
              <w:rPr>
                <w:rFonts w:hint="eastAsia"/>
                <w:sz w:val="21"/>
                <w:szCs w:val="21"/>
              </w:rPr>
              <w:t>表3-</w:t>
            </w:r>
            <w:r>
              <w:rPr>
                <w:sz w:val="21"/>
                <w:szCs w:val="21"/>
              </w:rPr>
              <w:t>1</w:t>
            </w:r>
            <w:r>
              <w:rPr>
                <w:rFonts w:hint="eastAsia"/>
                <w:sz w:val="21"/>
                <w:szCs w:val="21"/>
                <w:lang w:val="en-US" w:eastAsia="zh-CN"/>
              </w:rPr>
              <w:t>6</w:t>
            </w:r>
            <w:r>
              <w:rPr>
                <w:sz w:val="21"/>
                <w:szCs w:val="21"/>
              </w:rPr>
              <w:t xml:space="preserve">  </w:t>
            </w:r>
            <w:r>
              <w:rPr>
                <w:rFonts w:hint="eastAsia"/>
                <w:sz w:val="21"/>
                <w:szCs w:val="21"/>
                <w:lang w:val="en-US" w:eastAsia="zh-CN"/>
              </w:rPr>
              <w:t>污水综合排放标准</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9"/>
              <w:gridCol w:w="1371"/>
              <w:gridCol w:w="1371"/>
              <w:gridCol w:w="137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污染物</w:t>
                  </w:r>
                </w:p>
              </w:tc>
              <w:tc>
                <w:tcPr>
                  <w:tcW w:w="50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pH</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CODmg/L</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imes New Roman" w:cs="Times New Roman"/>
                      <w:sz w:val="21"/>
                      <w:szCs w:val="21"/>
                    </w:rPr>
                    <w:t>mg/L</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SSmg/L</w:t>
                  </w:r>
                </w:p>
              </w:tc>
              <w:tc>
                <w:tcPr>
                  <w:tcW w:w="108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标准值</w:t>
                  </w:r>
                </w:p>
              </w:tc>
              <w:tc>
                <w:tcPr>
                  <w:tcW w:w="50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6-9</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500</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300</w:t>
                  </w:r>
                </w:p>
              </w:tc>
              <w:tc>
                <w:tcPr>
                  <w:tcW w:w="868"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400</w:t>
                  </w:r>
                </w:p>
              </w:tc>
              <w:tc>
                <w:tcPr>
                  <w:tcW w:w="108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注：氨氮参照执行《污水综合排放标准》（GB8978-1996）二级标准</w:t>
                  </w:r>
                </w:p>
              </w:tc>
            </w:tr>
          </w:tbl>
          <w:p>
            <w:pPr>
              <w:pStyle w:val="59"/>
              <w:keepNext w:val="0"/>
              <w:keepLines w:val="0"/>
              <w:pageBreakBefore w:val="0"/>
              <w:kinsoku/>
              <w:wordWrap/>
              <w:overflowPunct/>
              <w:topLinePunct w:val="0"/>
              <w:bidi w:val="0"/>
              <w:spacing w:before="0" w:beforeAutospacing="0" w:after="0" w:afterAutospacing="0" w:line="360" w:lineRule="auto"/>
              <w:ind w:left="0" w:leftChars="0" w:firstLine="480"/>
            </w:pPr>
            <w:r>
              <w:rPr>
                <w:rFonts w:ascii="宋体" w:hAnsi="宋体" w:cs="宋体"/>
              </w:rPr>
              <w:t>（2）大气污染物排放标准：</w:t>
            </w:r>
            <w:r>
              <w:rPr>
                <w:rFonts w:hint="eastAsia" w:ascii="宋体" w:hAnsi="宋体"/>
              </w:rPr>
              <w:t>本项目废气主要为危废贮存过程中产生的挥发性有机物，由于</w:t>
            </w:r>
            <w:r>
              <w:rPr>
                <w:rFonts w:hint="eastAsia"/>
              </w:rPr>
              <w:t>VOCs</w:t>
            </w:r>
            <w:r>
              <w:rPr>
                <w:rFonts w:hint="eastAsia" w:ascii="宋体" w:hAnsi="宋体"/>
              </w:rPr>
              <w:t>无相关排放标准，一般以</w:t>
            </w:r>
            <w:r>
              <w:rPr>
                <w:rFonts w:hint="eastAsia"/>
              </w:rPr>
              <w:t>TVOC</w:t>
            </w:r>
            <w:r>
              <w:rPr>
                <w:rFonts w:hint="eastAsia" w:ascii="宋体" w:hAnsi="宋体"/>
              </w:rPr>
              <w:t>或</w:t>
            </w:r>
            <w:r>
              <w:rPr>
                <w:rFonts w:hint="eastAsia"/>
              </w:rPr>
              <w:t>NMHC</w:t>
            </w:r>
            <w:r>
              <w:rPr>
                <w:rFonts w:hint="eastAsia" w:ascii="宋体" w:hAnsi="宋体"/>
              </w:rPr>
              <w:t>进行表征，本次采用</w:t>
            </w:r>
            <w:r>
              <w:rPr>
                <w:rFonts w:hint="eastAsia"/>
              </w:rPr>
              <w:t>NMHC</w:t>
            </w:r>
            <w:r>
              <w:rPr>
                <w:rFonts w:hint="eastAsia" w:ascii="宋体" w:hAnsi="宋体"/>
              </w:rPr>
              <w:t>进行表征，</w:t>
            </w:r>
            <w:r>
              <w:rPr>
                <w:rFonts w:hint="eastAsia"/>
              </w:rPr>
              <w:t>NMHC</w:t>
            </w:r>
            <w:r>
              <w:rPr>
                <w:rFonts w:hint="eastAsia" w:ascii="宋体" w:hAnsi="宋体"/>
              </w:rPr>
              <w:t>执行《大气污染物综合排放标准》（</w:t>
            </w:r>
            <w:r>
              <w:rPr>
                <w:rFonts w:hint="eastAsia"/>
              </w:rPr>
              <w:t>GB</w:t>
            </w:r>
            <w:r>
              <w:t>16297</w:t>
            </w:r>
            <w:r>
              <w:rPr>
                <w:rFonts w:hint="eastAsia"/>
              </w:rPr>
              <w:t>-</w:t>
            </w:r>
            <w:r>
              <w:t>1996</w:t>
            </w:r>
            <w:r>
              <w:rPr>
                <w:rFonts w:hint="eastAsia" w:ascii="宋体" w:hAnsi="宋体"/>
              </w:rPr>
              <w:t>）表2中二级标准。</w:t>
            </w:r>
          </w:p>
          <w:p>
            <w:pPr>
              <w:pStyle w:val="7"/>
              <w:keepNext w:val="0"/>
              <w:keepLines w:val="0"/>
              <w:pageBreakBefore w:val="0"/>
              <w:kinsoku/>
              <w:wordWrap/>
              <w:overflowPunct/>
              <w:topLinePunct w:val="0"/>
              <w:bidi w:val="0"/>
              <w:spacing w:beforeAutospacing="0" w:afterAutospacing="0" w:line="360" w:lineRule="auto"/>
              <w:ind w:left="0" w:leftChars="0" w:firstLine="210"/>
              <w:rPr>
                <w:sz w:val="21"/>
                <w:szCs w:val="21"/>
              </w:rPr>
            </w:pPr>
            <w:r>
              <w:rPr>
                <w:rFonts w:hint="eastAsia"/>
                <w:sz w:val="21"/>
                <w:szCs w:val="21"/>
              </w:rPr>
              <w:t>表3-</w:t>
            </w:r>
            <w:r>
              <w:rPr>
                <w:sz w:val="21"/>
                <w:szCs w:val="21"/>
              </w:rPr>
              <w:t>1</w:t>
            </w:r>
            <w:r>
              <w:rPr>
                <w:rFonts w:hint="eastAsia"/>
                <w:sz w:val="21"/>
                <w:szCs w:val="21"/>
                <w:lang w:val="en-US" w:eastAsia="zh-CN"/>
              </w:rPr>
              <w:t>7</w:t>
            </w:r>
            <w:r>
              <w:rPr>
                <w:sz w:val="21"/>
                <w:szCs w:val="21"/>
              </w:rPr>
              <w:t xml:space="preserve">  </w:t>
            </w:r>
            <w:r>
              <w:rPr>
                <w:rFonts w:hint="eastAsia"/>
                <w:sz w:val="21"/>
                <w:szCs w:val="21"/>
              </w:rPr>
              <w:t>大气污染物排放标准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983"/>
              <w:gridCol w:w="1302"/>
              <w:gridCol w:w="1226"/>
              <w:gridCol w:w="1469"/>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宋体" w:hAnsi="宋体" w:cs="Times New Roman"/>
                      <w:sz w:val="21"/>
                      <w:szCs w:val="21"/>
                    </w:rPr>
                    <w:t>污染物</w:t>
                  </w:r>
                </w:p>
              </w:tc>
              <w:tc>
                <w:tcPr>
                  <w:tcW w:w="6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宋体" w:hAnsi="宋体" w:cs="Times New Roman"/>
                      <w:sz w:val="21"/>
                      <w:szCs w:val="21"/>
                    </w:rPr>
                    <w:t>排气筒高度</w:t>
                  </w:r>
                  <w:r>
                    <w:rPr>
                      <w:rFonts w:ascii="Times New Roman" w:hAnsi="Times New Roman" w:cs="Times New Roman"/>
                      <w:sz w:val="21"/>
                      <w:szCs w:val="21"/>
                    </w:rPr>
                    <w:t>m</w:t>
                  </w:r>
                </w:p>
              </w:tc>
              <w:tc>
                <w:tcPr>
                  <w:tcW w:w="82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hint="eastAsia" w:ascii="宋体" w:hAnsi="宋体" w:cs="Times New Roman"/>
                      <w:sz w:val="21"/>
                      <w:szCs w:val="21"/>
                    </w:rPr>
                    <w:t>最高允许</w:t>
                  </w:r>
                  <w:r>
                    <w:rPr>
                      <w:rFonts w:ascii="宋体" w:hAnsi="宋体" w:cs="Times New Roman"/>
                      <w:sz w:val="21"/>
                      <w:szCs w:val="21"/>
                    </w:rPr>
                    <w:t>排放浓度</w:t>
                  </w:r>
                </w:p>
              </w:tc>
              <w:tc>
                <w:tcPr>
                  <w:tcW w:w="77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hint="eastAsia" w:ascii="宋体" w:hAnsi="宋体" w:cs="Times New Roman"/>
                      <w:sz w:val="21"/>
                      <w:szCs w:val="21"/>
                    </w:rPr>
                    <w:t>最高允许</w:t>
                  </w:r>
                  <w:r>
                    <w:rPr>
                      <w:rFonts w:ascii="宋体" w:hAnsi="宋体" w:cs="Times New Roman"/>
                      <w:sz w:val="21"/>
                      <w:szCs w:val="21"/>
                    </w:rPr>
                    <w:t>排放速率</w:t>
                  </w:r>
                </w:p>
              </w:tc>
              <w:tc>
                <w:tcPr>
                  <w:tcW w:w="930"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宋体" w:hAnsi="宋体" w:cs="Times New Roman"/>
                      <w:sz w:val="21"/>
                      <w:szCs w:val="21"/>
                    </w:rPr>
                    <w:t>厂界无组织控制标准</w:t>
                  </w:r>
                </w:p>
              </w:tc>
              <w:tc>
                <w:tcPr>
                  <w:tcW w:w="122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宋体" w:hAnsi="宋体"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NMHC</w:t>
                  </w:r>
                </w:p>
              </w:tc>
              <w:tc>
                <w:tcPr>
                  <w:tcW w:w="622"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15</w:t>
                  </w:r>
                </w:p>
              </w:tc>
              <w:tc>
                <w:tcPr>
                  <w:tcW w:w="824"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120mg/m</w:t>
                  </w:r>
                  <w:r>
                    <w:rPr>
                      <w:rFonts w:ascii="Times New Roman" w:hAnsi="Times New Roman" w:cs="Times New Roman"/>
                      <w:sz w:val="21"/>
                      <w:szCs w:val="21"/>
                      <w:vertAlign w:val="superscript"/>
                    </w:rPr>
                    <w:t>3</w:t>
                  </w:r>
                </w:p>
              </w:tc>
              <w:tc>
                <w:tcPr>
                  <w:tcW w:w="77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10kg/h</w:t>
                  </w:r>
                </w:p>
              </w:tc>
              <w:tc>
                <w:tcPr>
                  <w:tcW w:w="930"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4.0</w:t>
                  </w:r>
                  <w:r>
                    <w:rPr>
                      <w:rFonts w:hint="eastAsia" w:ascii="Times New Roman" w:hAnsi="Times New Roman" w:cs="Times New Roman"/>
                      <w:sz w:val="21"/>
                      <w:szCs w:val="21"/>
                    </w:rPr>
                    <w:t>mg</w:t>
                  </w: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226" w:type="pct"/>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rPr>
                      <w:rFonts w:ascii="Times New Roman" w:hAnsi="Times New Roman" w:cs="Times New Roman"/>
                      <w:sz w:val="21"/>
                      <w:szCs w:val="21"/>
                    </w:rPr>
                  </w:pPr>
                  <w:r>
                    <w:rPr>
                      <w:rFonts w:ascii="Times New Roman" w:hAnsi="Times New Roman" w:cs="Times New Roman"/>
                      <w:sz w:val="21"/>
                      <w:szCs w:val="21"/>
                    </w:rPr>
                    <w:t>DB43/1356-2017</w:t>
                  </w:r>
                </w:p>
              </w:tc>
            </w:tr>
          </w:tbl>
          <w:p>
            <w:pPr>
              <w:pStyle w:val="59"/>
              <w:keepNext w:val="0"/>
              <w:keepLines w:val="0"/>
              <w:pageBreakBefore w:val="0"/>
              <w:kinsoku/>
              <w:wordWrap/>
              <w:overflowPunct/>
              <w:topLinePunct w:val="0"/>
              <w:bidi w:val="0"/>
              <w:spacing w:before="0" w:beforeAutospacing="0" w:after="0" w:afterAutospacing="0" w:line="360" w:lineRule="auto"/>
              <w:ind w:left="0" w:leftChars="0" w:firstLine="480"/>
              <w:rPr>
                <w:rFonts w:ascii="宋体" w:hAnsi="宋体" w:cs="宋体"/>
              </w:rPr>
            </w:pPr>
            <w:r>
              <w:rPr>
                <w:rFonts w:ascii="宋体" w:hAnsi="宋体" w:cs="宋体"/>
              </w:rPr>
              <w:t>（3）噪声控制标准：</w:t>
            </w:r>
            <w:r>
              <w:rPr>
                <w:rFonts w:hint="eastAsia" w:ascii="宋体" w:hAnsi="宋体" w:cs="宋体"/>
              </w:rPr>
              <w:t>项目施工期执行《建筑施工场界环境噪声排放标准》（GB12523-2011）；营运期厂界噪声执行《工业企业厂界环境噪声排放标准》 (GB12348-2008)表1中</w:t>
            </w:r>
            <w:r>
              <w:rPr>
                <w:rFonts w:ascii="宋体" w:hAnsi="宋体" w:cs="宋体"/>
              </w:rPr>
              <w:t>3</w:t>
            </w:r>
            <w:r>
              <w:rPr>
                <w:rFonts w:hint="eastAsia" w:ascii="宋体" w:hAnsi="宋体" w:cs="宋体"/>
              </w:rPr>
              <w:t>类标准（昼间6</w:t>
            </w:r>
            <w:r>
              <w:rPr>
                <w:rFonts w:ascii="宋体" w:hAnsi="宋体" w:cs="宋体"/>
              </w:rPr>
              <w:t>5</w:t>
            </w:r>
            <w:r>
              <w:rPr>
                <w:rFonts w:hint="eastAsia" w:ascii="宋体" w:hAnsi="宋体" w:cs="宋体"/>
              </w:rPr>
              <w:t>dB(A)，夜间5</w:t>
            </w:r>
            <w:r>
              <w:rPr>
                <w:rFonts w:ascii="宋体" w:hAnsi="宋体" w:cs="宋体"/>
              </w:rPr>
              <w:t>5</w:t>
            </w:r>
            <w:r>
              <w:rPr>
                <w:rFonts w:hint="eastAsia" w:ascii="宋体" w:hAnsi="宋体" w:cs="宋体"/>
              </w:rPr>
              <w:t>dB(A)）。</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ascii="宋体" w:hAnsi="宋体" w:cs="宋体"/>
                <w:kern w:val="0"/>
                <w:sz w:val="24"/>
              </w:rPr>
            </w:pPr>
            <w:r>
              <w:rPr>
                <w:rFonts w:ascii="宋体" w:hAnsi="宋体" w:cs="宋体"/>
                <w:kern w:val="0"/>
                <w:sz w:val="24"/>
              </w:rPr>
              <w:t>（4）固体废物标准：</w:t>
            </w:r>
            <w:r>
              <w:rPr>
                <w:rFonts w:hint="eastAsia" w:ascii="宋体" w:hAnsi="宋体" w:cs="宋体"/>
                <w:kern w:val="0"/>
                <w:sz w:val="24"/>
              </w:rPr>
              <w:t>生活垃圾执行《生活垃圾填埋污染控制标准》（GB16889-2008）；危险废物执行《危险废物贮存污染控制标准》（GB18597-2001）及2013年修改单中的相关规定。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99"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总量</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控制</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r>
              <w:rPr>
                <w:rFonts w:hint="eastAsia" w:ascii="宋体" w:hAnsi="宋体" w:cs="宋体"/>
                <w:kern w:val="0"/>
                <w:sz w:val="24"/>
              </w:rPr>
              <w:t>指标</w:t>
            </w:r>
          </w:p>
        </w:tc>
        <w:tc>
          <w:tcPr>
            <w:tcW w:w="812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ascii="宋体" w:hAnsi="宋体" w:cs="宋体"/>
                <w:kern w:val="0"/>
                <w:sz w:val="24"/>
              </w:rPr>
            </w:pPr>
            <w:r>
              <w:rPr>
                <w:rFonts w:hint="eastAsia" w:ascii="宋体" w:hAnsi="宋体" w:cs="宋体"/>
                <w:kern w:val="0"/>
                <w:sz w:val="24"/>
              </w:rPr>
              <w:t>结合国家总量控制要求与本工程污染源分析，项目实施总量控制因子主要为：VOCs。</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jc w:val="left"/>
              <w:rPr>
                <w:rFonts w:hint="eastAsia" w:ascii="宋体" w:hAnsi="宋体" w:cs="宋体"/>
                <w:kern w:val="0"/>
                <w:sz w:val="24"/>
              </w:rPr>
            </w:pPr>
            <w:r>
              <w:rPr>
                <w:rFonts w:hint="eastAsia" w:ascii="宋体" w:hAnsi="宋体" w:cs="宋体"/>
                <w:kern w:val="0"/>
                <w:sz w:val="24"/>
              </w:rPr>
              <w:t>本项目总量建议指标为VOCs：</w:t>
            </w:r>
            <w:r>
              <w:rPr>
                <w:rFonts w:hint="eastAsia" w:ascii="宋体" w:hAnsi="宋体" w:cs="宋体"/>
                <w:kern w:val="0"/>
                <w:sz w:val="24"/>
                <w:lang w:val="en-US" w:eastAsia="zh-CN"/>
              </w:rPr>
              <w:t>0.1537</w:t>
            </w:r>
            <w:r>
              <w:rPr>
                <w:rFonts w:hint="eastAsia" w:ascii="宋体" w:hAnsi="宋体" w:cs="宋体"/>
                <w:kern w:val="0"/>
                <w:sz w:val="24"/>
              </w:rPr>
              <w:t>t/a。</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kern w:val="0"/>
                <w:sz w:val="24"/>
              </w:rPr>
            </w:pPr>
          </w:p>
        </w:tc>
      </w:tr>
    </w:tbl>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4" w:name="_Toc75787039"/>
      <w:r>
        <w:rPr>
          <w:rFonts w:hint="eastAsia" w:ascii="黑体" w:hAnsi="黑体" w:eastAsia="黑体"/>
          <w:snapToGrid w:val="0"/>
          <w:sz w:val="30"/>
          <w:szCs w:val="30"/>
        </w:rPr>
        <w:t>四、主要环境影响和保护措施</w:t>
      </w:r>
      <w:bookmarkEnd w:id="4"/>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54" w:type="pct"/>
            <w:tcMar>
              <w:left w:w="28" w:type="dxa"/>
              <w:right w:w="28" w:type="dxa"/>
            </w:tcMar>
            <w:vAlign w:val="center"/>
          </w:tcPr>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kern w:val="2"/>
                <w:szCs w:val="24"/>
              </w:rPr>
            </w:pPr>
            <w:r>
              <w:rPr>
                <w:rFonts w:hint="eastAsia" w:cs="宋体"/>
                <w:kern w:val="2"/>
                <w:szCs w:val="24"/>
              </w:rPr>
              <w:t>施工</w:t>
            </w:r>
          </w:p>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kern w:val="2"/>
                <w:szCs w:val="24"/>
              </w:rPr>
            </w:pPr>
            <w:r>
              <w:rPr>
                <w:rFonts w:hint="eastAsia" w:cs="宋体"/>
                <w:kern w:val="2"/>
                <w:szCs w:val="24"/>
              </w:rPr>
              <w:t>期环</w:t>
            </w:r>
          </w:p>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kern w:val="2"/>
                <w:szCs w:val="24"/>
              </w:rPr>
            </w:pPr>
            <w:r>
              <w:rPr>
                <w:rFonts w:hint="eastAsia" w:cs="宋体"/>
                <w:kern w:val="2"/>
                <w:szCs w:val="24"/>
              </w:rPr>
              <w:t>境保</w:t>
            </w:r>
          </w:p>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kern w:val="2"/>
                <w:szCs w:val="24"/>
              </w:rPr>
            </w:pPr>
            <w:r>
              <w:rPr>
                <w:rFonts w:hint="eastAsia" w:cs="宋体"/>
                <w:kern w:val="2"/>
                <w:szCs w:val="24"/>
              </w:rPr>
              <w:t>护措</w:t>
            </w:r>
          </w:p>
          <w:p>
            <w:pPr>
              <w:pStyle w:val="18"/>
              <w:keepNext w:val="0"/>
              <w:keepLines w:val="0"/>
              <w:pageBreakBefore w:val="0"/>
              <w:kinsoku/>
              <w:wordWrap/>
              <w:overflowPunct/>
              <w:topLinePunct w:val="0"/>
              <w:bidi w:val="0"/>
              <w:adjustRightInd w:val="0"/>
              <w:snapToGrid w:val="0"/>
              <w:spacing w:before="0" w:beforeAutospacing="0" w:after="0" w:afterAutospacing="0" w:line="360" w:lineRule="auto"/>
              <w:ind w:left="0" w:leftChars="0"/>
              <w:jc w:val="center"/>
              <w:rPr>
                <w:rFonts w:cs="宋体"/>
                <w:bCs/>
                <w:kern w:val="2"/>
                <w:szCs w:val="24"/>
              </w:rPr>
            </w:pPr>
            <w:r>
              <w:rPr>
                <w:rFonts w:hint="eastAsia" w:cs="宋体"/>
                <w:kern w:val="2"/>
                <w:szCs w:val="24"/>
              </w:rPr>
              <w:t>施</w:t>
            </w:r>
          </w:p>
        </w:tc>
        <w:tc>
          <w:tcPr>
            <w:tcW w:w="4646" w:type="pct"/>
            <w:vAlign w:val="center"/>
          </w:tcPr>
          <w:p>
            <w:pPr>
              <w:keepNext w:val="0"/>
              <w:keepLines w:val="0"/>
              <w:pageBreakBefore w:val="0"/>
              <w:widowControl/>
              <w:kinsoku/>
              <w:wordWrap/>
              <w:overflowPunct/>
              <w:topLinePunct w:val="0"/>
              <w:autoSpaceDE/>
              <w:autoSpaceDN/>
              <w:bidi w:val="0"/>
              <w:spacing w:beforeAutospacing="0" w:afterAutospacing="0" w:line="360" w:lineRule="auto"/>
              <w:ind w:left="0" w:leftChars="0" w:firstLine="480" w:firstLineChars="200"/>
              <w:rPr>
                <w:kern w:val="0"/>
                <w:sz w:val="24"/>
              </w:rPr>
            </w:pPr>
            <w:r>
              <w:rPr>
                <w:rFonts w:hint="eastAsia"/>
                <w:kern w:val="0"/>
                <w:sz w:val="24"/>
              </w:rPr>
              <w:t>本项目位于</w:t>
            </w:r>
            <w:r>
              <w:rPr>
                <w:rFonts w:hint="eastAsia" w:ascii="宋体" w:hAnsi="宋体" w:cs="宋体"/>
                <w:kern w:val="0"/>
                <w:sz w:val="24"/>
                <w:highlight w:val="none"/>
                <w:lang w:val="en-US" w:eastAsia="zh-CN"/>
              </w:rPr>
              <w:t>祁东经济开发区归阳工业园</w:t>
            </w:r>
            <w:r>
              <w:rPr>
                <w:rFonts w:hint="eastAsia"/>
                <w:kern w:val="0"/>
                <w:sz w:val="24"/>
              </w:rPr>
              <w:t>，</w:t>
            </w:r>
            <w:r>
              <w:rPr>
                <w:rFonts w:hint="eastAsia" w:ascii="宋体" w:hAnsi="宋体" w:cs="宋体"/>
                <w:kern w:val="0"/>
                <w:sz w:val="24"/>
                <w:highlight w:val="none"/>
                <w:lang w:val="en-US" w:eastAsia="zh-CN"/>
              </w:rPr>
              <w:t>租赁园区现有厂房</w:t>
            </w:r>
            <w:r>
              <w:rPr>
                <w:rFonts w:hint="eastAsia" w:ascii="宋体" w:hAnsi="宋体" w:cs="宋体"/>
                <w:kern w:val="0"/>
                <w:sz w:val="24"/>
                <w:highlight w:val="none"/>
              </w:rPr>
              <w:t>，不新增用地</w:t>
            </w:r>
            <w:r>
              <w:rPr>
                <w:rFonts w:hint="eastAsia"/>
                <w:kern w:val="0"/>
                <w:sz w:val="24"/>
              </w:rPr>
              <w:t>，需</w:t>
            </w:r>
            <w:r>
              <w:rPr>
                <w:rFonts w:hint="eastAsia"/>
                <w:kern w:val="0"/>
                <w:sz w:val="24"/>
                <w:lang w:val="en-US" w:eastAsia="zh-CN"/>
              </w:rPr>
              <w:t>对</w:t>
            </w:r>
            <w:r>
              <w:rPr>
                <w:rFonts w:hint="eastAsia"/>
                <w:kern w:val="0"/>
                <w:sz w:val="24"/>
              </w:rPr>
              <w:t>厂房进行</w:t>
            </w:r>
            <w:r>
              <w:rPr>
                <w:rFonts w:hint="eastAsia"/>
                <w:kern w:val="0"/>
                <w:sz w:val="24"/>
                <w:lang w:val="en-US" w:eastAsia="zh-CN"/>
              </w:rPr>
              <w:t>改造</w:t>
            </w:r>
            <w:r>
              <w:rPr>
                <w:rFonts w:hint="eastAsia"/>
                <w:kern w:val="0"/>
                <w:sz w:val="24"/>
              </w:rPr>
              <w:t>活动。</w:t>
            </w:r>
            <w:r>
              <w:rPr>
                <w:rFonts w:hint="default" w:ascii="Times New Roman" w:hAnsi="Times New Roman" w:eastAsia="宋体" w:cs="Times New Roman"/>
                <w:kern w:val="0"/>
                <w:sz w:val="24"/>
                <w:szCs w:val="20"/>
                <w:u w:val="none"/>
              </w:rPr>
              <w:t>施工期主要为导流沟建设及存储车间的防渗</w:t>
            </w:r>
            <w:r>
              <w:rPr>
                <w:rFonts w:hint="eastAsia" w:ascii="Times New Roman" w:hAnsi="Times New Roman" w:eastAsia="宋体" w:cs="Times New Roman"/>
                <w:kern w:val="0"/>
                <w:sz w:val="24"/>
                <w:szCs w:val="20"/>
                <w:u w:val="none"/>
                <w:lang w:eastAsia="zh-CN"/>
              </w:rPr>
              <w:t>设施建设</w:t>
            </w:r>
            <w:r>
              <w:rPr>
                <w:rFonts w:hint="default" w:ascii="Times New Roman" w:hAnsi="Times New Roman" w:eastAsia="宋体" w:cs="Times New Roman"/>
                <w:kern w:val="0"/>
                <w:sz w:val="24"/>
                <w:szCs w:val="20"/>
                <w:u w:val="none"/>
              </w:rPr>
              <w:t>，</w:t>
            </w:r>
            <w:r>
              <w:rPr>
                <w:rFonts w:hint="eastAsia" w:ascii="Times New Roman" w:hAnsi="Times New Roman" w:eastAsia="宋体" w:cs="Times New Roman"/>
                <w:kern w:val="0"/>
                <w:sz w:val="24"/>
                <w:szCs w:val="20"/>
                <w:u w:val="none"/>
                <w:lang w:eastAsia="zh-CN"/>
              </w:rPr>
              <w:t>以及</w:t>
            </w:r>
            <w:r>
              <w:rPr>
                <w:rFonts w:hint="default" w:ascii="Times New Roman" w:hAnsi="Times New Roman" w:eastAsia="宋体" w:cs="Times New Roman"/>
                <w:kern w:val="0"/>
                <w:sz w:val="24"/>
                <w:szCs w:val="20"/>
                <w:u w:val="none"/>
              </w:rPr>
              <w:t>少量的装饰工程</w:t>
            </w:r>
            <w:r>
              <w:rPr>
                <w:rFonts w:hint="eastAsia" w:ascii="Times New Roman" w:hAnsi="Times New Roman" w:eastAsia="宋体" w:cs="Times New Roman"/>
                <w:kern w:val="0"/>
                <w:sz w:val="24"/>
                <w:szCs w:val="20"/>
                <w:u w:val="none"/>
                <w:lang w:eastAsia="zh-CN"/>
              </w:rPr>
              <w:t>，</w:t>
            </w:r>
            <w:r>
              <w:rPr>
                <w:rFonts w:hint="default" w:ascii="Times New Roman" w:hAnsi="Times New Roman" w:eastAsia="宋体" w:cs="Times New Roman"/>
                <w:kern w:val="0"/>
                <w:sz w:val="24"/>
                <w:szCs w:val="20"/>
                <w:u w:val="none"/>
              </w:rPr>
              <w:t>因此，项目施工期产生的污染较少，主要为少量施工粉尘、施工噪声、建筑垃圾，以及施工人员生活垃圾和生活污水等。</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（1）污染源强分析</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项目施工期产生的环境影响因素主要有：施工机械设备的噪声、</w:t>
            </w:r>
            <w:r>
              <w:rPr>
                <w:rFonts w:hint="eastAsia" w:ascii="Times New Roman" w:hAnsi="Times New Roman" w:eastAsia="宋体" w:cs="Times New Roman"/>
                <w:kern w:val="0"/>
                <w:sz w:val="24"/>
                <w:szCs w:val="20"/>
                <w:u w:val="none"/>
                <w:lang w:eastAsia="zh-CN"/>
              </w:rPr>
              <w:t>建筑垃圾</w:t>
            </w:r>
            <w:r>
              <w:rPr>
                <w:rFonts w:hint="default" w:ascii="Times New Roman" w:hAnsi="Times New Roman" w:eastAsia="宋体" w:cs="Times New Roman"/>
                <w:kern w:val="0"/>
                <w:sz w:val="24"/>
                <w:szCs w:val="20"/>
                <w:u w:val="none"/>
              </w:rPr>
              <w:t>、运输车辆尾气、扬尘及施工人员生活污水</w:t>
            </w:r>
            <w:r>
              <w:rPr>
                <w:rFonts w:hint="eastAsia" w:ascii="Times New Roman" w:hAnsi="Times New Roman" w:eastAsia="宋体" w:cs="Times New Roman"/>
                <w:kern w:val="0"/>
                <w:sz w:val="24"/>
                <w:szCs w:val="20"/>
                <w:u w:val="none"/>
                <w:lang w:eastAsia="zh-CN"/>
              </w:rPr>
              <w:t>、生活垃圾</w:t>
            </w:r>
            <w:r>
              <w:rPr>
                <w:rFonts w:hint="default" w:ascii="Times New Roman" w:hAnsi="Times New Roman" w:eastAsia="宋体" w:cs="Times New Roman"/>
                <w:kern w:val="0"/>
                <w:sz w:val="24"/>
                <w:szCs w:val="20"/>
                <w:u w:val="none"/>
              </w:rPr>
              <w:t>等。</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①水污染环节</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建设时期的废水主要来自于建筑施工废水和施工人员的生活污水，依托</w:t>
            </w:r>
            <w:r>
              <w:rPr>
                <w:rFonts w:hint="eastAsia" w:cs="Times New Roman"/>
                <w:kern w:val="0"/>
                <w:sz w:val="24"/>
                <w:szCs w:val="20"/>
                <w:u w:val="none"/>
                <w:lang w:val="en-US" w:eastAsia="zh-CN"/>
              </w:rPr>
              <w:t>厂房</w:t>
            </w:r>
            <w:r>
              <w:rPr>
                <w:rFonts w:hint="eastAsia" w:ascii="Times New Roman" w:hAnsi="Times New Roman" w:eastAsia="宋体" w:cs="Times New Roman"/>
                <w:kern w:val="0"/>
                <w:sz w:val="24"/>
                <w:szCs w:val="20"/>
                <w:u w:val="none"/>
                <w:lang w:eastAsia="zh-CN"/>
              </w:rPr>
              <w:t>厕所</w:t>
            </w:r>
            <w:r>
              <w:rPr>
                <w:rFonts w:hint="default" w:ascii="Times New Roman" w:hAnsi="Times New Roman" w:eastAsia="宋体" w:cs="Times New Roman"/>
                <w:kern w:val="0"/>
                <w:sz w:val="24"/>
                <w:szCs w:val="20"/>
                <w:u w:val="none"/>
              </w:rPr>
              <w:t>现有化粪池及污水排放系统。</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eastAsia" w:ascii="Times New Roman" w:hAnsi="Times New Roman" w:eastAsia="宋体" w:cs="Times New Roman"/>
                <w:kern w:val="0"/>
                <w:sz w:val="24"/>
                <w:szCs w:val="20"/>
                <w:u w:val="none"/>
                <w:lang w:eastAsia="zh-CN"/>
              </w:rPr>
            </w:pPr>
            <w:r>
              <w:rPr>
                <w:rFonts w:hint="default" w:ascii="Times New Roman" w:hAnsi="Times New Roman" w:eastAsia="宋体" w:cs="Times New Roman"/>
                <w:kern w:val="0"/>
                <w:sz w:val="24"/>
                <w:szCs w:val="20"/>
                <w:u w:val="none"/>
              </w:rPr>
              <w:t>建筑施工废水</w:t>
            </w:r>
            <w:r>
              <w:rPr>
                <w:rFonts w:hint="eastAsia" w:ascii="Times New Roman" w:hAnsi="Times New Roman" w:eastAsia="宋体" w:cs="Times New Roman"/>
                <w:kern w:val="0"/>
                <w:sz w:val="24"/>
                <w:szCs w:val="20"/>
                <w:u w:val="none"/>
                <w:lang w:eastAsia="zh-CN"/>
              </w:rPr>
              <w:t>：</w:t>
            </w:r>
            <w:r>
              <w:rPr>
                <w:rFonts w:hint="default" w:ascii="Times New Roman" w:hAnsi="Times New Roman" w:eastAsia="宋体" w:cs="Times New Roman"/>
                <w:kern w:val="0"/>
                <w:sz w:val="24"/>
                <w:szCs w:val="20"/>
                <w:u w:val="none"/>
              </w:rPr>
              <w:t>施工废水包括建设过程中产生的泥浆水、机械设备和车辆的冲洗水。其中主要污染物为石油类和SS，石油类浓度为10～300mg/L，SS污染物浓度约为400～500mg/L。</w:t>
            </w:r>
            <w:r>
              <w:rPr>
                <w:rFonts w:hint="eastAsia" w:ascii="Times New Roman" w:hAnsi="Times New Roman" w:eastAsia="宋体" w:cs="Times New Roman"/>
                <w:kern w:val="0"/>
                <w:sz w:val="24"/>
                <w:szCs w:val="20"/>
                <w:u w:val="none"/>
                <w:lang w:eastAsia="zh-CN"/>
              </w:rPr>
              <w:t>该部分废水回用于厂区绿化和洒水抑尘。</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施工人员生活污水</w:t>
            </w:r>
            <w:r>
              <w:rPr>
                <w:rFonts w:hint="eastAsia" w:ascii="Times New Roman" w:hAnsi="Times New Roman" w:eastAsia="宋体" w:cs="Times New Roman"/>
                <w:kern w:val="0"/>
                <w:sz w:val="24"/>
                <w:szCs w:val="20"/>
                <w:u w:val="none"/>
                <w:lang w:eastAsia="zh-CN"/>
              </w:rPr>
              <w:t>：</w:t>
            </w:r>
            <w:r>
              <w:rPr>
                <w:rFonts w:hint="default" w:ascii="Times New Roman" w:hAnsi="Times New Roman" w:eastAsia="宋体" w:cs="Times New Roman"/>
                <w:kern w:val="0"/>
                <w:sz w:val="24"/>
                <w:szCs w:val="20"/>
                <w:u w:val="none"/>
              </w:rPr>
              <w:t>本项目施工期劳动定员为</w:t>
            </w:r>
            <w:r>
              <w:rPr>
                <w:rFonts w:hint="eastAsia" w:ascii="Times New Roman" w:hAnsi="Times New Roman" w:eastAsia="宋体" w:cs="Times New Roman"/>
                <w:kern w:val="0"/>
                <w:sz w:val="24"/>
                <w:szCs w:val="20"/>
                <w:u w:val="none"/>
                <w:lang w:val="en-US" w:eastAsia="zh-CN"/>
              </w:rPr>
              <w:t>5</w:t>
            </w:r>
            <w:r>
              <w:rPr>
                <w:rFonts w:hint="default" w:ascii="Times New Roman" w:hAnsi="Times New Roman" w:eastAsia="宋体" w:cs="Times New Roman"/>
                <w:kern w:val="0"/>
                <w:sz w:val="24"/>
                <w:szCs w:val="20"/>
                <w:u w:val="none"/>
              </w:rPr>
              <w:t>人，不在厂区内食宿，故无食堂废水产生。生活污水主要为施工人员盥洗水，依托场地原有卫生间，主要污染物为COD、SS、NH</w:t>
            </w:r>
            <w:r>
              <w:rPr>
                <w:rFonts w:hint="default" w:ascii="Times New Roman" w:hAnsi="Times New Roman" w:eastAsia="宋体" w:cs="Times New Roman"/>
                <w:kern w:val="0"/>
                <w:sz w:val="24"/>
                <w:szCs w:val="20"/>
                <w:u w:val="none"/>
                <w:vertAlign w:val="subscript"/>
              </w:rPr>
              <w:t>3</w:t>
            </w:r>
            <w:r>
              <w:rPr>
                <w:rFonts w:hint="default" w:ascii="Times New Roman" w:hAnsi="Times New Roman" w:eastAsia="宋体" w:cs="Times New Roman"/>
                <w:kern w:val="0"/>
                <w:sz w:val="24"/>
                <w:szCs w:val="20"/>
                <w:u w:val="none"/>
              </w:rPr>
              <w:t>-N，施工人员盥洗水按30L/人·d，则盥洗用水量为0.</w:t>
            </w:r>
            <w:r>
              <w:rPr>
                <w:rFonts w:hint="default" w:ascii="Times New Roman" w:hAnsi="Times New Roman" w:eastAsia="宋体" w:cs="Times New Roman"/>
                <w:kern w:val="0"/>
                <w:sz w:val="24"/>
                <w:szCs w:val="20"/>
                <w:u w:val="none"/>
                <w:lang w:val="en-US" w:eastAsia="zh-CN"/>
              </w:rPr>
              <w:t>1</w:t>
            </w:r>
            <w:r>
              <w:rPr>
                <w:rFonts w:hint="eastAsia" w:ascii="Times New Roman" w:hAnsi="Times New Roman" w:eastAsia="宋体" w:cs="Times New Roman"/>
                <w:kern w:val="0"/>
                <w:sz w:val="24"/>
                <w:szCs w:val="20"/>
                <w:u w:val="none"/>
                <w:lang w:val="en-US" w:eastAsia="zh-CN"/>
              </w:rPr>
              <w:t>5</w:t>
            </w:r>
            <w:r>
              <w:rPr>
                <w:rFonts w:hint="default" w:ascii="Times New Roman" w:hAnsi="Times New Roman" w:eastAsia="宋体" w:cs="Times New Roman"/>
                <w:kern w:val="0"/>
                <w:sz w:val="24"/>
                <w:szCs w:val="20"/>
                <w:u w:val="none"/>
              </w:rPr>
              <w:t>m</w:t>
            </w:r>
            <w:r>
              <w:rPr>
                <w:rFonts w:hint="default" w:ascii="Times New Roman" w:hAnsi="Times New Roman" w:eastAsia="宋体" w:cs="Times New Roman"/>
                <w:kern w:val="0"/>
                <w:sz w:val="24"/>
                <w:szCs w:val="20"/>
                <w:u w:val="none"/>
                <w:vertAlign w:val="superscript"/>
              </w:rPr>
              <w:t>3</w:t>
            </w:r>
            <w:r>
              <w:rPr>
                <w:rFonts w:hint="default" w:ascii="Times New Roman" w:hAnsi="Times New Roman" w:eastAsia="宋体" w:cs="Times New Roman"/>
                <w:kern w:val="0"/>
                <w:sz w:val="24"/>
                <w:szCs w:val="20"/>
                <w:u w:val="none"/>
              </w:rPr>
              <w:t>/d，污水排放系数以0.8计算，则生活污水排放量约为0.</w:t>
            </w:r>
            <w:r>
              <w:rPr>
                <w:rFonts w:hint="default" w:ascii="Times New Roman" w:hAnsi="Times New Roman" w:eastAsia="宋体" w:cs="Times New Roman"/>
                <w:kern w:val="0"/>
                <w:sz w:val="24"/>
                <w:szCs w:val="20"/>
                <w:u w:val="none"/>
                <w:lang w:val="en-US" w:eastAsia="zh-CN"/>
              </w:rPr>
              <w:t>1</w:t>
            </w:r>
            <w:r>
              <w:rPr>
                <w:rFonts w:hint="eastAsia" w:ascii="Times New Roman" w:hAnsi="Times New Roman" w:eastAsia="宋体" w:cs="Times New Roman"/>
                <w:kern w:val="0"/>
                <w:sz w:val="24"/>
                <w:szCs w:val="20"/>
                <w:u w:val="none"/>
                <w:lang w:val="en-US" w:eastAsia="zh-CN"/>
              </w:rPr>
              <w:t>2</w:t>
            </w:r>
            <w:r>
              <w:rPr>
                <w:rFonts w:hint="default" w:ascii="Times New Roman" w:hAnsi="Times New Roman" w:eastAsia="宋体" w:cs="Times New Roman"/>
                <w:kern w:val="0"/>
                <w:sz w:val="24"/>
                <w:szCs w:val="20"/>
                <w:u w:val="none"/>
              </w:rPr>
              <w:t>m</w:t>
            </w:r>
            <w:r>
              <w:rPr>
                <w:rFonts w:hint="default" w:ascii="Times New Roman" w:hAnsi="Times New Roman" w:eastAsia="宋体" w:cs="Times New Roman"/>
                <w:kern w:val="0"/>
                <w:sz w:val="24"/>
                <w:szCs w:val="20"/>
                <w:u w:val="none"/>
                <w:vertAlign w:val="superscript"/>
              </w:rPr>
              <w:t>3</w:t>
            </w:r>
            <w:r>
              <w:rPr>
                <w:rFonts w:hint="default" w:ascii="Times New Roman" w:hAnsi="Times New Roman" w:eastAsia="宋体" w:cs="Times New Roman"/>
                <w:kern w:val="0"/>
                <w:sz w:val="24"/>
                <w:szCs w:val="20"/>
                <w:u w:val="none"/>
              </w:rPr>
              <w:t>/d，累计施工时长为</w:t>
            </w:r>
            <w:r>
              <w:rPr>
                <w:rFonts w:hint="eastAsia" w:cs="Times New Roman"/>
                <w:kern w:val="0"/>
                <w:sz w:val="24"/>
                <w:szCs w:val="20"/>
                <w:u w:val="none"/>
                <w:lang w:val="en-US" w:eastAsia="zh-CN"/>
              </w:rPr>
              <w:t>2</w:t>
            </w:r>
            <w:r>
              <w:rPr>
                <w:rFonts w:hint="default" w:ascii="Times New Roman" w:hAnsi="Times New Roman" w:eastAsia="宋体" w:cs="Times New Roman"/>
                <w:kern w:val="0"/>
                <w:sz w:val="24"/>
                <w:szCs w:val="20"/>
                <w:u w:val="none"/>
              </w:rPr>
              <w:t>个月，生活污水排放总量为</w:t>
            </w:r>
            <w:r>
              <w:rPr>
                <w:rFonts w:hint="eastAsia" w:cs="Times New Roman"/>
                <w:kern w:val="0"/>
                <w:sz w:val="24"/>
                <w:szCs w:val="20"/>
                <w:u w:val="none"/>
                <w:lang w:val="en-US" w:eastAsia="zh-CN"/>
              </w:rPr>
              <w:t>7.2</w:t>
            </w:r>
            <w:r>
              <w:rPr>
                <w:rFonts w:hint="default" w:ascii="Times New Roman" w:hAnsi="Times New Roman" w:eastAsia="宋体" w:cs="Times New Roman"/>
                <w:kern w:val="0"/>
                <w:sz w:val="24"/>
                <w:szCs w:val="20"/>
                <w:u w:val="none"/>
              </w:rPr>
              <w:t>m</w:t>
            </w:r>
            <w:r>
              <w:rPr>
                <w:rFonts w:hint="default" w:ascii="Times New Roman" w:hAnsi="Times New Roman" w:eastAsia="宋体" w:cs="Times New Roman"/>
                <w:kern w:val="0"/>
                <w:sz w:val="24"/>
                <w:szCs w:val="20"/>
                <w:u w:val="none"/>
                <w:vertAlign w:val="superscript"/>
              </w:rPr>
              <w:t>3</w:t>
            </w:r>
            <w:r>
              <w:rPr>
                <w:rFonts w:hint="default" w:ascii="Times New Roman" w:hAnsi="Times New Roman" w:eastAsia="宋体" w:cs="Times New Roman"/>
                <w:kern w:val="0"/>
                <w:sz w:val="24"/>
                <w:szCs w:val="20"/>
                <w:u w:val="none"/>
              </w:rPr>
              <w:t>。经化粪池处理后，经园区污水管网排入</w:t>
            </w:r>
            <w:r>
              <w:rPr>
                <w:rFonts w:hint="eastAsia" w:cs="Times New Roman"/>
                <w:kern w:val="0"/>
                <w:sz w:val="24"/>
                <w:szCs w:val="20"/>
                <w:u w:val="none"/>
                <w:lang w:val="en-US" w:eastAsia="zh-CN"/>
              </w:rPr>
              <w:t>园区</w:t>
            </w:r>
            <w:r>
              <w:rPr>
                <w:rFonts w:hint="default" w:ascii="Times New Roman" w:hAnsi="Times New Roman" w:eastAsia="宋体" w:cs="Times New Roman"/>
                <w:kern w:val="0"/>
                <w:sz w:val="24"/>
                <w:szCs w:val="20"/>
                <w:u w:val="none"/>
              </w:rPr>
              <w:t>污水处理厂处理达标后排入湘江。施工人员产生的生活污水中主要污染物及其水质浓度如下：COD：250~350mg/L、SS：150~220mg/L、NH</w:t>
            </w:r>
            <w:r>
              <w:rPr>
                <w:rFonts w:hint="default" w:ascii="Times New Roman" w:hAnsi="Times New Roman" w:eastAsia="宋体" w:cs="Times New Roman"/>
                <w:kern w:val="0"/>
                <w:sz w:val="24"/>
                <w:szCs w:val="20"/>
                <w:u w:val="none"/>
                <w:vertAlign w:val="subscript"/>
              </w:rPr>
              <w:t>3</w:t>
            </w:r>
            <w:r>
              <w:rPr>
                <w:rFonts w:hint="default" w:ascii="Times New Roman" w:hAnsi="Times New Roman" w:eastAsia="宋体" w:cs="Times New Roman"/>
                <w:kern w:val="0"/>
                <w:sz w:val="24"/>
                <w:szCs w:val="20"/>
                <w:u w:val="none"/>
              </w:rPr>
              <w:t>-N：25~45mg/L。</w:t>
            </w:r>
          </w:p>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②噪声污染环节</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2"/>
              <w:textAlignment w:val="auto"/>
              <w:rPr>
                <w:rFonts w:hint="default" w:ascii="Times New Roman" w:hAnsi="Times New Roman" w:eastAsia="宋体" w:cs="Times New Roman"/>
                <w:sz w:val="24"/>
                <w:u w:val="none"/>
              </w:rPr>
            </w:pPr>
            <w:r>
              <w:rPr>
                <w:rFonts w:hint="default" w:ascii="Times New Roman" w:hAnsi="Times New Roman" w:eastAsia="宋体" w:cs="Times New Roman"/>
                <w:kern w:val="0"/>
                <w:sz w:val="24"/>
                <w:szCs w:val="20"/>
                <w:u w:val="none"/>
              </w:rPr>
              <w:t>项目租用现有厂房，因此噪声主要来自于</w:t>
            </w:r>
            <w:r>
              <w:rPr>
                <w:rFonts w:hint="eastAsia" w:ascii="Times New Roman" w:hAnsi="Times New Roman" w:eastAsia="宋体" w:cs="Times New Roman"/>
                <w:kern w:val="0"/>
                <w:sz w:val="24"/>
                <w:szCs w:val="20"/>
                <w:u w:val="none"/>
                <w:lang w:eastAsia="zh-CN"/>
              </w:rPr>
              <w:t>建设</w:t>
            </w:r>
            <w:r>
              <w:rPr>
                <w:rFonts w:hint="default" w:ascii="Times New Roman" w:hAnsi="Times New Roman" w:eastAsia="宋体" w:cs="Times New Roman"/>
                <w:kern w:val="0"/>
                <w:sz w:val="24"/>
                <w:szCs w:val="20"/>
                <w:u w:val="none"/>
              </w:rPr>
              <w:t>改造过程</w:t>
            </w:r>
            <w:r>
              <w:rPr>
                <w:rFonts w:hint="eastAsia" w:ascii="Times New Roman" w:hAnsi="Times New Roman" w:eastAsia="宋体" w:cs="Times New Roman"/>
                <w:kern w:val="0"/>
                <w:sz w:val="24"/>
                <w:szCs w:val="20"/>
                <w:u w:val="none"/>
                <w:lang w:eastAsia="zh-CN"/>
              </w:rPr>
              <w:t>，各危废贮存区分隔</w:t>
            </w:r>
            <w:r>
              <w:rPr>
                <w:rFonts w:hint="default" w:ascii="Times New Roman" w:hAnsi="Times New Roman" w:eastAsia="宋体" w:cs="Times New Roman"/>
                <w:kern w:val="0"/>
                <w:sz w:val="24"/>
                <w:szCs w:val="20"/>
                <w:u w:val="none"/>
              </w:rPr>
              <w:t>墙体敲打等过程中产生的机械噪声</w:t>
            </w:r>
            <w:r>
              <w:rPr>
                <w:rFonts w:hint="eastAsia" w:ascii="Times New Roman" w:hAnsi="Times New Roman" w:eastAsia="宋体" w:cs="Times New Roman"/>
                <w:kern w:val="0"/>
                <w:sz w:val="24"/>
                <w:szCs w:val="20"/>
                <w:u w:val="none"/>
                <w:lang w:eastAsia="zh-CN"/>
              </w:rPr>
              <w:t>以及</w:t>
            </w:r>
            <w:r>
              <w:rPr>
                <w:rFonts w:hint="default" w:ascii="Times New Roman" w:hAnsi="Times New Roman" w:eastAsia="宋体" w:cs="Times New Roman"/>
                <w:sz w:val="24"/>
                <w:szCs w:val="21"/>
                <w:u w:val="none"/>
              </w:rPr>
              <w:t>运输车辆产生的交通噪声</w:t>
            </w:r>
            <w:r>
              <w:rPr>
                <w:rFonts w:hint="default" w:ascii="Times New Roman" w:hAnsi="Times New Roman" w:eastAsia="宋体" w:cs="Times New Roman"/>
                <w:kern w:val="0"/>
                <w:sz w:val="24"/>
                <w:szCs w:val="20"/>
                <w:u w:val="none"/>
              </w:rPr>
              <w:t>，其噪声源强在7</w:t>
            </w:r>
            <w:r>
              <w:rPr>
                <w:rFonts w:hint="eastAsia" w:ascii="Times New Roman" w:hAnsi="Times New Roman" w:eastAsia="宋体" w:cs="Times New Roman"/>
                <w:kern w:val="0"/>
                <w:sz w:val="24"/>
                <w:szCs w:val="20"/>
                <w:u w:val="none"/>
                <w:lang w:val="en-US" w:eastAsia="zh-CN"/>
              </w:rPr>
              <w:t>5</w:t>
            </w:r>
            <w:r>
              <w:rPr>
                <w:rFonts w:hint="default" w:ascii="Times New Roman" w:hAnsi="Times New Roman" w:eastAsia="宋体" w:cs="Times New Roman"/>
                <w:kern w:val="0"/>
                <w:sz w:val="24"/>
                <w:szCs w:val="20"/>
                <w:u w:val="none"/>
              </w:rPr>
              <w:t>~95dB 之间，具有间歇性</w:t>
            </w:r>
            <w:r>
              <w:rPr>
                <w:rFonts w:hint="default" w:ascii="Times New Roman" w:hAnsi="Times New Roman" w:eastAsia="宋体" w:cs="Times New Roman"/>
                <w:sz w:val="24"/>
                <w:szCs w:val="21"/>
                <w:u w:val="none"/>
              </w:rPr>
              <w:t>。</w:t>
            </w:r>
            <w:r>
              <w:rPr>
                <w:rFonts w:hint="default" w:ascii="Times New Roman" w:hAnsi="Times New Roman" w:eastAsia="宋体" w:cs="Times New Roman"/>
                <w:sz w:val="24"/>
                <w:u w:val="none"/>
              </w:rPr>
              <w:t>施工期噪声级情况列于下表5-1。</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u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u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default" w:ascii="Times New Roman" w:hAnsi="Times New Roman" w:eastAsia="宋体" w:cs="Times New Roman"/>
                <w:b/>
                <w:u w:val="none"/>
              </w:rPr>
            </w:pPr>
            <w:r>
              <w:rPr>
                <w:rFonts w:hint="default" w:ascii="Times New Roman" w:hAnsi="Times New Roman" w:eastAsia="宋体" w:cs="Times New Roman"/>
                <w:b/>
                <w:u w:val="none"/>
              </w:rPr>
              <w:t xml:space="preserve">表5-1  </w:t>
            </w:r>
            <w:r>
              <w:rPr>
                <w:rFonts w:ascii="Times New Roman" w:hAnsi="Times New Roman"/>
                <w:b/>
                <w:bCs/>
                <w:szCs w:val="21"/>
                <w:u w:val="none"/>
              </w:rPr>
              <w:t>施工机械噪声级单位</w:t>
            </w:r>
            <w:r>
              <w:rPr>
                <w:rFonts w:hint="default" w:ascii="Times New Roman" w:hAnsi="Times New Roman" w:eastAsia="宋体" w:cs="Times New Roman"/>
                <w:b/>
                <w:u w:val="none"/>
              </w:rPr>
              <w:t>项目（dB(A)）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15"/>
              <w:gridCol w:w="2667"/>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bCs/>
                      <w:kern w:val="0"/>
                      <w:szCs w:val="21"/>
                      <w:u w:val="none"/>
                    </w:rPr>
                    <w:t>序号</w:t>
                  </w:r>
                </w:p>
              </w:tc>
              <w:tc>
                <w:tcPr>
                  <w:tcW w:w="181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kern w:val="0"/>
                      <w:szCs w:val="21"/>
                      <w:u w:val="none"/>
                    </w:rPr>
                    <w:t>施工阶段</w:t>
                  </w: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kern w:val="0"/>
                      <w:szCs w:val="21"/>
                      <w:u w:val="none"/>
                    </w:rPr>
                    <w:t>施工设备</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kern w:val="0"/>
                      <w:szCs w:val="21"/>
                      <w:u w:val="none"/>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52"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hint="eastAsia" w:ascii="Times New Roman" w:hAnsi="Times New Roman" w:eastAsiaTheme="minorEastAsia"/>
                      <w:kern w:val="0"/>
                      <w:szCs w:val="21"/>
                      <w:u w:val="none"/>
                      <w:lang w:eastAsia="zh-CN"/>
                    </w:rPr>
                  </w:pPr>
                  <w:r>
                    <w:rPr>
                      <w:rFonts w:hint="eastAsia" w:ascii="Times New Roman" w:hAnsi="Times New Roman"/>
                      <w:kern w:val="0"/>
                      <w:szCs w:val="21"/>
                      <w:u w:val="none"/>
                      <w:lang w:val="en-US" w:eastAsia="zh-CN"/>
                    </w:rPr>
                    <w:t>1</w:t>
                  </w:r>
                </w:p>
              </w:tc>
              <w:tc>
                <w:tcPr>
                  <w:tcW w:w="1815"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结构阶段</w:t>
                  </w: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振捣棒</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szCs w:val="21"/>
                      <w:u w:val="none"/>
                    </w:rPr>
                    <w:t>85~</w:t>
                  </w:r>
                  <w:r>
                    <w:rPr>
                      <w:rFonts w:ascii="Times New Roman" w:hAnsi="Times New Roman"/>
                      <w:kern w:val="0"/>
                      <w:szCs w:val="21"/>
                      <w:u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1815"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电锯、电刨</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szCs w:val="21"/>
                      <w:u w:val="none"/>
                    </w:rPr>
                    <w:t>85~</w:t>
                  </w:r>
                  <w:r>
                    <w:rPr>
                      <w:rFonts w:ascii="Times New Roman" w:hAnsi="Times New Roman"/>
                      <w:kern w:val="0"/>
                      <w:szCs w:val="21"/>
                      <w:u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hint="eastAsia" w:ascii="Times New Roman" w:hAnsi="Times New Roman" w:eastAsiaTheme="minorEastAsia"/>
                      <w:bCs/>
                      <w:kern w:val="0"/>
                      <w:szCs w:val="21"/>
                      <w:u w:val="none"/>
                      <w:lang w:eastAsia="zh-CN"/>
                    </w:rPr>
                  </w:pPr>
                  <w:r>
                    <w:rPr>
                      <w:rFonts w:hint="eastAsia" w:ascii="Times New Roman" w:hAnsi="Times New Roman"/>
                      <w:bCs/>
                      <w:kern w:val="0"/>
                      <w:szCs w:val="21"/>
                      <w:u w:val="none"/>
                      <w:lang w:val="en-US" w:eastAsia="zh-CN"/>
                    </w:rPr>
                    <w:t>2</w:t>
                  </w:r>
                </w:p>
              </w:tc>
              <w:tc>
                <w:tcPr>
                  <w:tcW w:w="1815"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kern w:val="0"/>
                      <w:szCs w:val="21"/>
                      <w:u w:val="none"/>
                    </w:rPr>
                    <w:t>装修阶段</w:t>
                  </w: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卷扬机</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szCs w:val="21"/>
                      <w:u w:val="none"/>
                    </w:rPr>
                    <w:t>75~</w:t>
                  </w:r>
                  <w:r>
                    <w:rPr>
                      <w:rFonts w:ascii="Times New Roman" w:hAnsi="Times New Roman"/>
                      <w:kern w:val="0"/>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p>
              </w:tc>
              <w:tc>
                <w:tcPr>
                  <w:tcW w:w="1815"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吊车、升降机</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szCs w:val="21"/>
                      <w:u w:val="none"/>
                    </w:rPr>
                    <w:t>75~</w:t>
                  </w:r>
                  <w:r>
                    <w:rPr>
                      <w:rFonts w:ascii="Times New Roman" w:hAnsi="Times New Roman"/>
                      <w:kern w:val="0"/>
                      <w:szCs w:val="21"/>
                      <w:u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1815"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kern w:val="0"/>
                      <w:szCs w:val="21"/>
                      <w:u w:val="none"/>
                    </w:rPr>
                    <w:t>切割机</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r>
                    <w:rPr>
                      <w:rFonts w:ascii="Times New Roman" w:hAnsi="Times New Roman"/>
                      <w:szCs w:val="21"/>
                      <w:u w:val="none"/>
                    </w:rPr>
                    <w:t>80~</w:t>
                  </w:r>
                  <w:r>
                    <w:rPr>
                      <w:rFonts w:ascii="Times New Roman" w:hAnsi="Times New Roman"/>
                      <w:kern w:val="0"/>
                      <w:szCs w:val="21"/>
                      <w:u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hint="eastAsia" w:ascii="Times New Roman" w:hAnsi="Times New Roman" w:eastAsiaTheme="minorEastAsia"/>
                      <w:bCs/>
                      <w:kern w:val="0"/>
                      <w:szCs w:val="21"/>
                      <w:u w:val="none"/>
                      <w:lang w:val="en-US" w:eastAsia="zh-CN"/>
                    </w:rPr>
                  </w:pPr>
                  <w:r>
                    <w:rPr>
                      <w:rFonts w:hint="eastAsia" w:ascii="Times New Roman" w:hAnsi="Times New Roman"/>
                      <w:bCs/>
                      <w:kern w:val="0"/>
                      <w:szCs w:val="21"/>
                      <w:u w:val="none"/>
                      <w:lang w:val="en-US" w:eastAsia="zh-CN"/>
                    </w:rPr>
                    <w:t>3</w:t>
                  </w:r>
                </w:p>
              </w:tc>
              <w:tc>
                <w:tcPr>
                  <w:tcW w:w="1815" w:type="dxa"/>
                  <w:vMerge w:val="restart"/>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hint="eastAsia" w:ascii="Times New Roman" w:hAnsi="Times New Roman" w:eastAsiaTheme="minorEastAsia"/>
                      <w:bCs/>
                      <w:kern w:val="0"/>
                      <w:szCs w:val="21"/>
                      <w:u w:val="none"/>
                      <w:lang w:eastAsia="zh-CN"/>
                    </w:rPr>
                  </w:pPr>
                  <w:r>
                    <w:rPr>
                      <w:rFonts w:hint="eastAsia" w:ascii="Times New Roman" w:hAnsi="Times New Roman"/>
                      <w:bCs/>
                      <w:kern w:val="0"/>
                      <w:szCs w:val="21"/>
                      <w:u w:val="none"/>
                      <w:lang w:eastAsia="zh-CN"/>
                    </w:rPr>
                    <w:t>运输过程</w:t>
                  </w: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szCs w:val="21"/>
                      <w:u w:val="none"/>
                    </w:rPr>
                    <w:t>大型载重车</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hint="default" w:ascii="Times New Roman" w:hAnsi="Times New Roman" w:eastAsiaTheme="minorEastAsia"/>
                      <w:szCs w:val="21"/>
                      <w:u w:val="none"/>
                      <w:lang w:val="en-US" w:eastAsia="zh-CN"/>
                    </w:rPr>
                  </w:pPr>
                  <w:r>
                    <w:rPr>
                      <w:rFonts w:hint="eastAsia" w:ascii="Times New Roman" w:hAnsi="Times New Roman"/>
                      <w:szCs w:val="21"/>
                      <w:u w:val="none"/>
                      <w:lang w:val="en-US" w:eastAsia="zh-CN"/>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Merge w:val="continue"/>
                  <w:tcBorders>
                    <w:bottom w:val="nil"/>
                  </w:tcBorders>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1815" w:type="dxa"/>
                  <w:vMerge w:val="continue"/>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bCs/>
                      <w:kern w:val="0"/>
                      <w:szCs w:val="21"/>
                      <w:u w:val="none"/>
                    </w:rPr>
                  </w:pPr>
                </w:p>
              </w:tc>
              <w:tc>
                <w:tcPr>
                  <w:tcW w:w="2667"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kern w:val="0"/>
                      <w:szCs w:val="21"/>
                      <w:u w:val="none"/>
                    </w:rPr>
                  </w:pPr>
                  <w:r>
                    <w:rPr>
                      <w:rFonts w:ascii="Times New Roman" w:hAnsi="Times New Roman"/>
                      <w:szCs w:val="21"/>
                      <w:u w:val="none"/>
                    </w:rPr>
                    <w:t>轻型载重卡车</w:t>
                  </w:r>
                </w:p>
              </w:tc>
              <w:tc>
                <w:tcPr>
                  <w:tcW w:w="2665" w:type="dxa"/>
                  <w:noWrap w:val="0"/>
                  <w:vAlign w:val="center"/>
                </w:tcPr>
                <w:p>
                  <w:pPr>
                    <w:keepNext w:val="0"/>
                    <w:keepLines w:val="0"/>
                    <w:pageBreakBefore w:val="0"/>
                    <w:kinsoku/>
                    <w:wordWrap/>
                    <w:overflowPunct/>
                    <w:topLinePunct w:val="0"/>
                    <w:autoSpaceDE w:val="0"/>
                    <w:autoSpaceDN w:val="0"/>
                    <w:bidi w:val="0"/>
                    <w:spacing w:beforeAutospacing="0" w:afterAutospacing="0" w:line="360" w:lineRule="auto"/>
                    <w:ind w:left="0" w:leftChars="0"/>
                    <w:jc w:val="center"/>
                    <w:rPr>
                      <w:rFonts w:ascii="Times New Roman" w:hAnsi="Times New Roman"/>
                      <w:szCs w:val="21"/>
                      <w:u w:val="none"/>
                    </w:rPr>
                  </w:pPr>
                  <w:r>
                    <w:rPr>
                      <w:rFonts w:ascii="Times New Roman" w:hAnsi="Times New Roman"/>
                      <w:szCs w:val="21"/>
                      <w:u w:val="none"/>
                    </w:rPr>
                    <w:t>75~80</w:t>
                  </w:r>
                </w:p>
              </w:tc>
            </w:tr>
          </w:tbl>
          <w:p>
            <w:pPr>
              <w:keepNext w:val="0"/>
              <w:keepLines w:val="0"/>
              <w:pageBreakBefore w:val="0"/>
              <w:widowControl/>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③大气污染环节</w:t>
            </w:r>
          </w:p>
          <w:p>
            <w:pPr>
              <w:keepNext w:val="0"/>
              <w:keepLines w:val="0"/>
              <w:pageBreakBefore w:val="0"/>
              <w:widowControl/>
              <w:kinsoku/>
              <w:wordWrap/>
              <w:overflowPunct/>
              <w:topLinePunct w:val="0"/>
              <w:bidi w:val="0"/>
              <w:snapToGrid w:val="0"/>
              <w:spacing w:beforeAutospacing="0" w:afterAutospacing="0" w:line="360" w:lineRule="auto"/>
              <w:ind w:left="0" w:leftChars="0" w:firstLine="480" w:firstLineChars="200"/>
              <w:jc w:val="left"/>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项目施工过程中造成大气污染的主要产生源有：施工机械设备燃油产生的废气；施工建筑材料的装卸、运输、堆砌过程以及运输过程中造成扬尘等。</w:t>
            </w:r>
          </w:p>
          <w:p>
            <w:pPr>
              <w:keepNext w:val="0"/>
              <w:keepLines w:val="0"/>
              <w:pageBreakBefore w:val="0"/>
              <w:widowControl/>
              <w:kinsoku/>
              <w:wordWrap/>
              <w:overflowPunct/>
              <w:topLinePunct w:val="0"/>
              <w:bidi w:val="0"/>
              <w:snapToGrid w:val="0"/>
              <w:spacing w:beforeAutospacing="0" w:afterAutospacing="0" w:line="360" w:lineRule="auto"/>
              <w:ind w:left="0" w:leftChars="0" w:firstLine="480" w:firstLineChars="200"/>
              <w:jc w:val="left"/>
              <w:rPr>
                <w:rFonts w:hint="default" w:ascii="Times New Roman" w:hAnsi="Times New Roman" w:eastAsia="宋体" w:cs="Times New Roman"/>
                <w:sz w:val="24"/>
                <w:u w:val="none"/>
              </w:rPr>
            </w:pPr>
            <w:r>
              <w:rPr>
                <w:rFonts w:hint="eastAsia" w:ascii="Times New Roman" w:hAnsi="Times New Roman" w:eastAsia="宋体" w:cs="Times New Roman"/>
                <w:sz w:val="24"/>
                <w:u w:val="none"/>
                <w:lang w:eastAsia="zh-CN"/>
              </w:rPr>
              <w:t>燃油废气：</w:t>
            </w:r>
            <w:r>
              <w:rPr>
                <w:rFonts w:hint="default" w:ascii="Times New Roman" w:hAnsi="Times New Roman" w:eastAsia="宋体" w:cs="Times New Roman"/>
                <w:sz w:val="24"/>
                <w:u w:val="none"/>
              </w:rPr>
              <w:t>各类燃油动力机械在场地建筑施工、物料运输、装卸等施工作业时，会排出燃油废气，主要污染物为CO、NO</w:t>
            </w:r>
            <w:r>
              <w:rPr>
                <w:rFonts w:hint="default" w:ascii="Times New Roman" w:hAnsi="Times New Roman" w:eastAsia="宋体" w:cs="Times New Roman"/>
                <w:spacing w:val="6"/>
                <w:sz w:val="24"/>
                <w:u w:val="none"/>
                <w:vertAlign w:val="subscript"/>
              </w:rPr>
              <w:t>x</w:t>
            </w:r>
            <w:r>
              <w:rPr>
                <w:rFonts w:hint="default" w:ascii="Times New Roman" w:hAnsi="Times New Roman" w:eastAsia="宋体" w:cs="Times New Roman"/>
                <w:sz w:val="24"/>
                <w:u w:val="none"/>
              </w:rPr>
              <w:t>、THC等。</w:t>
            </w:r>
          </w:p>
          <w:p>
            <w:pPr>
              <w:keepNext w:val="0"/>
              <w:keepLines w:val="0"/>
              <w:pageBreakBefore w:val="0"/>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施工扬尘主要来源于以下几个方面：</w:t>
            </w:r>
            <w:r>
              <w:rPr>
                <w:rFonts w:hint="eastAsia" w:ascii="Times New Roman" w:hAnsi="Times New Roman" w:eastAsia="宋体" w:cs="Times New Roman"/>
                <w:sz w:val="24"/>
                <w:u w:val="none"/>
                <w:lang w:val="en-US" w:eastAsia="zh-CN"/>
              </w:rPr>
              <w:t>1</w:t>
            </w:r>
            <w:r>
              <w:rPr>
                <w:rFonts w:hint="default" w:ascii="Times New Roman" w:hAnsi="Times New Roman" w:eastAsia="宋体" w:cs="Times New Roman"/>
                <w:sz w:val="24"/>
                <w:u w:val="none"/>
              </w:rPr>
              <w:t>、建筑材料（白灰、水泥、砂子、石子、砖等）的现场搬运及堆放；</w:t>
            </w:r>
            <w:r>
              <w:rPr>
                <w:rFonts w:hint="eastAsia" w:ascii="Times New Roman" w:hAnsi="Times New Roman" w:eastAsia="宋体" w:cs="Times New Roman"/>
                <w:sz w:val="24"/>
                <w:u w:val="none"/>
                <w:lang w:val="en-US" w:eastAsia="zh-CN"/>
              </w:rPr>
              <w:t>2</w:t>
            </w:r>
            <w:r>
              <w:rPr>
                <w:rFonts w:hint="default" w:ascii="Times New Roman" w:hAnsi="Times New Roman" w:eastAsia="宋体" w:cs="Times New Roman"/>
                <w:sz w:val="24"/>
                <w:u w:val="none"/>
              </w:rPr>
              <w:t xml:space="preserve">、车辆行驶所造成的现场道路扬尘；         </w:t>
            </w:r>
          </w:p>
          <w:p>
            <w:pPr>
              <w:keepNext w:val="0"/>
              <w:keepLines w:val="0"/>
              <w:pageBreakBefore w:val="0"/>
              <w:kinsoku/>
              <w:wordWrap/>
              <w:overflowPunct/>
              <w:topLinePunct w:val="0"/>
              <w:bidi w:val="0"/>
              <w:spacing w:beforeAutospacing="0" w:afterAutospacing="0" w:line="360" w:lineRule="auto"/>
              <w:ind w:left="0" w:leftChars="0" w:firstLine="480" w:firstLineChars="200"/>
              <w:rPr>
                <w:rFonts w:hint="default" w:ascii="Times New Roman" w:hAnsi="Times New Roman" w:eastAsia="宋体" w:cs="Times New Roman"/>
                <w:sz w:val="24"/>
                <w:u w:val="none"/>
              </w:rPr>
            </w:pPr>
            <w:r>
              <w:rPr>
                <w:rFonts w:hint="default" w:ascii="Times New Roman" w:hAnsi="Times New Roman" w:eastAsia="宋体" w:cs="Times New Roman"/>
                <w:sz w:val="24"/>
                <w:u w:val="none"/>
              </w:rPr>
              <w:t>扬尘量主要与泥土含水量、气候干燥程度、风速直接相关，在有风时施工扬尘会使施工现场环境空气中的总悬浮颗粒物（TSP）超标，TSP排放源强为10-50mg/m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，0.3-0.5kg/h。根据同类工程的建筑施工现场的扬尘污染监测数据，在未采取洒水抑尘措施情况下，在距施工现场边界50m处，TSP浓度可达到1.15mg/m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，至200m处仍可达到0.56mg/m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。根据同类工程类比，场界内TSP浓度较高的地点是场地平整过程中的土料装卸过程，产生量约为1.5mg/m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～30mg/m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。施工车辆运输行驶于泥土路面而扬起的灰土，其灰尘的浓度可达到 1～3g/m</w:t>
            </w:r>
            <w:r>
              <w:rPr>
                <w:rFonts w:hint="default" w:ascii="Times New Roman" w:hAnsi="Times New Roman" w:eastAsia="宋体" w:cs="Times New Roman"/>
                <w:sz w:val="24"/>
                <w:u w:val="none"/>
                <w:vertAlign w:val="superscript"/>
              </w:rPr>
              <w:t>3</w:t>
            </w:r>
            <w:r>
              <w:rPr>
                <w:rFonts w:hint="default" w:ascii="Times New Roman" w:hAnsi="Times New Roman" w:eastAsia="宋体" w:cs="Times New Roman"/>
                <w:sz w:val="24"/>
                <w:u w:val="none"/>
              </w:rPr>
              <w:t>。</w:t>
            </w:r>
          </w:p>
          <w:p>
            <w:pPr>
              <w:keepNext w:val="0"/>
              <w:keepLines w:val="0"/>
              <w:pageBreakBefore w:val="0"/>
              <w:kinsoku/>
              <w:wordWrap/>
              <w:overflowPunct/>
              <w:topLinePunct w:val="0"/>
              <w:bidi w:val="0"/>
              <w:spacing w:beforeAutospacing="0" w:afterAutospacing="0" w:line="360" w:lineRule="auto"/>
              <w:ind w:left="0" w:leftChars="0" w:firstLine="480" w:firstLineChars="200"/>
              <w:rPr>
                <w:rFonts w:hint="default"/>
                <w:u w:val="none"/>
              </w:rPr>
            </w:pPr>
            <w:r>
              <w:rPr>
                <w:rFonts w:hint="default" w:ascii="Times New Roman" w:hAnsi="Times New Roman" w:eastAsia="宋体" w:cs="Times New Roman"/>
                <w:sz w:val="24"/>
                <w:u w:val="none"/>
              </w:rPr>
              <w:t>本项目在施工过程中严格管理并采取相应的抑尘措施，从不同方面减少施工扬尘所产生的环境影响。</w:t>
            </w:r>
          </w:p>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firstLine="480" w:firstLineChars="200"/>
              <w:textAlignment w:val="auto"/>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④固废产生环节</w:t>
            </w:r>
          </w:p>
          <w:p>
            <w:pPr>
              <w:keepNext w:val="0"/>
              <w:keepLines w:val="0"/>
              <w:pageBreakBefore w:val="0"/>
              <w:widowControl/>
              <w:kinsoku/>
              <w:wordWrap/>
              <w:overflowPunct/>
              <w:topLinePunct w:val="0"/>
              <w:autoSpaceDE/>
              <w:autoSpaceDN/>
              <w:bidi w:val="0"/>
              <w:adjustRightInd/>
              <w:spacing w:beforeAutospacing="0" w:afterAutospacing="0" w:line="360" w:lineRule="auto"/>
              <w:ind w:left="0" w:leftChars="0" w:firstLine="480" w:firstLineChars="200"/>
              <w:textAlignment w:val="auto"/>
              <w:rPr>
                <w:rFonts w:hint="default" w:ascii="Times New Roman" w:hAnsi="Times New Roman" w:eastAsia="宋体" w:cs="Times New Roman"/>
                <w:kern w:val="0"/>
                <w:sz w:val="24"/>
                <w:szCs w:val="20"/>
                <w:u w:val="none"/>
              </w:rPr>
            </w:pPr>
            <w:r>
              <w:rPr>
                <w:rFonts w:hint="default" w:ascii="Times New Roman" w:hAnsi="Times New Roman" w:eastAsia="宋体" w:cs="Times New Roman"/>
                <w:kern w:val="0"/>
                <w:sz w:val="24"/>
                <w:szCs w:val="20"/>
                <w:u w:val="none"/>
              </w:rPr>
              <w:t>项目施工过程中产生的固体废物主要是施工人员的生活垃圾和建筑垃圾等，均依托园区现有环卫设施，由当地环卫部门清运。</w:t>
            </w:r>
          </w:p>
          <w:p>
            <w:pPr>
              <w:keepNext w:val="0"/>
              <w:keepLines w:val="0"/>
              <w:pageBreakBefore w:val="0"/>
              <w:kinsoku/>
              <w:wordWrap/>
              <w:overflowPunct/>
              <w:topLinePunct w:val="0"/>
              <w:autoSpaceDE/>
              <w:autoSpaceDN/>
              <w:bidi w:val="0"/>
              <w:adjustRightInd/>
              <w:spacing w:beforeAutospacing="0" w:afterAutospacing="0" w:line="360" w:lineRule="auto"/>
              <w:ind w:left="0" w:leftChars="0" w:firstLine="480" w:firstLineChars="200"/>
              <w:textAlignment w:val="auto"/>
              <w:rPr>
                <w:rFonts w:hint="default"/>
                <w:color w:val="auto"/>
                <w:u w:val="none"/>
                <w:vertAlign w:val="baseline"/>
                <w:lang w:val="en-US" w:eastAsia="zh-CN"/>
              </w:rPr>
            </w:pPr>
            <w:r>
              <w:rPr>
                <w:rFonts w:hint="default" w:ascii="Times New Roman" w:hAnsi="Times New Roman" w:eastAsia="宋体" w:cs="Times New Roman"/>
                <w:sz w:val="24"/>
                <w:szCs w:val="21"/>
                <w:u w:val="none"/>
              </w:rPr>
              <w:t>施工垃圾</w:t>
            </w:r>
            <w:r>
              <w:rPr>
                <w:rFonts w:hint="eastAsia" w:ascii="Times New Roman" w:hAnsi="Times New Roman" w:eastAsia="宋体" w:cs="Times New Roman"/>
                <w:sz w:val="24"/>
                <w:szCs w:val="21"/>
                <w:u w:val="none"/>
                <w:lang w:eastAsia="zh-CN"/>
              </w:rPr>
              <w:t>：</w:t>
            </w:r>
            <w:r>
              <w:rPr>
                <w:rFonts w:hint="default" w:ascii="Times New Roman" w:hAnsi="Times New Roman" w:eastAsia="宋体" w:cs="Times New Roman"/>
                <w:sz w:val="24"/>
                <w:szCs w:val="21"/>
                <w:u w:val="none"/>
              </w:rPr>
              <w:t>施工垃圾主要为</w:t>
            </w:r>
            <w:r>
              <w:rPr>
                <w:rFonts w:hint="eastAsia" w:ascii="Times New Roman" w:hAnsi="Times New Roman" w:eastAsia="宋体" w:cs="Times New Roman"/>
                <w:sz w:val="24"/>
                <w:szCs w:val="21"/>
                <w:u w:val="none"/>
                <w:lang w:eastAsia="zh-CN"/>
              </w:rPr>
              <w:t>施工过程中</w:t>
            </w:r>
            <w:r>
              <w:rPr>
                <w:rFonts w:hint="default" w:ascii="Times New Roman" w:hAnsi="Times New Roman" w:eastAsia="宋体" w:cs="Times New Roman"/>
                <w:sz w:val="24"/>
                <w:szCs w:val="21"/>
                <w:u w:val="none"/>
              </w:rPr>
              <w:t>产生的建筑废料。建筑废料主要为施工中砖、水泥、木材、钢材</w:t>
            </w:r>
            <w:r>
              <w:rPr>
                <w:rFonts w:hint="eastAsia" w:ascii="Times New Roman" w:hAnsi="Times New Roman" w:eastAsia="宋体" w:cs="Times New Roman"/>
                <w:color w:val="auto"/>
                <w:sz w:val="24"/>
                <w:szCs w:val="21"/>
                <w:u w:val="none"/>
                <w:lang w:val="en-US" w:eastAsia="zh-CN"/>
              </w:rPr>
              <w:t>，项目建设面积</w:t>
            </w:r>
            <w:r>
              <w:rPr>
                <w:rFonts w:hint="eastAsia" w:cs="Times New Roman"/>
                <w:color w:val="auto"/>
                <w:sz w:val="24"/>
                <w:szCs w:val="21"/>
                <w:u w:val="none"/>
                <w:lang w:val="en-US" w:eastAsia="zh-CN"/>
              </w:rPr>
              <w:t>1000.8</w:t>
            </w:r>
            <w:r>
              <w:rPr>
                <w:rFonts w:hint="eastAsia" w:ascii="Times New Roman" w:hAnsi="Times New Roman" w:eastAsia="宋体" w:cs="Times New Roman"/>
                <w:color w:val="auto"/>
                <w:sz w:val="24"/>
                <w:szCs w:val="21"/>
                <w:u w:val="none"/>
                <w:lang w:val="en-US" w:eastAsia="zh-CN"/>
              </w:rPr>
              <w:t>m</w:t>
            </w:r>
            <w:r>
              <w:rPr>
                <w:rFonts w:hint="eastAsia" w:ascii="Times New Roman" w:hAnsi="Times New Roman" w:eastAsia="宋体" w:cs="Times New Roman"/>
                <w:color w:val="auto"/>
                <w:sz w:val="24"/>
                <w:szCs w:val="21"/>
                <w:u w:val="none"/>
                <w:vertAlign w:val="superscript"/>
                <w:lang w:val="en-US" w:eastAsia="zh-CN"/>
              </w:rPr>
              <w:t>2</w:t>
            </w:r>
            <w:r>
              <w:rPr>
                <w:rFonts w:hint="eastAsia" w:ascii="Times New Roman" w:hAnsi="Times New Roman" w:eastAsia="宋体" w:cs="Times New Roman"/>
                <w:color w:val="auto"/>
                <w:sz w:val="24"/>
                <w:szCs w:val="21"/>
                <w:u w:val="none"/>
                <w:vertAlign w:val="baseline"/>
                <w:lang w:val="en-US" w:eastAsia="zh-CN"/>
              </w:rPr>
              <w:t>，整个工程产生建筑垃圾的量约为</w:t>
            </w:r>
            <w:r>
              <w:rPr>
                <w:rFonts w:hint="eastAsia" w:cs="Times New Roman"/>
                <w:color w:val="auto"/>
                <w:sz w:val="24"/>
                <w:szCs w:val="21"/>
                <w:u w:val="none"/>
                <w:vertAlign w:val="baseline"/>
                <w:lang w:val="en-US" w:eastAsia="zh-CN"/>
              </w:rPr>
              <w:t>12</w:t>
            </w:r>
            <w:r>
              <w:rPr>
                <w:rFonts w:hint="eastAsia" w:ascii="Times New Roman" w:hAnsi="Times New Roman" w:eastAsia="宋体" w:cs="Times New Roman"/>
                <w:color w:val="auto"/>
                <w:sz w:val="24"/>
                <w:szCs w:val="21"/>
                <w:u w:val="none"/>
                <w:vertAlign w:val="baseline"/>
                <w:lang w:val="en-US" w:eastAsia="zh-CN"/>
              </w:rPr>
              <w:t>t。</w:t>
            </w: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firstLine="480" w:firstLineChars="200"/>
              <w:jc w:val="left"/>
              <w:textAlignment w:val="auto"/>
              <w:rPr>
                <w:rFonts w:hint="default" w:ascii="Times New Roman" w:hAnsi="Times New Roman" w:eastAsia="宋体" w:cs="Times New Roman"/>
                <w:snapToGrid w:val="0"/>
                <w:kern w:val="0"/>
                <w:sz w:val="24"/>
                <w:u w:val="none"/>
              </w:rPr>
            </w:pPr>
            <w:r>
              <w:rPr>
                <w:rFonts w:hint="default" w:ascii="Times New Roman" w:hAnsi="Times New Roman" w:eastAsia="宋体" w:cs="Times New Roman"/>
                <w:snapToGrid w:val="0"/>
                <w:kern w:val="0"/>
                <w:sz w:val="24"/>
                <w:u w:val="none"/>
              </w:rPr>
              <w:t>（2）</w:t>
            </w:r>
            <w:r>
              <w:rPr>
                <w:rFonts w:hint="default" w:ascii="Times New Roman" w:hAnsi="Times New Roman" w:eastAsia="宋体" w:cs="Times New Roman"/>
                <w:sz w:val="24"/>
                <w:szCs w:val="21"/>
                <w:u w:val="none"/>
              </w:rPr>
              <w:t>施工人员生活垃圾</w:t>
            </w:r>
          </w:p>
          <w:p>
            <w:pPr>
              <w:keepNext w:val="0"/>
              <w:keepLines w:val="0"/>
              <w:pageBreakBefore w:val="0"/>
              <w:widowControl/>
              <w:kinsoku/>
              <w:wordWrap/>
              <w:overflowPunct/>
              <w:topLinePunct w:val="0"/>
              <w:autoSpaceDE/>
              <w:autoSpaceDN/>
              <w:bidi w:val="0"/>
              <w:adjustRightInd/>
              <w:snapToGrid w:val="0"/>
              <w:spacing w:beforeAutospacing="0" w:afterAutospacing="0" w:line="360" w:lineRule="auto"/>
              <w:ind w:left="0" w:leftChars="0" w:firstLine="480" w:firstLineChars="200"/>
              <w:jc w:val="left"/>
              <w:textAlignment w:val="auto"/>
              <w:rPr>
                <w:kern w:val="0"/>
                <w:sz w:val="24"/>
              </w:rPr>
            </w:pPr>
            <w:r>
              <w:rPr>
                <w:rFonts w:hint="default" w:ascii="Times New Roman" w:hAnsi="Times New Roman" w:eastAsia="宋体" w:cs="Times New Roman"/>
                <w:snapToGrid w:val="0"/>
                <w:kern w:val="0"/>
                <w:sz w:val="24"/>
                <w:u w:val="none"/>
              </w:rPr>
              <w:t>项目施工人员为</w:t>
            </w:r>
            <w:r>
              <w:rPr>
                <w:rFonts w:hint="eastAsia" w:ascii="Times New Roman" w:hAnsi="Times New Roman" w:eastAsia="宋体" w:cs="Times New Roman"/>
                <w:snapToGrid w:val="0"/>
                <w:kern w:val="0"/>
                <w:sz w:val="24"/>
                <w:u w:val="none"/>
                <w:lang w:val="en-US" w:eastAsia="zh-CN"/>
              </w:rPr>
              <w:t>5</w:t>
            </w:r>
            <w:r>
              <w:rPr>
                <w:rFonts w:hint="default" w:ascii="Times New Roman" w:hAnsi="Times New Roman" w:eastAsia="宋体" w:cs="Times New Roman"/>
                <w:snapToGrid w:val="0"/>
                <w:kern w:val="0"/>
                <w:sz w:val="24"/>
                <w:u w:val="none"/>
              </w:rPr>
              <w:t>人，</w:t>
            </w:r>
            <w:r>
              <w:rPr>
                <w:rFonts w:hint="default" w:ascii="Times New Roman" w:hAnsi="Times New Roman" w:eastAsia="宋体" w:cs="Times New Roman"/>
                <w:sz w:val="24"/>
                <w:szCs w:val="21"/>
                <w:u w:val="none"/>
              </w:rPr>
              <w:t>生活垃圾产生量按0.5kg/人·d计，则施工期生活垃圾产生量为</w:t>
            </w:r>
            <w:r>
              <w:rPr>
                <w:rFonts w:hint="eastAsia" w:ascii="Times New Roman" w:hAnsi="Times New Roman" w:eastAsia="宋体" w:cs="Times New Roman"/>
                <w:sz w:val="24"/>
                <w:szCs w:val="21"/>
                <w:u w:val="none"/>
                <w:lang w:val="en-US" w:eastAsia="zh-CN"/>
              </w:rPr>
              <w:t>2.5</w:t>
            </w:r>
            <w:r>
              <w:rPr>
                <w:rFonts w:hint="default" w:ascii="Times New Roman" w:hAnsi="Times New Roman" w:eastAsia="宋体" w:cs="Times New Roman"/>
                <w:sz w:val="24"/>
                <w:szCs w:val="21"/>
                <w:u w:val="none"/>
              </w:rPr>
              <w:t>kg/d，主要为果皮、烟盒、灰渣等。累计施工时长为</w:t>
            </w:r>
            <w:r>
              <w:rPr>
                <w:rFonts w:hint="eastAsia" w:cs="Times New Roman"/>
                <w:sz w:val="24"/>
                <w:szCs w:val="21"/>
                <w:u w:val="none"/>
                <w:lang w:val="en-US" w:eastAsia="zh-CN"/>
              </w:rPr>
              <w:t>2</w:t>
            </w:r>
            <w:r>
              <w:rPr>
                <w:rFonts w:hint="default" w:ascii="Times New Roman" w:hAnsi="Times New Roman" w:eastAsia="宋体" w:cs="Times New Roman"/>
                <w:sz w:val="24"/>
                <w:szCs w:val="21"/>
                <w:u w:val="none"/>
              </w:rPr>
              <w:t>个月，则生活垃圾</w:t>
            </w:r>
            <w:r>
              <w:rPr>
                <w:rFonts w:hint="default" w:ascii="Times New Roman" w:hAnsi="Times New Roman" w:eastAsia="宋体" w:cs="Times New Roman"/>
                <w:color w:val="auto"/>
                <w:sz w:val="24"/>
                <w:szCs w:val="21"/>
                <w:u w:val="none"/>
              </w:rPr>
              <w:t>总</w:t>
            </w:r>
            <w:r>
              <w:rPr>
                <w:rFonts w:hint="eastAsia" w:ascii="Times New Roman" w:hAnsi="Times New Roman" w:eastAsia="宋体" w:cs="Times New Roman"/>
                <w:color w:val="auto"/>
                <w:sz w:val="24"/>
                <w:szCs w:val="21"/>
                <w:u w:val="none"/>
                <w:lang w:eastAsia="zh-CN"/>
              </w:rPr>
              <w:t>产生</w:t>
            </w:r>
            <w:r>
              <w:rPr>
                <w:rFonts w:hint="default" w:ascii="Times New Roman" w:hAnsi="Times New Roman" w:eastAsia="宋体" w:cs="Times New Roman"/>
                <w:color w:val="auto"/>
                <w:sz w:val="24"/>
                <w:szCs w:val="21"/>
                <w:u w:val="none"/>
              </w:rPr>
              <w:t>量为</w:t>
            </w:r>
            <w:r>
              <w:rPr>
                <w:rFonts w:hint="eastAsia" w:cs="Times New Roman"/>
                <w:sz w:val="24"/>
                <w:szCs w:val="21"/>
                <w:u w:val="none"/>
                <w:lang w:val="en-US" w:eastAsia="zh-CN"/>
              </w:rPr>
              <w:t>150</w:t>
            </w:r>
            <w:r>
              <w:rPr>
                <w:rFonts w:hint="default" w:ascii="Times New Roman" w:hAnsi="Times New Roman" w:eastAsia="宋体" w:cs="Times New Roman"/>
                <w:sz w:val="24"/>
                <w:szCs w:val="21"/>
                <w:u w:val="none"/>
              </w:rPr>
              <w:t>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4" w:type="pct"/>
            <w:tcMar>
              <w:left w:w="28" w:type="dxa"/>
              <w:right w:w="28" w:type="dxa"/>
            </w:tcMar>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运营</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期环</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境影</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响和</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保护</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bCs/>
                <w:sz w:val="24"/>
              </w:rPr>
            </w:pPr>
            <w:r>
              <w:rPr>
                <w:rFonts w:hint="eastAsia" w:ascii="宋体" w:hAnsi="宋体" w:cs="宋体"/>
                <w:bCs/>
                <w:sz w:val="24"/>
              </w:rPr>
              <w:t>措施</w:t>
            </w:r>
          </w:p>
        </w:tc>
        <w:tc>
          <w:tcPr>
            <w:tcW w:w="4646" w:type="pct"/>
            <w:vAlign w:val="center"/>
          </w:tcPr>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0" w:firstLineChars="0"/>
              <w:jc w:val="both"/>
              <w:textAlignment w:val="baseline"/>
              <w:rPr>
                <w:rFonts w:hint="eastAsia" w:ascii="Times New Roman" w:hAnsi="Times New Roman" w:eastAsia="宋体" w:cs="Times New Roman"/>
                <w:kern w:val="0"/>
                <w:sz w:val="24"/>
                <w:szCs w:val="20"/>
                <w:u w:val="none"/>
                <w:lang w:val="en-US" w:eastAsia="zh-CN" w:bidi="ar-SA"/>
              </w:rPr>
            </w:pPr>
            <w:r>
              <w:rPr>
                <w:rFonts w:hint="eastAsia" w:ascii="Times New Roman" w:hAnsi="Times New Roman" w:eastAsia="宋体" w:cs="Times New Roman"/>
                <w:kern w:val="0"/>
                <w:sz w:val="24"/>
                <w:szCs w:val="20"/>
                <w:u w:val="none"/>
                <w:lang w:val="en-US" w:eastAsia="zh-CN" w:bidi="ar-SA"/>
              </w:rPr>
              <w:t>主要污染源强分析：</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70" w:firstLineChars="196"/>
              <w:jc w:val="both"/>
              <w:textAlignment w:val="baseline"/>
              <w:rPr>
                <w:rFonts w:hint="eastAsia" w:ascii="Times New Roman" w:hAnsi="Times New Roman" w:eastAsia="宋体" w:cs="Times New Roman"/>
                <w:kern w:val="0"/>
                <w:sz w:val="24"/>
                <w:szCs w:val="20"/>
                <w:u w:val="none"/>
                <w:lang w:val="en-US" w:eastAsia="zh-CN" w:bidi="ar-SA"/>
              </w:rPr>
            </w:pPr>
            <w:r>
              <w:rPr>
                <w:rFonts w:hint="eastAsia" w:ascii="Times New Roman" w:hAnsi="Times New Roman" w:eastAsia="宋体" w:cs="Times New Roman"/>
                <w:kern w:val="0"/>
                <w:sz w:val="24"/>
                <w:szCs w:val="20"/>
                <w:u w:val="none"/>
                <w:lang w:val="en-US" w:eastAsia="zh-CN" w:bidi="ar-SA"/>
              </w:rPr>
              <w:t>（1）废气污染源强分析</w:t>
            </w:r>
          </w:p>
          <w:p>
            <w:pPr>
              <w:keepNext w:val="0"/>
              <w:keepLines w:val="0"/>
              <w:pageBreakBefore w:val="0"/>
              <w:kinsoku/>
              <w:wordWrap/>
              <w:overflowPunct/>
              <w:topLinePunct w:val="0"/>
              <w:bidi w:val="0"/>
              <w:spacing w:beforeAutospacing="0" w:afterAutospacing="0" w:line="360" w:lineRule="auto"/>
              <w:ind w:left="0" w:leftChars="0" w:firstLine="482"/>
              <w:rPr>
                <w:rFonts w:hint="default" w:ascii="Times New Roman" w:hAnsi="Times New Roman" w:eastAsia="宋体" w:cs="Times New Roman"/>
                <w:kern w:val="0"/>
                <w:sz w:val="24"/>
                <w:szCs w:val="20"/>
                <w:u w:val="none"/>
                <w:lang w:val="en-US" w:eastAsia="zh-CN" w:bidi="ar-SA"/>
              </w:rPr>
            </w:pPr>
            <w:r>
              <w:rPr>
                <w:rFonts w:hint="eastAsia" w:ascii="Times New Roman" w:hAnsi="Times New Roman" w:eastAsia="宋体" w:cs="Times New Roman"/>
                <w:kern w:val="0"/>
                <w:sz w:val="24"/>
                <w:szCs w:val="20"/>
                <w:u w:val="none"/>
                <w:lang w:val="en-US" w:eastAsia="zh-CN" w:bidi="ar-SA"/>
              </w:rPr>
              <w:t>①道路</w:t>
            </w:r>
            <w:r>
              <w:rPr>
                <w:rFonts w:hint="default" w:ascii="Times New Roman" w:hAnsi="Times New Roman" w:eastAsia="宋体" w:cs="Times New Roman"/>
                <w:kern w:val="0"/>
                <w:sz w:val="24"/>
                <w:szCs w:val="20"/>
                <w:u w:val="none"/>
                <w:lang w:val="en-US" w:eastAsia="zh-CN" w:bidi="ar-SA"/>
              </w:rPr>
              <w:t>扬尘</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kern w:val="0"/>
                <w:sz w:val="24"/>
                <w:u w:val="none"/>
              </w:rPr>
            </w:pPr>
            <w:r>
              <w:rPr>
                <w:rFonts w:hint="default" w:ascii="Times New Roman" w:hAnsi="Times New Roman" w:eastAsia="宋体" w:cs="Times New Roman"/>
                <w:kern w:val="0"/>
                <w:sz w:val="24"/>
                <w:szCs w:val="20"/>
                <w:u w:val="none"/>
                <w:lang w:val="en-US" w:eastAsia="zh-CN" w:bidi="ar-SA"/>
              </w:rPr>
              <w:t>原料运输过程</w:t>
            </w:r>
            <w:r>
              <w:rPr>
                <w:rFonts w:hint="default" w:ascii="Times New Roman" w:hAnsi="Times New Roman" w:eastAsia="宋体" w:cs="Times New Roman"/>
                <w:snapToGrid w:val="0"/>
                <w:kern w:val="0"/>
                <w:sz w:val="24"/>
                <w:u w:val="none"/>
              </w:rPr>
              <w:t>将有一定量的扬尘产生，参考</w:t>
            </w:r>
            <w:r>
              <w:rPr>
                <w:rFonts w:hint="eastAsia" w:cs="Times New Roman"/>
                <w:snapToGrid w:val="0"/>
                <w:kern w:val="0"/>
                <w:sz w:val="24"/>
                <w:u w:val="none"/>
                <w:lang w:eastAsia="zh-CN"/>
              </w:rPr>
              <w:t>“</w:t>
            </w:r>
            <w:r>
              <w:rPr>
                <w:rFonts w:hint="default" w:ascii="Times New Roman" w:hAnsi="Times New Roman" w:eastAsia="宋体" w:cs="Times New Roman"/>
                <w:snapToGrid w:val="0"/>
                <w:kern w:val="0"/>
                <w:sz w:val="24"/>
                <w:u w:val="none"/>
              </w:rPr>
              <w:t>中国城市道路扬尘污染研究</w:t>
            </w:r>
            <w:r>
              <w:rPr>
                <w:rFonts w:hint="eastAsia" w:cs="Times New Roman"/>
                <w:snapToGrid w:val="0"/>
                <w:kern w:val="0"/>
                <w:sz w:val="24"/>
                <w:u w:val="none"/>
                <w:lang w:eastAsia="zh-CN"/>
              </w:rPr>
              <w:t>”</w:t>
            </w:r>
            <w:r>
              <w:rPr>
                <w:rFonts w:hint="default" w:ascii="Times New Roman" w:hAnsi="Times New Roman" w:eastAsia="宋体" w:cs="Times New Roman"/>
                <w:snapToGrid w:val="0"/>
                <w:kern w:val="0"/>
                <w:sz w:val="24"/>
                <w:u w:val="none"/>
              </w:rPr>
              <w:t>计算方法，每辆汽车行驶起尘量与汽车速度、汽车重量、路面粉尘量有关。道路扬尘量，可按下列经验公式计算：</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kern w:val="0"/>
                <w:sz w:val="24"/>
                <w:u w:val="none"/>
              </w:rPr>
            </w:pPr>
            <w:r>
              <w:rPr>
                <w:rFonts w:hint="default" w:ascii="Times New Roman" w:hAnsi="Times New Roman" w:eastAsia="宋体" w:cs="Times New Roman"/>
                <w:sz w:val="24"/>
                <w:u w:val="none"/>
              </w:rPr>
              <w:drawing>
                <wp:anchor distT="0" distB="0" distL="114300" distR="114300" simplePos="0" relativeHeight="251659264" behindDoc="0" locked="0" layoutInCell="1" allowOverlap="1">
                  <wp:simplePos x="0" y="0"/>
                  <wp:positionH relativeFrom="column">
                    <wp:posOffset>1640205</wp:posOffset>
                  </wp:positionH>
                  <wp:positionV relativeFrom="paragraph">
                    <wp:posOffset>93345</wp:posOffset>
                  </wp:positionV>
                  <wp:extent cx="2553970" cy="358775"/>
                  <wp:effectExtent l="0" t="0" r="17780" b="3175"/>
                  <wp:wrapTopAndBottom/>
                  <wp:docPr id="10" name="图片 64" descr="1551754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4" descr="1551754474(1)"/>
                          <pic:cNvPicPr>
                            <a:picLocks noChangeAspect="1"/>
                          </pic:cNvPicPr>
                        </pic:nvPicPr>
                        <pic:blipFill>
                          <a:blip r:embed="rId19"/>
                          <a:stretch>
                            <a:fillRect/>
                          </a:stretch>
                        </pic:blipFill>
                        <pic:spPr>
                          <a:xfrm>
                            <a:off x="0" y="0"/>
                            <a:ext cx="2553970" cy="358775"/>
                          </a:xfrm>
                          <a:prstGeom prst="rect">
                            <a:avLst/>
                          </a:prstGeom>
                          <a:noFill/>
                          <a:ln>
                            <a:noFill/>
                          </a:ln>
                        </pic:spPr>
                      </pic:pic>
                    </a:graphicData>
                  </a:graphic>
                </wp:anchor>
              </w:drawing>
            </w:r>
            <w:r>
              <w:rPr>
                <w:rFonts w:hint="default" w:ascii="Times New Roman" w:hAnsi="Times New Roman" w:eastAsia="宋体" w:cs="Times New Roman"/>
                <w:snapToGrid w:val="0"/>
                <w:kern w:val="0"/>
                <w:sz w:val="24"/>
                <w:u w:val="none"/>
              </w:rPr>
              <w:t>式中：Q</w:t>
            </w:r>
            <w:r>
              <w:rPr>
                <w:rFonts w:hint="default" w:ascii="Times New Roman" w:hAnsi="Times New Roman" w:eastAsia="宋体" w:cs="Times New Roman"/>
                <w:snapToGrid w:val="0"/>
                <w:kern w:val="0"/>
                <w:sz w:val="24"/>
                <w:u w:val="none"/>
                <w:vertAlign w:val="subscript"/>
              </w:rPr>
              <w:t>p</w:t>
            </w:r>
            <w:r>
              <w:rPr>
                <w:rFonts w:hint="default" w:ascii="Times New Roman" w:hAnsi="Times New Roman" w:eastAsia="宋体" w:cs="Times New Roman"/>
                <w:snapToGrid w:val="0"/>
                <w:kern w:val="0"/>
                <w:sz w:val="24"/>
                <w:u w:val="none"/>
              </w:rPr>
              <w:t>---每辆汽车行驶扬尘量（kg/km·辆）；</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kern w:val="0"/>
                <w:sz w:val="24"/>
                <w:u w:val="none"/>
              </w:rPr>
            </w:pPr>
            <w:r>
              <w:rPr>
                <w:rFonts w:hint="default" w:ascii="Times New Roman" w:hAnsi="Times New Roman" w:eastAsia="宋体" w:cs="Times New Roman"/>
                <w:snapToGrid w:val="0"/>
                <w:kern w:val="0"/>
                <w:sz w:val="24"/>
                <w:u w:val="none"/>
              </w:rPr>
              <w:t xml:space="preserve">      V---汽车速度（km/h），取10km/h；</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kern w:val="0"/>
                <w:sz w:val="24"/>
                <w:u w:val="none"/>
              </w:rPr>
            </w:pPr>
            <w:r>
              <w:rPr>
                <w:rFonts w:hint="default" w:ascii="Times New Roman" w:hAnsi="Times New Roman" w:eastAsia="宋体" w:cs="Times New Roman"/>
                <w:snapToGrid w:val="0"/>
                <w:kern w:val="0"/>
                <w:sz w:val="24"/>
                <w:u w:val="none"/>
              </w:rPr>
              <w:t xml:space="preserve">      M---</w:t>
            </w:r>
            <w:r>
              <w:rPr>
                <w:rFonts w:hint="default" w:ascii="Times New Roman" w:hAnsi="Times New Roman" w:eastAsia="宋体" w:cs="Times New Roman"/>
                <w:bCs/>
                <w:sz w:val="24"/>
                <w:u w:val="none"/>
              </w:rPr>
              <w:t>车辆载重</w:t>
            </w:r>
            <w:r>
              <w:rPr>
                <w:rFonts w:hint="default" w:ascii="Times New Roman" w:hAnsi="Times New Roman" w:eastAsia="宋体" w:cs="Times New Roman"/>
                <w:snapToGrid w:val="0"/>
                <w:kern w:val="0"/>
                <w:sz w:val="24"/>
                <w:u w:val="none"/>
              </w:rPr>
              <w:t>（t），取25t计算；</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z w:val="24"/>
                <w:u w:val="none"/>
              </w:rPr>
            </w:pPr>
            <w:r>
              <w:rPr>
                <w:rFonts w:hint="default" w:ascii="Times New Roman" w:hAnsi="Times New Roman" w:eastAsia="宋体" w:cs="Times New Roman"/>
                <w:snapToGrid w:val="0"/>
                <w:kern w:val="0"/>
                <w:sz w:val="24"/>
                <w:u w:val="none"/>
              </w:rPr>
              <w:t xml:space="preserve">      P---道路表面粉尘量（kg/m</w:t>
            </w:r>
            <w:r>
              <w:rPr>
                <w:rFonts w:hint="default" w:ascii="Times New Roman" w:hAnsi="Times New Roman" w:eastAsia="宋体" w:cs="Times New Roman"/>
                <w:snapToGrid w:val="0"/>
                <w:kern w:val="0"/>
                <w:sz w:val="24"/>
                <w:u w:val="none"/>
                <w:vertAlign w:val="superscript"/>
              </w:rPr>
              <w:t>2</w:t>
            </w:r>
            <w:r>
              <w:rPr>
                <w:rFonts w:hint="default" w:ascii="Times New Roman" w:hAnsi="Times New Roman" w:eastAsia="宋体" w:cs="Times New Roman"/>
                <w:snapToGrid w:val="0"/>
                <w:kern w:val="0"/>
                <w:sz w:val="24"/>
                <w:u w:val="none"/>
              </w:rPr>
              <w:t>），按0.05kg/m</w:t>
            </w:r>
            <w:r>
              <w:rPr>
                <w:rFonts w:hint="default" w:ascii="Times New Roman" w:hAnsi="Times New Roman" w:eastAsia="宋体" w:cs="Times New Roman"/>
                <w:snapToGrid w:val="0"/>
                <w:kern w:val="0"/>
                <w:sz w:val="24"/>
                <w:u w:val="none"/>
                <w:vertAlign w:val="superscript"/>
              </w:rPr>
              <w:t>2</w:t>
            </w:r>
            <w:r>
              <w:rPr>
                <w:rFonts w:hint="default" w:ascii="Times New Roman" w:hAnsi="Times New Roman" w:eastAsia="宋体" w:cs="Times New Roman"/>
                <w:snapToGrid w:val="0"/>
                <w:kern w:val="0"/>
                <w:sz w:val="24"/>
                <w:u w:val="none"/>
              </w:rPr>
              <w:t>计。</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z w:val="24"/>
                <w:u w:val="none"/>
              </w:rPr>
            </w:pPr>
            <w:r>
              <w:rPr>
                <w:rFonts w:hint="default" w:ascii="Times New Roman" w:hAnsi="Times New Roman" w:eastAsia="宋体" w:cs="Times New Roman"/>
                <w:snapToGrid w:val="0"/>
                <w:kern w:val="0"/>
                <w:sz w:val="24"/>
                <w:u w:val="none"/>
              </w:rPr>
              <w:t>经计算可得，汽车行驶扬尘量为0.14kg/km·辆，本项目</w:t>
            </w:r>
            <w:r>
              <w:rPr>
                <w:rFonts w:hint="default" w:ascii="Times New Roman" w:hAnsi="Times New Roman" w:eastAsia="宋体" w:cs="Times New Roman"/>
                <w:sz w:val="24"/>
                <w:u w:val="none"/>
              </w:rPr>
              <w:t>营运期车流量约为</w:t>
            </w:r>
            <w:r>
              <w:rPr>
                <w:rFonts w:hint="default" w:ascii="Times New Roman" w:hAnsi="Times New Roman" w:eastAsia="宋体" w:cs="Times New Roman"/>
                <w:sz w:val="24"/>
                <w:u w:val="none"/>
                <w:lang w:val="en-US" w:eastAsia="zh-CN"/>
              </w:rPr>
              <w:t>24000</w:t>
            </w:r>
            <w:r>
              <w:rPr>
                <w:rFonts w:hint="default" w:ascii="Times New Roman" w:hAnsi="Times New Roman" w:eastAsia="宋体" w:cs="Times New Roman"/>
                <w:sz w:val="24"/>
                <w:u w:val="none"/>
              </w:rPr>
              <w:t>车次/年。由于道路扬尘只在晴天时路面干燥的情况下发生，假定晴雨天对半，则引发道路扬尘的车流量为</w:t>
            </w:r>
            <w:r>
              <w:rPr>
                <w:rFonts w:hint="default" w:ascii="Times New Roman" w:hAnsi="Times New Roman" w:eastAsia="宋体" w:cs="Times New Roman"/>
                <w:sz w:val="24"/>
                <w:u w:val="none"/>
                <w:lang w:val="en-US" w:eastAsia="zh-CN"/>
              </w:rPr>
              <w:t>12000</w:t>
            </w:r>
            <w:r>
              <w:rPr>
                <w:rFonts w:hint="default" w:ascii="Times New Roman" w:hAnsi="Times New Roman" w:eastAsia="宋体" w:cs="Times New Roman"/>
                <w:sz w:val="24"/>
                <w:u w:val="none"/>
              </w:rPr>
              <w:t>辆/年。项目运输车辆在厂区内行驶平均距离按200m计，行车速度小于10km/h时，</w:t>
            </w:r>
            <w:r>
              <w:rPr>
                <w:rFonts w:hint="default" w:ascii="Times New Roman" w:hAnsi="Times New Roman" w:eastAsia="宋体" w:cs="Times New Roman"/>
                <w:color w:val="auto"/>
                <w:sz w:val="24"/>
                <w:u w:val="none"/>
              </w:rPr>
              <w:t>则道路扬尘产生量</w:t>
            </w:r>
            <w:r>
              <w:rPr>
                <w:rFonts w:hint="default" w:ascii="Times New Roman" w:hAnsi="Times New Roman" w:eastAsia="宋体" w:cs="Times New Roman"/>
                <w:color w:val="auto"/>
                <w:sz w:val="24"/>
                <w:u w:val="none"/>
                <w:lang w:val="en-US" w:eastAsia="zh-CN"/>
              </w:rPr>
              <w:t>0.497</w:t>
            </w:r>
            <w:r>
              <w:rPr>
                <w:rFonts w:hint="default" w:ascii="Times New Roman" w:hAnsi="Times New Roman" w:eastAsia="宋体" w:cs="Times New Roman"/>
                <w:color w:val="auto"/>
                <w:sz w:val="24"/>
                <w:u w:val="none"/>
              </w:rPr>
              <w:t>t/a。</w:t>
            </w:r>
          </w:p>
          <w:p>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环评要求建设单位采取道路硬化、定期清扫、洒水等措施，降低路面灰尘覆盖率，增加物料的含水率，能够有效降低颗粒物80%的排放量，则</w:t>
            </w:r>
            <w:r>
              <w:rPr>
                <w:rFonts w:hint="eastAsia" w:ascii="Times New Roman" w:hAnsi="Times New Roman" w:eastAsia="宋体" w:cs="Times New Roman"/>
                <w:color w:val="auto"/>
                <w:sz w:val="24"/>
                <w:u w:val="none"/>
                <w:lang w:eastAsia="zh-CN"/>
              </w:rPr>
              <w:t>道路</w:t>
            </w:r>
            <w:r>
              <w:rPr>
                <w:rFonts w:hint="default" w:ascii="Times New Roman" w:hAnsi="Times New Roman" w:eastAsia="宋体" w:cs="Times New Roman"/>
                <w:color w:val="auto"/>
                <w:sz w:val="24"/>
                <w:u w:val="none"/>
              </w:rPr>
              <w:t>扬尘排放量共为</w:t>
            </w:r>
            <w:r>
              <w:rPr>
                <w:rFonts w:hint="default" w:ascii="Times New Roman" w:hAnsi="Times New Roman" w:eastAsia="宋体" w:cs="Times New Roman"/>
                <w:color w:val="auto"/>
                <w:sz w:val="24"/>
                <w:u w:val="none"/>
                <w:lang w:val="en-US" w:eastAsia="zh-CN"/>
              </w:rPr>
              <w:t>0.0994t/a</w:t>
            </w:r>
            <w:r>
              <w:rPr>
                <w:rFonts w:hint="default" w:ascii="Times New Roman" w:hAnsi="Times New Roman" w:eastAsia="宋体" w:cs="Times New Roman"/>
                <w:color w:val="auto"/>
                <w:sz w:val="24"/>
                <w:u w:val="none"/>
              </w:rPr>
              <w:t>。</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z w:val="24"/>
                <w:u w:val="none"/>
              </w:rPr>
            </w:pPr>
            <w:r>
              <w:rPr>
                <w:rFonts w:hint="eastAsia" w:ascii="宋体" w:hAnsi="宋体" w:eastAsia="宋体" w:cs="宋体"/>
                <w:sz w:val="24"/>
                <w:u w:val="none"/>
              </w:rPr>
              <w:t>②</w:t>
            </w:r>
            <w:r>
              <w:rPr>
                <w:rFonts w:hint="default" w:ascii="Times New Roman" w:hAnsi="Times New Roman" w:eastAsia="宋体" w:cs="Times New Roman"/>
                <w:sz w:val="24"/>
                <w:u w:val="none"/>
              </w:rPr>
              <w:t>汽车</w:t>
            </w:r>
            <w:r>
              <w:rPr>
                <w:rFonts w:hint="eastAsia" w:ascii="Times New Roman" w:hAnsi="Times New Roman" w:eastAsia="宋体" w:cs="Times New Roman"/>
                <w:sz w:val="24"/>
                <w:u w:val="none"/>
                <w:lang w:eastAsia="zh-CN"/>
              </w:rPr>
              <w:t>等</w:t>
            </w:r>
            <w:r>
              <w:rPr>
                <w:rFonts w:hint="default" w:ascii="Times New Roman" w:hAnsi="Times New Roman" w:eastAsia="宋体" w:cs="Times New Roman"/>
                <w:sz w:val="24"/>
                <w:u w:val="none"/>
              </w:rPr>
              <w:t>道路移动机械尾气</w:t>
            </w:r>
          </w:p>
          <w:p>
            <w:pPr>
              <w:keepNext w:val="0"/>
              <w:keepLines w:val="0"/>
              <w:pageBreakBefore w:val="0"/>
              <w:widowControl/>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kern w:val="0"/>
                <w:sz w:val="24"/>
                <w:u w:val="none"/>
              </w:rPr>
            </w:pPr>
            <w:r>
              <w:rPr>
                <w:rFonts w:hint="default" w:ascii="Times New Roman" w:hAnsi="Times New Roman" w:eastAsia="宋体" w:cs="Times New Roman"/>
                <w:snapToGrid w:val="0"/>
                <w:kern w:val="0"/>
                <w:sz w:val="24"/>
                <w:u w:val="none"/>
              </w:rPr>
              <w:t>项目生产过程中使用的各种工程机械和运输车辆在燃烧汽油、柴油时排放的尾气含有CO、NO</w:t>
            </w:r>
            <w:r>
              <w:rPr>
                <w:rFonts w:hint="default" w:ascii="Times New Roman" w:hAnsi="Times New Roman" w:eastAsia="宋体" w:cs="Times New Roman"/>
                <w:snapToGrid w:val="0"/>
                <w:kern w:val="0"/>
                <w:sz w:val="24"/>
                <w:u w:val="none"/>
                <w:vertAlign w:val="subscript"/>
              </w:rPr>
              <w:t>X</w:t>
            </w:r>
            <w:r>
              <w:rPr>
                <w:rFonts w:hint="default" w:ascii="Times New Roman" w:hAnsi="Times New Roman" w:eastAsia="宋体" w:cs="Times New Roman"/>
                <w:snapToGrid w:val="0"/>
                <w:kern w:val="0"/>
                <w:sz w:val="24"/>
                <w:u w:val="none"/>
              </w:rPr>
              <w:t>、THC等大气污染物。根据统计，每吨燃油产生的主要污染CO为0.73kg，NO</w:t>
            </w:r>
            <w:r>
              <w:rPr>
                <w:rFonts w:hint="default" w:ascii="Times New Roman" w:hAnsi="Times New Roman" w:eastAsia="宋体" w:cs="Times New Roman"/>
                <w:snapToGrid w:val="0"/>
                <w:kern w:val="0"/>
                <w:sz w:val="24"/>
                <w:u w:val="none"/>
                <w:vertAlign w:val="subscript"/>
              </w:rPr>
              <w:t>X</w:t>
            </w:r>
            <w:r>
              <w:rPr>
                <w:rFonts w:hint="default" w:ascii="Times New Roman" w:hAnsi="Times New Roman" w:eastAsia="宋体" w:cs="Times New Roman"/>
                <w:snapToGrid w:val="0"/>
                <w:kern w:val="0"/>
                <w:sz w:val="24"/>
                <w:u w:val="none"/>
              </w:rPr>
              <w:t>为2.94kg，THC为1.70kg。</w:t>
            </w:r>
          </w:p>
          <w:p>
            <w:pPr>
              <w:keepNext w:val="0"/>
              <w:keepLines w:val="0"/>
              <w:pageBreakBefore w:val="0"/>
              <w:kinsoku/>
              <w:wordWrap/>
              <w:overflowPunct/>
              <w:topLinePunct w:val="0"/>
              <w:bidi w:val="0"/>
              <w:spacing w:beforeAutospacing="0" w:afterAutospacing="0" w:line="360" w:lineRule="auto"/>
              <w:ind w:left="0" w:leftChars="0" w:firstLine="480"/>
              <w:rPr>
                <w:rFonts w:hint="default" w:ascii="Times New Roman" w:hAnsi="Times New Roman" w:eastAsia="宋体" w:cs="Times New Roman"/>
                <w:snapToGrid w:val="0"/>
                <w:color w:val="auto"/>
                <w:kern w:val="0"/>
                <w:sz w:val="24"/>
                <w:u w:val="none"/>
              </w:rPr>
            </w:pPr>
            <w:r>
              <w:rPr>
                <w:rFonts w:eastAsia="宋体"/>
                <w:sz w:val="24"/>
                <w:u w:val="none"/>
              </w:rPr>
              <w:t>项目将通过采用含硫量低的轻质柴油，选择达标排放的机械设备，并注意机械设备的保养等措施</w:t>
            </w:r>
            <w:r>
              <w:rPr>
                <w:rFonts w:hint="eastAsia" w:eastAsia="宋体"/>
                <w:sz w:val="24"/>
                <w:u w:val="none"/>
                <w:lang w:eastAsia="zh-CN"/>
              </w:rPr>
              <w:t>。</w:t>
            </w:r>
            <w:r>
              <w:rPr>
                <w:rFonts w:hint="default" w:ascii="Times New Roman" w:hAnsi="Times New Roman" w:eastAsia="宋体" w:cs="Times New Roman"/>
                <w:sz w:val="24"/>
                <w:u w:val="none"/>
              </w:rPr>
              <w:t>项目所在地的地域空阔，扩散情况好，</w:t>
            </w:r>
            <w:r>
              <w:rPr>
                <w:rFonts w:hint="default" w:ascii="Times New Roman" w:hAnsi="Times New Roman" w:eastAsia="宋体" w:cs="Times New Roman"/>
                <w:color w:val="auto"/>
                <w:sz w:val="24"/>
                <w:u w:val="none"/>
              </w:rPr>
              <w:t>尾气经厂区植被吸收和自然扩散</w:t>
            </w:r>
            <w:r>
              <w:rPr>
                <w:rFonts w:hint="eastAsia" w:ascii="Times New Roman" w:hAnsi="Times New Roman" w:eastAsia="宋体" w:cs="Times New Roman"/>
                <w:color w:val="auto"/>
                <w:sz w:val="24"/>
                <w:u w:val="none"/>
                <w:lang w:eastAsia="zh-CN"/>
              </w:rPr>
              <w:t>后，对环境不会造成明显影响</w:t>
            </w:r>
            <w:r>
              <w:rPr>
                <w:rFonts w:hint="default" w:ascii="Times New Roman" w:hAnsi="Times New Roman" w:eastAsia="宋体" w:cs="Times New Roman"/>
                <w:snapToGrid w:val="0"/>
                <w:color w:val="auto"/>
                <w:kern w:val="0"/>
                <w:sz w:val="24"/>
                <w:u w:val="none"/>
              </w:rPr>
              <w:t>。</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2"/>
              <w:textAlignment w:val="baseline"/>
              <w:rPr>
                <w:rFonts w:hint="eastAsia" w:ascii="宋体" w:hAnsi="宋体" w:eastAsia="宋体" w:cs="宋体"/>
                <w:sz w:val="24"/>
                <w:u w:val="none"/>
                <w:lang w:eastAsia="zh-CN"/>
              </w:rPr>
            </w:pPr>
            <w:r>
              <w:rPr>
                <w:rFonts w:hint="eastAsia" w:ascii="宋体" w:hAnsi="宋体" w:eastAsia="宋体" w:cs="宋体"/>
                <w:sz w:val="24"/>
                <w:u w:val="none"/>
              </w:rPr>
              <w:t>③</w:t>
            </w:r>
            <w:r>
              <w:rPr>
                <w:rFonts w:hint="eastAsia" w:ascii="宋体" w:hAnsi="宋体" w:eastAsia="宋体" w:cs="宋体"/>
                <w:sz w:val="24"/>
                <w:u w:val="none"/>
                <w:lang w:eastAsia="zh-CN"/>
              </w:rPr>
              <w:t>有机废气</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ascii="Times New Roman" w:hAnsi="Times New Roman" w:eastAsia="宋体" w:cs="Times New Roman"/>
                <w:u w:val="none"/>
                <w:lang w:val="en-US" w:eastAsia="zh-CN"/>
              </w:rPr>
            </w:pPr>
            <w:r>
              <w:rPr>
                <w:rFonts w:hint="eastAsia" w:ascii="Times New Roman" w:hAnsi="Times New Roman" w:cs="Times New Roman"/>
                <w:u w:val="none"/>
                <w:lang w:eastAsia="zh-CN"/>
              </w:rPr>
              <w:t>有机危废在贮存过程中产生少量有机废气，废气的成分为非甲烷总烃，涉及有机危废的类别主要包括液态物质及部分固态物质。废甲烷总烃产生量约为危险废物周转总量的</w:t>
            </w:r>
            <w:r>
              <w:rPr>
                <w:rFonts w:hint="eastAsia" w:ascii="Times New Roman" w:hAnsi="Times New Roman" w:cs="Times New Roman"/>
                <w:u w:val="none"/>
                <w:lang w:val="en-US" w:eastAsia="zh-CN"/>
              </w:rPr>
              <w:t>0.01%，项目危险废物周转总量约为9400t/a，则非甲烷总烃产生量为0.94t/a。设置集气罩，通过风机将各贮存区内有机废气抽出引入废气处</w:t>
            </w:r>
            <w:r>
              <w:rPr>
                <w:rFonts w:hint="eastAsia" w:ascii="Times New Roman" w:hAnsi="Times New Roman" w:eastAsia="宋体" w:cs="Times New Roman"/>
                <w:u w:val="none"/>
                <w:lang w:val="en-US" w:eastAsia="zh-CN"/>
              </w:rPr>
              <w:t>理设备处理（活性炭吸附），处理后经1根15m高排气筒排放。</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④正常工况下污染源强核算</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ascii="Times New Roman" w:hAnsi="Times New Roman" w:eastAsia="宋体" w:cs="Times New Roman"/>
                <w:u w:val="none"/>
                <w:lang w:eastAsia="zh-CN"/>
              </w:rPr>
            </w:pPr>
            <w:r>
              <w:rPr>
                <w:rFonts w:hint="eastAsia" w:ascii="Times New Roman" w:hAnsi="Times New Roman" w:eastAsia="宋体" w:cs="Times New Roman"/>
                <w:u w:val="none"/>
                <w:lang w:val="en-US" w:eastAsia="zh-CN"/>
              </w:rPr>
              <w:t>本项目产生有机废气的危险废物在收集点采用专用密封收集桶、盖盖、覆膜密封收集，后用专用车辆运至危废暂存仓库暂存，</w:t>
            </w:r>
            <w:r>
              <w:rPr>
                <w:rFonts w:hint="eastAsia" w:ascii="Times New Roman" w:hAnsi="Times New Roman" w:eastAsia="宋体" w:cs="Times New Roman"/>
                <w:u w:val="none"/>
                <w:lang w:eastAsia="zh-CN"/>
              </w:rPr>
              <w:t>危废贮存间采用单独密闭间贮存，</w:t>
            </w:r>
            <w:r>
              <w:rPr>
                <w:rFonts w:hint="eastAsia" w:ascii="Times New Roman" w:hAnsi="Times New Roman" w:eastAsia="宋体" w:cs="Times New Roman"/>
                <w:u w:val="none"/>
                <w:lang w:val="en-US" w:eastAsia="zh-CN"/>
              </w:rPr>
              <w:t>达到一定数量后，运输至有处置资质的单位进行处置，能产生挥发性气体的</w:t>
            </w:r>
            <w:r>
              <w:rPr>
                <w:rFonts w:hint="eastAsia" w:ascii="Times New Roman" w:hAnsi="Times New Roman" w:eastAsia="宋体" w:cs="Times New Roman"/>
                <w:u w:val="none"/>
                <w:lang w:eastAsia="zh-CN"/>
              </w:rPr>
              <w:t>贮存间设置负压收集装置将废气进行收集，</w:t>
            </w:r>
            <w:r>
              <w:rPr>
                <w:rFonts w:hint="eastAsia" w:ascii="Times New Roman" w:hAnsi="Times New Roman" w:eastAsia="宋体" w:cs="Times New Roman"/>
                <w:u w:val="none"/>
                <w:lang w:val="en-US" w:eastAsia="zh-CN"/>
              </w:rPr>
              <w:t>正常运行情况下，在严格按照操作规范进行运转、回收暂存的过程时产生极少量有机废气</w:t>
            </w:r>
            <w:r>
              <w:rPr>
                <w:rFonts w:hint="eastAsia" w:ascii="Times New Roman" w:hAnsi="Times New Roman" w:eastAsia="宋体" w:cs="Times New Roman"/>
                <w:u w:val="none"/>
                <w:lang w:eastAsia="zh-CN"/>
              </w:rPr>
              <w:t>，无组织逸散量</w:t>
            </w:r>
            <w:r>
              <w:rPr>
                <w:rFonts w:hint="eastAsia" w:ascii="Times New Roman" w:hAnsi="Times New Roman" w:eastAsia="宋体" w:cs="Times New Roman"/>
                <w:u w:val="none"/>
                <w:lang w:val="en-US" w:eastAsia="zh-CN"/>
              </w:rPr>
              <w:t>较</w:t>
            </w:r>
            <w:r>
              <w:rPr>
                <w:rFonts w:hint="eastAsia" w:ascii="Times New Roman" w:hAnsi="Times New Roman" w:eastAsia="宋体" w:cs="Times New Roman"/>
                <w:u w:val="none"/>
                <w:lang w:eastAsia="zh-CN"/>
              </w:rPr>
              <w:t>少，收集效率按</w:t>
            </w:r>
            <w:r>
              <w:rPr>
                <w:rFonts w:hint="eastAsia" w:ascii="Times New Roman" w:hAnsi="Times New Roman" w:eastAsia="宋体" w:cs="Times New Roman"/>
                <w:u w:val="none"/>
                <w:lang w:val="en-US" w:eastAsia="zh-CN"/>
              </w:rPr>
              <w:t>99</w:t>
            </w:r>
            <w:r>
              <w:rPr>
                <w:rFonts w:hint="eastAsia" w:ascii="Times New Roman" w:hAnsi="Times New Roman" w:eastAsia="宋体" w:cs="Times New Roman"/>
                <w:u w:val="none"/>
                <w:lang w:eastAsia="zh-CN"/>
              </w:rPr>
              <w:t>%计算，</w:t>
            </w:r>
            <w:r>
              <w:rPr>
                <w:rFonts w:hint="eastAsia" w:ascii="Times New Roman" w:hAnsi="Times New Roman" w:eastAsia="宋体" w:cs="Times New Roman"/>
                <w:u w:val="none"/>
                <w:lang w:val="en-US" w:eastAsia="zh-CN"/>
              </w:rPr>
              <w:t>经收集的废气量为0.93t/a，产生浓度为17.2</w:t>
            </w:r>
            <w:r>
              <w:rPr>
                <w:rFonts w:hint="eastAsia" w:ascii="Times New Roman" w:hAnsi="Times New Roman" w:eastAsia="宋体" w:cs="Times New Roman"/>
                <w:u w:val="none"/>
                <w:lang w:eastAsia="zh-CN"/>
              </w:rPr>
              <w:t>mg/m</w:t>
            </w:r>
            <w:r>
              <w:rPr>
                <w:rFonts w:hint="eastAsia" w:ascii="Times New Roman" w:hAnsi="Times New Roman" w:eastAsia="宋体" w:cs="Times New Roman"/>
                <w:u w:val="none"/>
                <w:vertAlign w:val="superscript"/>
                <w:lang w:eastAsia="zh-CN"/>
              </w:rPr>
              <w:t>3</w:t>
            </w:r>
            <w:r>
              <w:rPr>
                <w:rFonts w:hint="eastAsia" w:ascii="Times New Roman" w:hAnsi="Times New Roman" w:eastAsia="宋体" w:cs="Times New Roman"/>
                <w:u w:val="none"/>
                <w:lang w:val="en-US" w:eastAsia="zh-CN"/>
              </w:rPr>
              <w:t>，</w:t>
            </w:r>
            <w:r>
              <w:rPr>
                <w:rFonts w:hint="eastAsia" w:ascii="Times New Roman" w:hAnsi="Times New Roman" w:eastAsia="宋体" w:cs="Times New Roman"/>
                <w:u w:val="none"/>
                <w:lang w:eastAsia="zh-CN"/>
              </w:rPr>
              <w:t>废气收集后通过1套废气处理设施（</w:t>
            </w:r>
            <w:r>
              <w:rPr>
                <w:rFonts w:hint="eastAsia" w:ascii="Times New Roman" w:hAnsi="Times New Roman" w:eastAsia="宋体" w:cs="Times New Roman"/>
                <w:u w:val="none"/>
                <w:lang w:val="en-US" w:eastAsia="zh-CN"/>
              </w:rPr>
              <w:t>三级</w:t>
            </w:r>
            <w:r>
              <w:rPr>
                <w:rFonts w:hint="eastAsia" w:ascii="Times New Roman" w:hAnsi="Times New Roman" w:eastAsia="宋体" w:cs="Times New Roman"/>
                <w:u w:val="none"/>
                <w:lang w:eastAsia="zh-CN"/>
              </w:rPr>
              <w:t>活性炭吸附），将废气处理达标后通过15m高排气筒排放。风机风量为</w:t>
            </w:r>
            <w:r>
              <w:rPr>
                <w:rFonts w:hint="eastAsia" w:ascii="Times New Roman" w:hAnsi="Times New Roman" w:eastAsia="宋体" w:cs="Times New Roman"/>
                <w:u w:val="none"/>
                <w:lang w:val="en-US" w:eastAsia="zh-CN"/>
              </w:rPr>
              <w:t>75</w:t>
            </w:r>
            <w:r>
              <w:rPr>
                <w:rFonts w:hint="eastAsia" w:ascii="Times New Roman" w:hAnsi="Times New Roman" w:eastAsia="宋体" w:cs="Times New Roman"/>
                <w:u w:val="none"/>
                <w:lang w:eastAsia="zh-CN"/>
              </w:rPr>
              <w:t>00m</w:t>
            </w:r>
            <w:r>
              <w:rPr>
                <w:rFonts w:hint="eastAsia" w:ascii="Times New Roman" w:hAnsi="Times New Roman" w:eastAsia="宋体" w:cs="Times New Roman"/>
                <w:u w:val="none"/>
                <w:vertAlign w:val="superscript"/>
                <w:lang w:eastAsia="zh-CN"/>
              </w:rPr>
              <w:t>3</w:t>
            </w:r>
            <w:r>
              <w:rPr>
                <w:rFonts w:hint="eastAsia" w:ascii="Times New Roman" w:hAnsi="Times New Roman" w:eastAsia="宋体" w:cs="Times New Roman"/>
                <w:u w:val="none"/>
                <w:lang w:eastAsia="zh-CN"/>
              </w:rPr>
              <w:t>/h，</w:t>
            </w:r>
            <w:r>
              <w:rPr>
                <w:rFonts w:hint="eastAsia" w:ascii="Times New Roman" w:hAnsi="Times New Roman" w:eastAsia="宋体" w:cs="Times New Roman"/>
                <w:u w:val="none"/>
                <w:lang w:val="en-US" w:eastAsia="zh-CN"/>
              </w:rPr>
              <w:t>年工作时间2400h，参考同类型</w:t>
            </w:r>
            <w:r>
              <w:rPr>
                <w:rFonts w:hint="eastAsia" w:ascii="Times New Roman" w:hAnsi="Times New Roman" w:eastAsia="宋体" w:cs="Times New Roman"/>
                <w:u w:val="none"/>
                <w:lang w:eastAsia="zh-CN"/>
              </w:rPr>
              <w:t>建设项目验收数据，活性炭吸附效率能达到91.8%，本项目取其最小处理率91%，</w:t>
            </w:r>
            <w:r>
              <w:rPr>
                <w:rFonts w:hint="eastAsia" w:ascii="Times New Roman" w:hAnsi="Times New Roman" w:eastAsia="宋体" w:cs="Times New Roman"/>
                <w:u w:val="none"/>
                <w:lang w:val="en-US" w:eastAsia="zh-CN"/>
              </w:rPr>
              <w:t>经处理的废气量为0.0837</w:t>
            </w:r>
            <w:r>
              <w:rPr>
                <w:rFonts w:hint="eastAsia" w:ascii="Times New Roman" w:hAnsi="Times New Roman" w:eastAsia="宋体" w:cs="Times New Roman"/>
                <w:u w:val="none"/>
                <w:lang w:eastAsia="zh-CN"/>
              </w:rPr>
              <w:t>t/a，</w:t>
            </w:r>
            <w:r>
              <w:rPr>
                <w:rFonts w:hint="eastAsia" w:ascii="Times New Roman" w:hAnsi="Times New Roman" w:eastAsia="宋体" w:cs="Times New Roman"/>
                <w:u w:val="none"/>
                <w:lang w:val="en-US" w:eastAsia="zh-CN"/>
              </w:rPr>
              <w:t>未经收集处理的废气量为0.07</w:t>
            </w:r>
            <w:r>
              <w:rPr>
                <w:rFonts w:hint="eastAsia" w:ascii="Times New Roman" w:hAnsi="Times New Roman" w:eastAsia="宋体" w:cs="Times New Roman"/>
                <w:u w:val="none"/>
                <w:lang w:eastAsia="zh-CN"/>
              </w:rPr>
              <w:t>t/a，NMHC总排放量为</w:t>
            </w:r>
            <w:r>
              <w:rPr>
                <w:rFonts w:hint="eastAsia" w:ascii="Times New Roman" w:hAnsi="Times New Roman" w:eastAsia="宋体" w:cs="Times New Roman"/>
                <w:u w:val="none"/>
                <w:lang w:val="en-US" w:eastAsia="zh-CN"/>
              </w:rPr>
              <w:t>0.1537</w:t>
            </w:r>
            <w:r>
              <w:rPr>
                <w:rFonts w:hint="eastAsia" w:ascii="Times New Roman" w:hAnsi="Times New Roman" w:eastAsia="宋体" w:cs="Times New Roman"/>
                <w:u w:val="none"/>
                <w:lang w:eastAsia="zh-CN"/>
              </w:rPr>
              <w:t>t/a，排放浓度为</w:t>
            </w:r>
            <w:r>
              <w:rPr>
                <w:rFonts w:hint="eastAsia" w:ascii="Times New Roman" w:hAnsi="Times New Roman" w:eastAsia="宋体" w:cs="Times New Roman"/>
                <w:u w:val="none"/>
                <w:lang w:val="en-US" w:eastAsia="zh-CN"/>
              </w:rPr>
              <w:t>2.85</w:t>
            </w:r>
            <w:r>
              <w:rPr>
                <w:rFonts w:hint="eastAsia" w:ascii="Times New Roman" w:hAnsi="Times New Roman" w:eastAsia="宋体" w:cs="Times New Roman"/>
                <w:u w:val="none"/>
                <w:lang w:eastAsia="zh-CN"/>
              </w:rPr>
              <w:t>mg/m</w:t>
            </w:r>
            <w:r>
              <w:rPr>
                <w:rFonts w:hint="eastAsia" w:ascii="Times New Roman" w:hAnsi="Times New Roman" w:eastAsia="宋体" w:cs="Times New Roman"/>
                <w:u w:val="none"/>
                <w:vertAlign w:val="superscript"/>
                <w:lang w:eastAsia="zh-CN"/>
              </w:rPr>
              <w:t>3</w:t>
            </w:r>
            <w:r>
              <w:rPr>
                <w:rFonts w:hint="eastAsia" w:ascii="Times New Roman" w:hAnsi="Times New Roman" w:eastAsia="宋体" w:cs="Times New Roman"/>
                <w:u w:val="none"/>
                <w:lang w:eastAsia="zh-CN"/>
              </w:rPr>
              <w:t>。</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③非正常工况下源强核算</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本项目运营期存在因环保设备故障达不到处理效率要求，使得废气外排的非正常工况，本次环评主要对其产生原因、非正常排放量进行核算，并提出相应措施，具体详见下表。</w:t>
            </w:r>
          </w:p>
          <w:p>
            <w:pPr>
              <w:pStyle w:val="7"/>
              <w:keepNext w:val="0"/>
              <w:keepLines w:val="0"/>
              <w:pageBreakBefore w:val="0"/>
              <w:kinsoku/>
              <w:wordWrap/>
              <w:overflowPunct/>
              <w:topLinePunct w:val="0"/>
              <w:bidi w:val="0"/>
              <w:spacing w:beforeAutospacing="0" w:afterAutospacing="0" w:line="360" w:lineRule="auto"/>
              <w:ind w:left="0" w:leftChars="0" w:firstLine="210"/>
              <w:rPr>
                <w:u w:val="single"/>
                <w:lang w:val="en-US"/>
              </w:rPr>
            </w:pPr>
            <w:r>
              <w:rPr>
                <w:rFonts w:hint="eastAsia"/>
                <w:u w:val="single"/>
              </w:rPr>
              <w:t>表</w:t>
            </w:r>
            <w:r>
              <w:rPr>
                <w:rFonts w:hint="eastAsia"/>
                <w:u w:val="single"/>
                <w:lang w:val="en-US"/>
              </w:rPr>
              <w:t>4-</w:t>
            </w:r>
            <w:r>
              <w:rPr>
                <w:rFonts w:hint="eastAsia"/>
                <w:u w:val="single"/>
                <w:lang w:val="en-US" w:eastAsia="zh-CN"/>
              </w:rPr>
              <w:t>2</w:t>
            </w:r>
            <w:r>
              <w:rPr>
                <w:rFonts w:hint="eastAsia"/>
                <w:u w:val="single"/>
                <w:lang w:val="en-US"/>
              </w:rPr>
              <w:t xml:space="preserve"> </w:t>
            </w:r>
            <w:r>
              <w:rPr>
                <w:rFonts w:hint="eastAsia"/>
                <w:u w:val="single"/>
              </w:rPr>
              <w:t>污染物非正常排放量核算表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21"/>
              <w:gridCol w:w="1314"/>
              <w:gridCol w:w="734"/>
              <w:gridCol w:w="932"/>
              <w:gridCol w:w="1028"/>
              <w:gridCol w:w="875"/>
              <w:gridCol w:w="971"/>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序号</w:t>
                  </w:r>
                </w:p>
              </w:tc>
              <w:tc>
                <w:tcPr>
                  <w:tcW w:w="444"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污染源</w:t>
                  </w:r>
                </w:p>
              </w:tc>
              <w:tc>
                <w:tcPr>
                  <w:tcW w:w="809"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非正常排放原因</w:t>
                  </w:r>
                </w:p>
              </w:tc>
              <w:tc>
                <w:tcPr>
                  <w:tcW w:w="452"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污染物</w:t>
                  </w:r>
                </w:p>
              </w:tc>
              <w:tc>
                <w:tcPr>
                  <w:tcW w:w="574"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非正常排放浓度</w:t>
                  </w:r>
                  <w:r>
                    <w:rPr>
                      <w:rFonts w:hint="eastAsia"/>
                    </w:rPr>
                    <w:t>m</w:t>
                  </w:r>
                  <w:r>
                    <w:t>g/m</w:t>
                  </w:r>
                  <w:r>
                    <w:rPr>
                      <w:vertAlign w:val="superscript"/>
                    </w:rPr>
                    <w:t>3</w:t>
                  </w:r>
                </w:p>
              </w:tc>
              <w:tc>
                <w:tcPr>
                  <w:tcW w:w="633"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非正常排放速率（kg/h）</w:t>
                  </w:r>
                </w:p>
              </w:tc>
              <w:tc>
                <w:tcPr>
                  <w:tcW w:w="539"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单次持续时间</w:t>
                  </w:r>
                </w:p>
              </w:tc>
              <w:tc>
                <w:tcPr>
                  <w:tcW w:w="598"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单次发生频率（次）</w:t>
                  </w:r>
                </w:p>
              </w:tc>
              <w:tc>
                <w:tcPr>
                  <w:tcW w:w="531"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lang w:val="zh-CN"/>
                    </w:rPr>
                    <w:t>1</w:t>
                  </w:r>
                </w:p>
              </w:tc>
              <w:tc>
                <w:tcPr>
                  <w:tcW w:w="444"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危废贮存间</w:t>
                  </w:r>
                </w:p>
              </w:tc>
              <w:tc>
                <w:tcPr>
                  <w:tcW w:w="809"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负压收集+</w:t>
                  </w:r>
                  <w:r>
                    <w:rPr>
                      <w:rFonts w:hint="eastAsia"/>
                      <w:lang w:val="en-US" w:eastAsia="zh-CN"/>
                    </w:rPr>
                    <w:t>三级</w:t>
                  </w:r>
                  <w:r>
                    <w:rPr>
                      <w:rFonts w:hint="eastAsia"/>
                      <w:lang w:val="zh-CN"/>
                    </w:rPr>
                    <w:t>活性炭吸附处理系统故障</w:t>
                  </w:r>
                </w:p>
              </w:tc>
              <w:tc>
                <w:tcPr>
                  <w:tcW w:w="452"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非甲烷总烃</w:t>
                  </w:r>
                </w:p>
              </w:tc>
              <w:tc>
                <w:tcPr>
                  <w:tcW w:w="574"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rPr>
                      <w:rFonts w:hint="eastAsia"/>
                      <w:lang w:val="en-US" w:eastAsia="zh-CN"/>
                    </w:rPr>
                    <w:t>17.41</w:t>
                  </w:r>
                </w:p>
              </w:tc>
              <w:tc>
                <w:tcPr>
                  <w:tcW w:w="633"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rPr>
                      <w:rFonts w:hint="eastAsia"/>
                      <w:lang w:val="en-US" w:eastAsia="zh-CN"/>
                    </w:rPr>
                    <w:t>0.13</w:t>
                  </w:r>
                </w:p>
              </w:tc>
              <w:tc>
                <w:tcPr>
                  <w:tcW w:w="539"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0</w:t>
                  </w:r>
                  <w:r>
                    <w:rPr>
                      <w:lang w:val="zh-CN"/>
                    </w:rPr>
                    <w:t>.5</w:t>
                  </w:r>
                </w:p>
              </w:tc>
              <w:tc>
                <w:tcPr>
                  <w:tcW w:w="598"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≤1</w:t>
                  </w:r>
                </w:p>
              </w:tc>
              <w:tc>
                <w:tcPr>
                  <w:tcW w:w="531" w:type="pct"/>
                  <w:vAlign w:val="center"/>
                </w:tcPr>
                <w:p>
                  <w:pPr>
                    <w:pStyle w:val="8"/>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lang w:val="zh-CN"/>
                    </w:rPr>
                  </w:pPr>
                  <w:r>
                    <w:rPr>
                      <w:rFonts w:hint="eastAsia"/>
                      <w:lang w:val="zh-CN"/>
                    </w:rPr>
                    <w:t>①安排专人日常维护和管理</w:t>
                  </w:r>
                </w:p>
              </w:tc>
            </w:tr>
          </w:tbl>
          <w:p>
            <w:pPr>
              <w:pStyle w:val="2"/>
              <w:keepNext w:val="0"/>
              <w:keepLines w:val="0"/>
              <w:pageBreakBefore w:val="0"/>
              <w:kinsoku/>
              <w:wordWrap/>
              <w:overflowPunct/>
              <w:topLinePunct w:val="0"/>
              <w:bidi w:val="0"/>
              <w:spacing w:beforeAutospacing="0" w:afterAutospacing="0" w:line="360" w:lineRule="auto"/>
              <w:ind w:left="0" w:leftChars="0"/>
            </w:pP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lang w:val="en-US" w:eastAsia="zh-CN"/>
              </w:rPr>
              <w:t>⑤</w:t>
            </w:r>
            <w:r>
              <w:rPr>
                <w:rFonts w:hint="eastAsia"/>
              </w:rPr>
              <w:t>污染源排污口情况</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rPr>
                <w:rFonts w:hint="eastAsia"/>
              </w:rPr>
            </w:pPr>
            <w:r>
              <w:rPr>
                <w:rFonts w:hint="eastAsia"/>
              </w:rPr>
              <w:t>本项目运营期产生的危废贮存过程产生的非甲烷总烃经废气处理系统处理后有组织排放，排放口基本情况详见下表</w:t>
            </w:r>
            <w:r>
              <w:rPr>
                <w:rFonts w:hint="eastAsia"/>
                <w:lang w:val="en-US" w:eastAsia="zh-CN"/>
              </w:rPr>
              <w:t>4-3</w:t>
            </w:r>
            <w:r>
              <w:rPr>
                <w:rFonts w:hint="eastAsia"/>
              </w:rPr>
              <w:t>。</w:t>
            </w:r>
          </w:p>
          <w:p>
            <w:pPr>
              <w:pStyle w:val="7"/>
              <w:keepNext w:val="0"/>
              <w:keepLines w:val="0"/>
              <w:pageBreakBefore w:val="0"/>
              <w:kinsoku/>
              <w:wordWrap/>
              <w:overflowPunct/>
              <w:topLinePunct w:val="0"/>
              <w:bidi w:val="0"/>
              <w:spacing w:beforeAutospacing="0" w:afterAutospacing="0" w:line="360" w:lineRule="auto"/>
              <w:ind w:left="0" w:leftChars="0" w:firstLine="210"/>
            </w:pPr>
            <w:r>
              <w:rPr>
                <w:rFonts w:hint="eastAsia"/>
              </w:rPr>
              <w:t>表4-</w:t>
            </w:r>
            <w:r>
              <w:rPr>
                <w:rFonts w:hint="eastAsia"/>
                <w:lang w:val="en-US" w:eastAsia="zh-CN"/>
              </w:rPr>
              <w:t>3</w:t>
            </w:r>
            <w:r>
              <w:rPr>
                <w:rFonts w:hint="eastAsia"/>
              </w:rPr>
              <w:t xml:space="preserve"> </w:t>
            </w:r>
            <w:r>
              <w:t xml:space="preserve"> </w:t>
            </w:r>
            <w:r>
              <w:rPr>
                <w:rFonts w:hint="eastAsia"/>
              </w:rPr>
              <w:t>项目有组织排放口信息</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545"/>
              <w:gridCol w:w="720"/>
              <w:gridCol w:w="1186"/>
              <w:gridCol w:w="1143"/>
              <w:gridCol w:w="371"/>
              <w:gridCol w:w="398"/>
              <w:gridCol w:w="403"/>
              <w:gridCol w:w="1522"/>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trPr>
              <w:tc>
                <w:tcPr>
                  <w:tcW w:w="681"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编号</w:t>
                  </w:r>
                </w:p>
              </w:tc>
              <w:tc>
                <w:tcPr>
                  <w:tcW w:w="545"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名称</w:t>
                  </w:r>
                </w:p>
              </w:tc>
              <w:tc>
                <w:tcPr>
                  <w:tcW w:w="720"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排放口类型</w:t>
                  </w:r>
                </w:p>
              </w:tc>
              <w:tc>
                <w:tcPr>
                  <w:tcW w:w="2329" w:type="dxa"/>
                  <w:gridSpan w:val="2"/>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排气筒底部中心坐标</w:t>
                  </w:r>
                </w:p>
              </w:tc>
              <w:tc>
                <w:tcPr>
                  <w:tcW w:w="371"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排气筒高度/</w:t>
                  </w:r>
                  <w:r>
                    <w:t>m</w:t>
                  </w:r>
                </w:p>
              </w:tc>
              <w:tc>
                <w:tcPr>
                  <w:tcW w:w="398"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排气筒内径/</w:t>
                  </w:r>
                  <w:r>
                    <w:t>m</w:t>
                  </w:r>
                </w:p>
              </w:tc>
              <w:tc>
                <w:tcPr>
                  <w:tcW w:w="403"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烟气温度/℃</w:t>
                  </w:r>
                </w:p>
              </w:tc>
              <w:tc>
                <w:tcPr>
                  <w:tcW w:w="2625" w:type="dxa"/>
                  <w:gridSpan w:val="2"/>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681"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545"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720"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118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X（E）</w:t>
                  </w:r>
                </w:p>
              </w:tc>
              <w:tc>
                <w:tcPr>
                  <w:tcW w:w="114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Y（N）</w:t>
                  </w:r>
                </w:p>
              </w:tc>
              <w:tc>
                <w:tcPr>
                  <w:tcW w:w="371"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398"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403" w:type="dxa"/>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152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标准名称</w:t>
                  </w:r>
                </w:p>
              </w:tc>
              <w:tc>
                <w:tcPr>
                  <w:tcW w:w="110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浓度限值（m</w:t>
                  </w:r>
                  <w:r>
                    <w:t>g</w:t>
                  </w:r>
                  <w:r>
                    <w:rPr>
                      <w:rFonts w:hint="eastAsia"/>
                    </w:rPr>
                    <w:t>/</w:t>
                  </w:r>
                  <w:r>
                    <w:t>m</w:t>
                  </w:r>
                  <w:r>
                    <w:rPr>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5" w:hRule="atLeast"/>
              </w:trPr>
              <w:tc>
                <w:tcPr>
                  <w:tcW w:w="681"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D</w:t>
                  </w:r>
                  <w:r>
                    <w:t>A001</w:t>
                  </w:r>
                </w:p>
              </w:tc>
              <w:tc>
                <w:tcPr>
                  <w:tcW w:w="545"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有机</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废气</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排放</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口</w:t>
                  </w:r>
                </w:p>
              </w:tc>
              <w:tc>
                <w:tcPr>
                  <w:tcW w:w="720"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一般排放口</w:t>
                  </w:r>
                </w:p>
              </w:tc>
              <w:tc>
                <w:tcPr>
                  <w:tcW w:w="118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Times New Roman" w:hAnsi="Times New Roman" w:eastAsia="宋体" w:cs="Times New Roman"/>
                    </w:rPr>
                  </w:pPr>
                  <w:r>
                    <w:rPr>
                      <w:rFonts w:hint="eastAsia" w:ascii="Times New Roman" w:hAnsi="Times New Roman" w:eastAsia="宋体" w:cs="Times New Roman"/>
                      <w:lang w:val="en-US" w:eastAsia="zh-CN"/>
                    </w:rPr>
                    <w:t>112°12′3.83838″</w:t>
                  </w:r>
                </w:p>
              </w:tc>
              <w:tc>
                <w:tcPr>
                  <w:tcW w:w="114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Times New Roman" w:hAnsi="Times New Roman" w:eastAsia="宋体" w:cs="Times New Roman"/>
                    </w:rPr>
                  </w:pPr>
                  <w:r>
                    <w:rPr>
                      <w:rFonts w:hint="eastAsia" w:ascii="Times New Roman" w:hAnsi="Times New Roman" w:eastAsia="宋体" w:cs="Times New Roman"/>
                      <w:lang w:eastAsia="zh-CN"/>
                    </w:rPr>
                    <w:t>26°33′34.48399″</w:t>
                  </w:r>
                </w:p>
              </w:tc>
              <w:tc>
                <w:tcPr>
                  <w:tcW w:w="371"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5</w:t>
                  </w:r>
                </w:p>
              </w:tc>
              <w:tc>
                <w:tcPr>
                  <w:tcW w:w="398"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0</w:t>
                  </w:r>
                  <w:r>
                    <w:t>.3</w:t>
                  </w:r>
                </w:p>
              </w:tc>
              <w:tc>
                <w:tcPr>
                  <w:tcW w:w="40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2</w:t>
                  </w:r>
                  <w:r>
                    <w:t>5</w:t>
                  </w:r>
                </w:p>
              </w:tc>
              <w:tc>
                <w:tcPr>
                  <w:tcW w:w="1522"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《大气污染物综合排放标准》（GB16297-1996）二级标准</w:t>
                  </w:r>
                </w:p>
              </w:tc>
              <w:tc>
                <w:tcPr>
                  <w:tcW w:w="1103"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1</w:t>
                  </w:r>
                  <w:r>
                    <w:t>20</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rPr>
                <w:rFonts w:hint="eastAsia"/>
                <w:lang w:val="en-US" w:eastAsia="zh-CN"/>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lang w:val="en-US" w:eastAsia="zh-CN"/>
              </w:rPr>
              <w:t>⑥</w:t>
            </w:r>
            <w:r>
              <w:t>达标排放分析</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Calibri" w:hAnsi="宋体" w:eastAsia="宋体" w:cs="Calibri"/>
                <w:kern w:val="0"/>
                <w:sz w:val="24"/>
                <w:szCs w:val="24"/>
                <w:lang w:val="en-US" w:eastAsia="zh-CN" w:bidi="ar-SA"/>
              </w:rPr>
            </w:pPr>
            <w:r>
              <w:rPr>
                <w:rFonts w:hint="eastAsia" w:ascii="Calibri" w:hAnsi="宋体" w:eastAsia="宋体" w:cs="Calibri"/>
                <w:kern w:val="0"/>
                <w:sz w:val="24"/>
                <w:szCs w:val="24"/>
                <w:lang w:val="en-US" w:eastAsia="zh-CN" w:bidi="ar-SA"/>
              </w:rPr>
              <w:t>本项目危废间采用负压收集废气，无组织排放量较小，《排污许可证申请与核发技术规范 工业固体废物和危险废物治理》（HJ1033-2019）中对危险废物贮存单元废气治理技术无推荐可行技术，本项目采用活性炭吸附技术为有机废气治理中常用技术，危废贮存过程产生的非甲烷总烃经负压收集+三级活性炭吸附处理后通过15m高排气筒排放，排放浓度为2.85mg/m</w:t>
            </w:r>
            <w:r>
              <w:rPr>
                <w:rFonts w:hint="eastAsia" w:ascii="Calibri" w:hAnsi="宋体" w:eastAsia="宋体" w:cs="Calibri"/>
                <w:kern w:val="0"/>
                <w:sz w:val="24"/>
                <w:szCs w:val="24"/>
                <w:vertAlign w:val="superscript"/>
                <w:lang w:val="en-US" w:eastAsia="zh-CN" w:bidi="ar-SA"/>
              </w:rPr>
              <w:t>3</w:t>
            </w:r>
            <w:r>
              <w:rPr>
                <w:rFonts w:hint="eastAsia" w:ascii="Calibri" w:hAnsi="宋体" w:eastAsia="宋体" w:cs="Calibri"/>
                <w:kern w:val="0"/>
                <w:sz w:val="24"/>
                <w:szCs w:val="24"/>
                <w:lang w:val="en-US" w:eastAsia="zh-CN" w:bidi="ar-SA"/>
              </w:rPr>
              <w:t>，小于 《大气污染物综合排放标准》（GB16297-1996）二级标准限值（120mg/m3），因此，本项目产生的非甲烷总烃通过1套密闭车间负压收集+三级活性炭吸附+15m高排气筒排放装置，可以实现有组织达标排放。</w:t>
            </w:r>
          </w:p>
          <w:p>
            <w:pPr>
              <w:pStyle w:val="7"/>
              <w:keepNext w:val="0"/>
              <w:keepLines w:val="0"/>
              <w:pageBreakBefore w:val="0"/>
              <w:kinsoku/>
              <w:wordWrap/>
              <w:overflowPunct/>
              <w:topLinePunct w:val="0"/>
              <w:bidi w:val="0"/>
              <w:spacing w:beforeAutospacing="0" w:afterAutospacing="0" w:line="360" w:lineRule="auto"/>
              <w:ind w:left="0" w:leftChars="0" w:firstLine="210"/>
              <w:rPr>
                <w:rFonts w:hint="eastAsia" w:ascii="Times New Roman" w:hAnsi="Times New Roman" w:eastAsia="宋体" w:cs="Times New Roman"/>
                <w:kern w:val="2"/>
                <w:sz w:val="21"/>
                <w:szCs w:val="24"/>
                <w:u w:val="single"/>
                <w:lang w:val="en-US" w:eastAsia="zh-CN" w:bidi="ar-SA"/>
              </w:rPr>
            </w:pPr>
            <w:r>
              <w:rPr>
                <w:rFonts w:hint="eastAsia" w:ascii="Times New Roman" w:hAnsi="Times New Roman" w:eastAsia="宋体" w:cs="Times New Roman"/>
                <w:kern w:val="2"/>
                <w:sz w:val="21"/>
                <w:szCs w:val="24"/>
                <w:u w:val="single"/>
                <w:lang w:val="en-US" w:eastAsia="zh-CN" w:bidi="ar-SA"/>
              </w:rPr>
              <w:t>表4-4  项目运营期废气产排污节点及污染治理设施汇总一览表</w:t>
            </w:r>
          </w:p>
          <w:tbl>
            <w:tblPr>
              <w:tblStyle w:val="22"/>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96"/>
              <w:gridCol w:w="896"/>
              <w:gridCol w:w="640"/>
              <w:gridCol w:w="820"/>
              <w:gridCol w:w="844"/>
              <w:gridCol w:w="659"/>
              <w:gridCol w:w="656"/>
              <w:gridCol w:w="672"/>
              <w:gridCol w:w="559"/>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8" w:type="pct"/>
                  <w:vMerge w:val="restar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污染物种类</w:t>
                  </w:r>
                </w:p>
              </w:tc>
              <w:tc>
                <w:tcPr>
                  <w:tcW w:w="309" w:type="pct"/>
                  <w:vMerge w:val="restar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排放形式</w:t>
                  </w:r>
                </w:p>
              </w:tc>
              <w:tc>
                <w:tcPr>
                  <w:tcW w:w="558" w:type="pct"/>
                  <w:vMerge w:val="restar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排放口编号</w:t>
                  </w:r>
                </w:p>
              </w:tc>
              <w:tc>
                <w:tcPr>
                  <w:tcW w:w="910" w:type="pct"/>
                  <w:gridSpan w:val="2"/>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污染物产生情况</w:t>
                  </w:r>
                </w:p>
              </w:tc>
              <w:tc>
                <w:tcPr>
                  <w:tcW w:w="1765" w:type="pct"/>
                  <w:gridSpan w:val="4"/>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治理设施</w:t>
                  </w:r>
                </w:p>
              </w:tc>
              <w:tc>
                <w:tcPr>
                  <w:tcW w:w="887" w:type="pct"/>
                  <w:gridSpan w:val="2"/>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8" w:type="pct"/>
                  <w:vMerge w:val="continue"/>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p>
              </w:tc>
              <w:tc>
                <w:tcPr>
                  <w:tcW w:w="309" w:type="pct"/>
                  <w:vMerge w:val="continue"/>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p>
              </w:tc>
              <w:tc>
                <w:tcPr>
                  <w:tcW w:w="558" w:type="pct"/>
                  <w:vMerge w:val="continue"/>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p>
              </w:tc>
              <w:tc>
                <w:tcPr>
                  <w:tcW w:w="39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产生量t</w:t>
                  </w:r>
                  <w:r>
                    <w:t>/a</w:t>
                  </w:r>
                </w:p>
              </w:tc>
              <w:tc>
                <w:tcPr>
                  <w:tcW w:w="511"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eastAsia"/>
                      <w:lang w:eastAsia="zh-CN"/>
                    </w:rPr>
                  </w:pPr>
                  <w:r>
                    <w:rPr>
                      <w:rFonts w:hint="eastAsia"/>
                    </w:rPr>
                    <w:t>产生浓度m</w:t>
                  </w:r>
                  <w:r>
                    <w:t>g/m</w:t>
                  </w:r>
                  <w:r>
                    <w:rPr>
                      <w:vertAlign w:val="superscript"/>
                    </w:rPr>
                    <w:t>3</w:t>
                  </w:r>
                </w:p>
              </w:tc>
              <w:tc>
                <w:tcPr>
                  <w:tcW w:w="526"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设计风量</w:t>
                  </w:r>
                  <w:r>
                    <w:t>m</w:t>
                  </w:r>
                  <w:r>
                    <w:rPr>
                      <w:vertAlign w:val="superscript"/>
                    </w:rPr>
                    <w:t>3</w:t>
                  </w:r>
                  <w:r>
                    <w:t>/h</w:t>
                  </w:r>
                </w:p>
              </w:tc>
              <w:tc>
                <w:tcPr>
                  <w:tcW w:w="410"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收集效率</w:t>
                  </w:r>
                  <w:r>
                    <w:t>%</w:t>
                  </w:r>
                </w:p>
              </w:tc>
              <w:tc>
                <w:tcPr>
                  <w:tcW w:w="40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治理效率</w:t>
                  </w:r>
                  <w:r>
                    <w:t>%</w:t>
                  </w:r>
                </w:p>
              </w:tc>
              <w:tc>
                <w:tcPr>
                  <w:tcW w:w="41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是否为可行技术</w:t>
                  </w:r>
                </w:p>
              </w:tc>
              <w:tc>
                <w:tcPr>
                  <w:tcW w:w="34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排放量t</w:t>
                  </w:r>
                  <w:r>
                    <w:t>/a</w:t>
                  </w:r>
                </w:p>
              </w:tc>
              <w:tc>
                <w:tcPr>
                  <w:tcW w:w="53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排放浓度m</w:t>
                  </w:r>
                  <w:r>
                    <w:t>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t>NMHC</w:t>
                  </w:r>
                </w:p>
              </w:tc>
              <w:tc>
                <w:tcPr>
                  <w:tcW w:w="30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有组织</w:t>
                  </w:r>
                </w:p>
              </w:tc>
              <w:tc>
                <w:tcPr>
                  <w:tcW w:w="55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D</w:t>
                  </w:r>
                  <w:r>
                    <w:t>A001</w:t>
                  </w:r>
                </w:p>
              </w:tc>
              <w:tc>
                <w:tcPr>
                  <w:tcW w:w="39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0.94</w:t>
                  </w:r>
                </w:p>
              </w:tc>
              <w:tc>
                <w:tcPr>
                  <w:tcW w:w="511"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17.41</w:t>
                  </w:r>
                </w:p>
              </w:tc>
              <w:tc>
                <w:tcPr>
                  <w:tcW w:w="526"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lang w:val="en-US" w:eastAsia="zh-CN"/>
                    </w:rPr>
                    <w:t>75</w:t>
                  </w:r>
                  <w:r>
                    <w:t>000</w:t>
                  </w:r>
                </w:p>
              </w:tc>
              <w:tc>
                <w:tcPr>
                  <w:tcW w:w="410"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99</w:t>
                  </w:r>
                </w:p>
              </w:tc>
              <w:tc>
                <w:tcPr>
                  <w:tcW w:w="40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9</w:t>
                  </w:r>
                  <w:r>
                    <w:t>1</w:t>
                  </w:r>
                </w:p>
              </w:tc>
              <w:tc>
                <w:tcPr>
                  <w:tcW w:w="419"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是</w:t>
                  </w:r>
                </w:p>
              </w:tc>
              <w:tc>
                <w:tcPr>
                  <w:tcW w:w="34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0.0837</w:t>
                  </w:r>
                </w:p>
              </w:tc>
              <w:tc>
                <w:tcPr>
                  <w:tcW w:w="538" w:type="pct"/>
                  <w:shd w:val="clear" w:color="auto" w:fill="auto"/>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15.5</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Calibri" w:hAnsi="宋体" w:eastAsia="宋体" w:cs="Calibri"/>
                <w:kern w:val="0"/>
                <w:sz w:val="24"/>
                <w:szCs w:val="24"/>
                <w:lang w:val="en-US" w:eastAsia="zh-CN" w:bidi="ar-SA"/>
              </w:rPr>
            </w:pPr>
            <w:r>
              <w:rPr>
                <w:rFonts w:hint="eastAsia" w:ascii="Calibri" w:hAnsi="宋体" w:eastAsia="宋体" w:cs="Calibri"/>
                <w:kern w:val="0"/>
                <w:sz w:val="24"/>
                <w:szCs w:val="24"/>
                <w:lang w:val="en-US" w:eastAsia="zh-CN" w:bidi="ar-SA"/>
              </w:rPr>
              <w:t>⑦废气影响分析</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eastAsia"/>
              </w:rPr>
            </w:pPr>
            <w:r>
              <w:rPr>
                <w:rFonts w:hint="eastAsia"/>
                <w:lang w:val="en-US" w:eastAsia="zh-CN"/>
              </w:rPr>
              <w:t>根据现状监测数据可</w:t>
            </w:r>
            <w:r>
              <w:rPr>
                <w:rFonts w:hint="eastAsia"/>
              </w:rPr>
              <w:t>知，项目所在区域为达标区，项目周边100m内无环境保护目标，</w:t>
            </w:r>
            <w:r>
              <w:rPr>
                <w:rFonts w:hint="eastAsia"/>
                <w:u w:val="none"/>
              </w:rPr>
              <w:t>运营期危废贮存过程产生的非甲烷总烃通过1套</w:t>
            </w:r>
            <w:r>
              <w:rPr>
                <w:rFonts w:hint="eastAsia"/>
                <w:u w:val="none"/>
                <w:lang w:val="en-US" w:eastAsia="zh-CN"/>
              </w:rPr>
              <w:t>密闭车间负压收集+三级活性炭吸附+15m高排气筒排放</w:t>
            </w:r>
            <w:r>
              <w:rPr>
                <w:rFonts w:hint="eastAsia"/>
                <w:u w:val="none"/>
              </w:rPr>
              <w:t>装置后</w:t>
            </w:r>
            <w:r>
              <w:rPr>
                <w:rFonts w:hint="eastAsia"/>
                <w:u w:val="none"/>
                <w:lang w:eastAsia="zh-CN"/>
              </w:rPr>
              <w:t>，</w:t>
            </w:r>
            <w:r>
              <w:rPr>
                <w:rFonts w:hint="eastAsia"/>
                <w:u w:val="none"/>
              </w:rPr>
              <w:t>有组织排放量为</w:t>
            </w:r>
            <w:r>
              <w:rPr>
                <w:rFonts w:hint="eastAsia"/>
                <w:u w:val="none"/>
                <w:lang w:val="en-US" w:eastAsia="zh-CN"/>
              </w:rPr>
              <w:t>0.0837</w:t>
            </w:r>
            <w:r>
              <w:rPr>
                <w:rFonts w:hint="eastAsia"/>
                <w:u w:val="none"/>
              </w:rPr>
              <w:t>t/a，浓度为</w:t>
            </w:r>
            <w:r>
              <w:rPr>
                <w:rFonts w:hint="eastAsia"/>
                <w:u w:val="none"/>
                <w:lang w:val="en-US" w:eastAsia="zh-CN"/>
              </w:rPr>
              <w:t>15.5</w:t>
            </w:r>
            <w:r>
              <w:rPr>
                <w:rFonts w:hint="eastAsia"/>
                <w:u w:val="none"/>
              </w:rPr>
              <w:t>mg/m</w:t>
            </w:r>
            <w:r>
              <w:rPr>
                <w:rFonts w:hint="eastAsia"/>
                <w:u w:val="none"/>
                <w:vertAlign w:val="superscript"/>
              </w:rPr>
              <w:t>3</w:t>
            </w:r>
            <w:r>
              <w:rPr>
                <w:rFonts w:hint="eastAsia"/>
                <w:u w:val="none"/>
              </w:rPr>
              <w:t>，满</w:t>
            </w:r>
            <w:r>
              <w:rPr>
                <w:rFonts w:hint="eastAsia"/>
              </w:rPr>
              <w:t>足《大气污染物综合排放标准》（GB16297-1996）二级标准限值（</w:t>
            </w:r>
            <w:r>
              <w:t>120</w:t>
            </w:r>
            <w:r>
              <w:rPr>
                <w:rFonts w:hint="eastAsia"/>
              </w:rPr>
              <w:t>mg/m</w:t>
            </w:r>
            <w:r>
              <w:rPr>
                <w:rFonts w:hint="eastAsia"/>
                <w:vertAlign w:val="superscript"/>
              </w:rPr>
              <w:t>3</w:t>
            </w:r>
            <w:r>
              <w:rPr>
                <w:rFonts w:hint="eastAsia"/>
              </w:rPr>
              <w:t>），因此</w:t>
            </w:r>
            <w:r>
              <w:rPr>
                <w:rFonts w:hint="eastAsia"/>
                <w:lang w:eastAsia="zh-CN"/>
              </w:rPr>
              <w:t>，</w:t>
            </w:r>
            <w:r>
              <w:rPr>
                <w:rFonts w:hint="eastAsia"/>
              </w:rPr>
              <w:t>本项目运营期非甲烷总烃排放对周边大气环境影响较小。</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default"/>
                <w:u w:val="none"/>
                <w:lang w:val="en-US" w:eastAsia="zh-CN"/>
              </w:rPr>
            </w:pPr>
            <w:r>
              <w:rPr>
                <w:rFonts w:hint="eastAsia"/>
                <w:lang w:val="en-US" w:eastAsia="zh-CN"/>
              </w:rPr>
              <w:t>环评建议建设单位设置集气罩，</w:t>
            </w:r>
            <w:r>
              <w:rPr>
                <w:rFonts w:hint="eastAsia"/>
                <w:u w:val="none"/>
                <w:lang w:val="en-US" w:eastAsia="zh-CN"/>
              </w:rPr>
              <w:t>通过将贮存区内有机废气抽出引入废气处理设备处理（三级活性炭吸附），处理后经1根15m高排气筒排放。废气收集效率为99%，处理效率约为91%，建议处理风量7500m</w:t>
            </w:r>
            <w:r>
              <w:rPr>
                <w:rFonts w:hint="eastAsia"/>
                <w:u w:val="none"/>
                <w:vertAlign w:val="superscript"/>
                <w:lang w:val="en-US" w:eastAsia="zh-CN"/>
              </w:rPr>
              <w:t>3</w:t>
            </w:r>
            <w:r>
              <w:rPr>
                <w:rFonts w:hint="eastAsia"/>
                <w:u w:val="none"/>
                <w:lang w:val="en-US" w:eastAsia="zh-CN"/>
              </w:rPr>
              <w:t>/h及以上，则经收集的非甲烷总烃量为0.93t/a，产生浓度17.2mg/m</w:t>
            </w:r>
            <w:r>
              <w:rPr>
                <w:rFonts w:hint="eastAsia"/>
                <w:u w:val="none"/>
                <w:vertAlign w:val="superscript"/>
                <w:lang w:val="en-US" w:eastAsia="zh-CN"/>
              </w:rPr>
              <w:t>3</w:t>
            </w:r>
            <w:r>
              <w:rPr>
                <w:rFonts w:hint="eastAsia"/>
                <w:u w:val="none"/>
                <w:lang w:val="en-US" w:eastAsia="zh-CN"/>
              </w:rPr>
              <w:t>。经处理后非甲烷总烃排放量为0.0837t/a，排放浓度为15.5mg/m</w:t>
            </w:r>
            <w:r>
              <w:rPr>
                <w:rFonts w:hint="eastAsia"/>
                <w:u w:val="none"/>
                <w:vertAlign w:val="superscript"/>
                <w:lang w:val="en-US" w:eastAsia="zh-CN"/>
              </w:rPr>
              <w:t>3</w:t>
            </w:r>
            <w:r>
              <w:rPr>
                <w:rFonts w:hint="eastAsia"/>
                <w:u w:val="none"/>
                <w:lang w:val="en-US" w:eastAsia="zh-CN"/>
              </w:rPr>
              <w:t>。未经收集的非甲烷总烃约0.07t/a，无组织排放。</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2"/>
              <w:textAlignment w:val="baseline"/>
              <w:rPr>
                <w:rFonts w:hint="default" w:ascii="宋体" w:hAnsi="宋体" w:eastAsia="宋体" w:cs="宋体"/>
                <w:sz w:val="24"/>
                <w:u w:val="none"/>
              </w:rPr>
            </w:pPr>
            <w:r>
              <w:rPr>
                <w:rFonts w:hint="default" w:ascii="宋体" w:hAnsi="宋体" w:eastAsia="宋体" w:cs="宋体"/>
                <w:sz w:val="24"/>
                <w:u w:val="none"/>
              </w:rPr>
              <w:t>2、废水污染源强分析</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textAlignment w:val="baseline"/>
              <w:rPr>
                <w:rFonts w:hint="default" w:ascii="Times New Roman" w:hAnsi="Times New Roman" w:eastAsia="宋体" w:cs="Times New Roman"/>
                <w:u w:val="none"/>
              </w:rPr>
            </w:pPr>
            <w:r>
              <w:rPr>
                <w:rFonts w:hint="default" w:ascii="Times New Roman" w:hAnsi="Times New Roman" w:eastAsia="宋体" w:cs="Times New Roman"/>
                <w:u w:val="none"/>
              </w:rPr>
              <w:t>本项目为危险废物储存项目。运输车辆不进入车间，箱体尾部对准车间大门后，开箱，利用叉车将固废运输进入车间暂存区域暂存，正常情况下无泄漏，不对需对地面进行冲洗处理，</w:t>
            </w:r>
            <w:r>
              <w:rPr>
                <w:rFonts w:hint="eastAsia" w:ascii="Times New Roman" w:hAnsi="Times New Roman" w:eastAsia="宋体" w:cs="Times New Roman"/>
                <w:u w:val="none"/>
                <w:lang w:eastAsia="zh-CN"/>
              </w:rPr>
              <w:t>只进行简单清洁</w:t>
            </w:r>
            <w:r>
              <w:rPr>
                <w:rFonts w:hint="default" w:ascii="Times New Roman" w:hAnsi="Times New Roman" w:eastAsia="宋体" w:cs="Times New Roman"/>
                <w:u w:val="none"/>
              </w:rPr>
              <w:t>，故本项目无废水产生。</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2"/>
              <w:rPr>
                <w:rFonts w:hint="default" w:ascii="Times New Roman" w:hAnsi="Times New Roman" w:eastAsia="宋体" w:cs="Times New Roman"/>
                <w:u w:val="none"/>
                <w:lang w:val="en-US" w:eastAsia="zh-CN"/>
              </w:rPr>
            </w:pPr>
            <w:r>
              <w:rPr>
                <w:rFonts w:hint="default" w:ascii="Times New Roman" w:hAnsi="Times New Roman" w:eastAsia="宋体" w:cs="Times New Roman"/>
                <w:u w:val="none"/>
              </w:rPr>
              <w:t>本项目</w:t>
            </w:r>
            <w:r>
              <w:rPr>
                <w:rFonts w:hint="default" w:ascii="Times New Roman" w:hAnsi="Times New Roman" w:eastAsia="宋体" w:cs="Times New Roman"/>
                <w:u w:val="none"/>
                <w:lang w:val="en-US" w:eastAsia="zh-CN"/>
              </w:rPr>
              <w:t>5</w:t>
            </w:r>
            <w:r>
              <w:rPr>
                <w:rFonts w:hint="default" w:ascii="Times New Roman" w:hAnsi="Times New Roman" w:eastAsia="宋体" w:cs="Times New Roman"/>
                <w:u w:val="none"/>
              </w:rPr>
              <w:t>名工作人员，参照《湖南省用水定额》（DB43/T388-20</w:t>
            </w:r>
            <w:r>
              <w:rPr>
                <w:rFonts w:hint="default" w:ascii="Times New Roman" w:hAnsi="Times New Roman" w:eastAsia="宋体" w:cs="Times New Roman"/>
                <w:u w:val="none"/>
                <w:lang w:val="en-US" w:eastAsia="zh-CN"/>
              </w:rPr>
              <w:t>20</w:t>
            </w:r>
            <w:r>
              <w:rPr>
                <w:rFonts w:hint="default" w:ascii="Times New Roman" w:hAnsi="Times New Roman" w:eastAsia="宋体" w:cs="Times New Roman"/>
                <w:u w:val="none"/>
              </w:rPr>
              <w:t>）中城市居民生活用水定额，按45L/人/d计，排污系数为0.8，则年用水量为</w:t>
            </w:r>
            <w:r>
              <w:rPr>
                <w:rFonts w:hint="default" w:ascii="Times New Roman" w:hAnsi="Times New Roman" w:eastAsia="宋体" w:cs="Times New Roman"/>
                <w:u w:val="none"/>
                <w:lang w:val="en-US" w:eastAsia="zh-CN"/>
              </w:rPr>
              <w:t>67.5</w:t>
            </w:r>
            <w:r>
              <w:rPr>
                <w:rFonts w:hint="default" w:ascii="Times New Roman" w:hAnsi="Times New Roman" w:eastAsia="宋体" w:cs="Times New Roman"/>
                <w:u w:val="none"/>
              </w:rPr>
              <w:t>t/a，生活废水</w:t>
            </w:r>
            <w:r>
              <w:rPr>
                <w:rFonts w:hint="default" w:ascii="Times New Roman" w:hAnsi="Times New Roman" w:eastAsia="宋体" w:cs="Times New Roman"/>
                <w:u w:val="none"/>
                <w:lang w:val="en-US" w:eastAsia="zh-CN"/>
              </w:rPr>
              <w:t>54</w:t>
            </w:r>
            <w:r>
              <w:rPr>
                <w:rFonts w:hint="default" w:ascii="Times New Roman" w:hAnsi="Times New Roman" w:eastAsia="宋体" w:cs="Times New Roman"/>
                <w:u w:val="none"/>
              </w:rPr>
              <w:t>t/a。其中污染物COD为300mg/L</w:t>
            </w:r>
            <w:r>
              <w:rPr>
                <w:rFonts w:hint="default" w:ascii="Times New Roman" w:hAnsi="Times New Roman" w:eastAsia="宋体" w:cs="Times New Roman"/>
                <w:u w:val="none"/>
                <w:lang w:val="en-US" w:eastAsia="zh-CN"/>
              </w:rPr>
              <w:t>0.0162</w:t>
            </w:r>
            <w:r>
              <w:rPr>
                <w:rFonts w:hint="default" w:ascii="Times New Roman" w:hAnsi="Times New Roman" w:eastAsia="宋体" w:cs="Times New Roman"/>
                <w:u w:val="none"/>
              </w:rPr>
              <w:t>t/a，BOD</w:t>
            </w:r>
            <w:r>
              <w:rPr>
                <w:rFonts w:hint="default" w:ascii="Times New Roman" w:hAnsi="Times New Roman" w:eastAsia="宋体" w:cs="Times New Roman"/>
                <w:u w:val="none"/>
                <w:vertAlign w:val="subscript"/>
              </w:rPr>
              <w:t>5</w:t>
            </w:r>
            <w:r>
              <w:rPr>
                <w:rFonts w:hint="default" w:ascii="Times New Roman" w:hAnsi="Times New Roman" w:eastAsia="宋体" w:cs="Times New Roman"/>
                <w:u w:val="none"/>
              </w:rPr>
              <w:t xml:space="preserve">为200mg/L </w:t>
            </w:r>
            <w:r>
              <w:rPr>
                <w:rFonts w:hint="default" w:ascii="Times New Roman" w:hAnsi="Times New Roman" w:eastAsia="宋体" w:cs="Times New Roman"/>
                <w:u w:val="none"/>
                <w:lang w:val="en-US" w:eastAsia="zh-CN"/>
              </w:rPr>
              <w:t>0.0108</w:t>
            </w:r>
            <w:r>
              <w:rPr>
                <w:rFonts w:hint="default" w:ascii="Times New Roman" w:hAnsi="Times New Roman" w:eastAsia="宋体" w:cs="Times New Roman"/>
                <w:u w:val="none"/>
              </w:rPr>
              <w:t>t/a，氨氮300mg/L</w:t>
            </w:r>
            <w:r>
              <w:rPr>
                <w:rFonts w:hint="default" w:ascii="Times New Roman" w:hAnsi="Times New Roman" w:eastAsia="宋体" w:cs="Times New Roman"/>
                <w:u w:val="none"/>
                <w:lang w:val="en-US" w:eastAsia="zh-CN"/>
              </w:rPr>
              <w:t>0.0016</w:t>
            </w:r>
            <w:r>
              <w:rPr>
                <w:rFonts w:hint="default" w:ascii="Times New Roman" w:hAnsi="Times New Roman" w:eastAsia="宋体" w:cs="Times New Roman"/>
                <w:u w:val="none"/>
              </w:rPr>
              <w:t>t/a。</w:t>
            </w:r>
            <w:r>
              <w:rPr>
                <w:rFonts w:hint="eastAsia" w:ascii="Times New Roman" w:hAnsi="Times New Roman" w:cs="Times New Roman"/>
                <w:u w:val="none"/>
                <w:lang w:val="en-US" w:eastAsia="zh-CN"/>
              </w:rPr>
              <w:t>厂房</w:t>
            </w:r>
            <w:r>
              <w:rPr>
                <w:rFonts w:hint="default" w:ascii="Times New Roman" w:hAnsi="Times New Roman" w:eastAsia="宋体" w:cs="Times New Roman"/>
                <w:u w:val="none"/>
                <w:lang w:eastAsia="zh-CN"/>
              </w:rPr>
              <w:t>设有厕所，</w:t>
            </w:r>
            <w:r>
              <w:rPr>
                <w:rFonts w:hint="default" w:ascii="Times New Roman" w:hAnsi="Times New Roman" w:eastAsia="宋体" w:cs="Times New Roman"/>
                <w:u w:val="none"/>
                <w:lang w:val="en-US" w:eastAsia="zh-CN"/>
              </w:rPr>
              <w:t>生活废水经化粪池处理后，经园区污水管网排入</w:t>
            </w:r>
            <w:r>
              <w:rPr>
                <w:rFonts w:hint="eastAsia" w:ascii="Times New Roman" w:hAnsi="Times New Roman" w:cs="Times New Roman"/>
                <w:u w:val="none"/>
                <w:lang w:val="en-US" w:eastAsia="zh-CN"/>
              </w:rPr>
              <w:t>园区</w:t>
            </w:r>
            <w:r>
              <w:rPr>
                <w:rFonts w:hint="default" w:ascii="Times New Roman" w:hAnsi="Times New Roman" w:eastAsia="宋体" w:cs="Times New Roman"/>
                <w:u w:val="none"/>
                <w:lang w:val="en-US" w:eastAsia="zh-CN"/>
              </w:rPr>
              <w:t>污水处理厂处理达标后排入湘江。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default"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①污染源治理设施信息及排污口情况</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default"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本项目运营期废水治理设施信息及排污口情况详见表4-</w:t>
            </w:r>
            <w:r>
              <w:rPr>
                <w:rFonts w:hint="default" w:ascii="Times New Roman" w:hAnsi="Times New Roman" w:eastAsia="宋体" w:cs="Times New Roman"/>
                <w:kern w:val="0"/>
                <w:sz w:val="24"/>
                <w:szCs w:val="24"/>
                <w:u w:val="none"/>
                <w:lang w:val="en-US" w:eastAsia="zh-CN" w:bidi="ar-SA"/>
              </w:rPr>
              <w:t>7</w:t>
            </w:r>
            <w:r>
              <w:rPr>
                <w:rFonts w:hint="eastAsia" w:ascii="Times New Roman" w:hAnsi="Times New Roman" w:eastAsia="宋体" w:cs="Times New Roman"/>
                <w:kern w:val="0"/>
                <w:sz w:val="24"/>
                <w:szCs w:val="24"/>
                <w:u w:val="none"/>
                <w:lang w:val="en-US" w:eastAsia="zh-CN" w:bidi="ar-SA"/>
              </w:rPr>
              <w:t>、表4-</w:t>
            </w:r>
            <w:r>
              <w:rPr>
                <w:rFonts w:hint="default" w:ascii="Times New Roman" w:hAnsi="Times New Roman" w:eastAsia="宋体" w:cs="Times New Roman"/>
                <w:kern w:val="0"/>
                <w:sz w:val="24"/>
                <w:szCs w:val="24"/>
                <w:u w:val="none"/>
                <w:lang w:val="en-US" w:eastAsia="zh-CN" w:bidi="ar-SA"/>
              </w:rPr>
              <w:t>8</w:t>
            </w:r>
            <w:r>
              <w:rPr>
                <w:rFonts w:hint="eastAsia" w:ascii="Times New Roman" w:hAnsi="Times New Roman" w:eastAsia="宋体" w:cs="Times New Roman"/>
                <w:kern w:val="0"/>
                <w:sz w:val="24"/>
                <w:szCs w:val="24"/>
                <w:u w:val="none"/>
                <w:lang w:val="en-US" w:eastAsia="zh-CN" w:bidi="ar-SA"/>
              </w:rPr>
              <w:t>。</w:t>
            </w:r>
          </w:p>
          <w:p>
            <w:pPr>
              <w:pStyle w:val="7"/>
              <w:keepNext w:val="0"/>
              <w:keepLines w:val="0"/>
              <w:pageBreakBefore w:val="0"/>
              <w:kinsoku/>
              <w:wordWrap/>
              <w:overflowPunct/>
              <w:topLinePunct w:val="0"/>
              <w:bidi w:val="0"/>
              <w:spacing w:beforeAutospacing="0" w:afterAutospacing="0" w:line="360" w:lineRule="auto"/>
              <w:ind w:left="0" w:leftChars="0" w:firstLine="210"/>
            </w:pPr>
            <w:r>
              <w:t>表</w:t>
            </w:r>
            <w:r>
              <w:rPr>
                <w:rFonts w:hint="eastAsia"/>
              </w:rPr>
              <w:t>4-</w:t>
            </w:r>
            <w:r>
              <w:t>7  废水类别、污染物及污染治理设施信息表</w:t>
            </w:r>
          </w:p>
          <w:tbl>
            <w:tblPr>
              <w:tblStyle w:val="22"/>
              <w:tblW w:w="8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99"/>
              <w:gridCol w:w="1401"/>
              <w:gridCol w:w="939"/>
              <w:gridCol w:w="700"/>
              <w:gridCol w:w="773"/>
              <w:gridCol w:w="806"/>
              <w:gridCol w:w="894"/>
              <w:gridCol w:w="961"/>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0"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序号</w:t>
                  </w:r>
                </w:p>
              </w:tc>
              <w:tc>
                <w:tcPr>
                  <w:tcW w:w="499"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废水类别</w:t>
                  </w:r>
                </w:p>
              </w:tc>
              <w:tc>
                <w:tcPr>
                  <w:tcW w:w="1401"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污染物种类</w:t>
                  </w:r>
                </w:p>
              </w:tc>
              <w:tc>
                <w:tcPr>
                  <w:tcW w:w="939"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排放去向</w:t>
                  </w:r>
                </w:p>
              </w:tc>
              <w:tc>
                <w:tcPr>
                  <w:tcW w:w="700"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排放</w:t>
                  </w:r>
                </w:p>
                <w:p>
                  <w:pPr>
                    <w:keepNext w:val="0"/>
                    <w:keepLines w:val="0"/>
                    <w:pageBreakBefore w:val="0"/>
                    <w:kinsoku/>
                    <w:wordWrap/>
                    <w:overflowPunct/>
                    <w:topLinePunct w:val="0"/>
                    <w:bidi w:val="0"/>
                    <w:spacing w:beforeAutospacing="0" w:afterAutospacing="0" w:line="360" w:lineRule="auto"/>
                    <w:ind w:left="0" w:leftChars="0"/>
                    <w:jc w:val="center"/>
                  </w:pPr>
                  <w:r>
                    <w:t>规律</w:t>
                  </w:r>
                </w:p>
              </w:tc>
              <w:tc>
                <w:tcPr>
                  <w:tcW w:w="1579" w:type="dxa"/>
                  <w:gridSpan w:val="2"/>
                  <w:vAlign w:val="center"/>
                </w:tcPr>
                <w:p>
                  <w:pPr>
                    <w:keepNext w:val="0"/>
                    <w:keepLines w:val="0"/>
                    <w:pageBreakBefore w:val="0"/>
                    <w:kinsoku/>
                    <w:wordWrap/>
                    <w:overflowPunct/>
                    <w:topLinePunct w:val="0"/>
                    <w:bidi w:val="0"/>
                    <w:spacing w:beforeAutospacing="0" w:afterAutospacing="0" w:line="360" w:lineRule="auto"/>
                    <w:ind w:left="0" w:leftChars="0"/>
                    <w:jc w:val="center"/>
                  </w:pPr>
                  <w:r>
                    <w:t>污染治理设施</w:t>
                  </w:r>
                </w:p>
              </w:tc>
              <w:tc>
                <w:tcPr>
                  <w:tcW w:w="894"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排放口编号</w:t>
                  </w:r>
                </w:p>
              </w:tc>
              <w:tc>
                <w:tcPr>
                  <w:tcW w:w="961"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排放口设施是否符合要求</w:t>
                  </w:r>
                </w:p>
              </w:tc>
              <w:tc>
                <w:tcPr>
                  <w:tcW w:w="763"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20"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499"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1401"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939"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700"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773"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t>污染治理设施编号</w:t>
                  </w:r>
                </w:p>
              </w:tc>
              <w:tc>
                <w:tcPr>
                  <w:tcW w:w="806"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t>污染治理设施名称</w:t>
                  </w:r>
                </w:p>
              </w:tc>
              <w:tc>
                <w:tcPr>
                  <w:tcW w:w="894"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961"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c>
                <w:tcPr>
                  <w:tcW w:w="763" w:type="dxa"/>
                  <w:vMerge w:val="continue"/>
                  <w:vAlign w:val="center"/>
                </w:tcPr>
                <w:p>
                  <w:pPr>
                    <w:keepNext w:val="0"/>
                    <w:keepLines w:val="0"/>
                    <w:pageBreakBefore w:val="0"/>
                    <w:widowControl/>
                    <w:kinsoku/>
                    <w:wordWrap/>
                    <w:overflowPunct/>
                    <w:topLinePunct w:val="0"/>
                    <w:bidi w:val="0"/>
                    <w:spacing w:beforeAutospacing="0" w:afterAutospacing="0" w:line="360" w:lineRule="auto"/>
                    <w:ind w:left="0" w:leftChars="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20"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t>1</w:t>
                  </w:r>
                </w:p>
              </w:tc>
              <w:tc>
                <w:tcPr>
                  <w:tcW w:w="499"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生活污水</w:t>
                  </w:r>
                </w:p>
              </w:tc>
              <w:tc>
                <w:tcPr>
                  <w:tcW w:w="1401" w:type="dxa"/>
                  <w:vAlign w:val="center"/>
                </w:tcPr>
                <w:p>
                  <w:pPr>
                    <w:pStyle w:val="29"/>
                    <w:keepNext w:val="0"/>
                    <w:keepLines w:val="0"/>
                    <w:pageBreakBefore w:val="0"/>
                    <w:kinsoku/>
                    <w:wordWrap/>
                    <w:overflowPunct/>
                    <w:topLinePunct w:val="0"/>
                    <w:bidi w:val="0"/>
                    <w:spacing w:beforeAutospacing="0" w:afterAutospacing="0" w:line="360" w:lineRule="auto"/>
                    <w:ind w:left="0" w:leftChars="0"/>
                    <w:jc w:val="center"/>
                  </w:pPr>
                  <w:r>
                    <w:rPr>
                      <w:rFonts w:hint="eastAsia"/>
                      <w:lang w:val="en-US" w:eastAsia="zh-CN"/>
                    </w:rPr>
                    <w:t>pH、COD、NH</w:t>
                  </w:r>
                  <w:r>
                    <w:rPr>
                      <w:rFonts w:hint="eastAsia"/>
                      <w:vertAlign w:val="subscript"/>
                      <w:lang w:val="en-US" w:eastAsia="zh-CN"/>
                    </w:rPr>
                    <w:t>3</w:t>
                  </w:r>
                  <w:r>
                    <w:rPr>
                      <w:rFonts w:hint="eastAsia"/>
                      <w:lang w:val="en-US" w:eastAsia="zh-CN"/>
                    </w:rPr>
                    <w:t>-N、SS、BOD5</w:t>
                  </w:r>
                </w:p>
              </w:tc>
              <w:tc>
                <w:tcPr>
                  <w:tcW w:w="939" w:type="dxa"/>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进入园区污水处理厂</w:t>
                  </w:r>
                </w:p>
              </w:tc>
              <w:tc>
                <w:tcPr>
                  <w:tcW w:w="700" w:type="dxa"/>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t>间歇排放流量不稳定</w:t>
                  </w:r>
                </w:p>
              </w:tc>
              <w:tc>
                <w:tcPr>
                  <w:tcW w:w="773"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1#</w:t>
                  </w:r>
                </w:p>
              </w:tc>
              <w:tc>
                <w:tcPr>
                  <w:tcW w:w="806"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eastAsia="宋体"/>
                      <w:lang w:eastAsia="zh-CN"/>
                    </w:rPr>
                  </w:pPr>
                  <w:r>
                    <w:rPr>
                      <w:rFonts w:hint="eastAsia"/>
                      <w:lang w:eastAsia="zh-CN"/>
                    </w:rPr>
                    <w:t>化粪池</w:t>
                  </w:r>
                </w:p>
              </w:tc>
              <w:tc>
                <w:tcPr>
                  <w:tcW w:w="894" w:type="dxa"/>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t>DW001</w:t>
                  </w:r>
                </w:p>
              </w:tc>
              <w:tc>
                <w:tcPr>
                  <w:tcW w:w="961" w:type="dxa"/>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t>是</w:t>
                  </w:r>
                </w:p>
              </w:tc>
              <w:tc>
                <w:tcPr>
                  <w:tcW w:w="763" w:type="dxa"/>
                  <w:vAlign w:val="center"/>
                </w:tcPr>
                <w:p>
                  <w:pPr>
                    <w:keepNext w:val="0"/>
                    <w:keepLines w:val="0"/>
                    <w:pageBreakBefore w:val="0"/>
                    <w:widowControl/>
                    <w:kinsoku/>
                    <w:wordWrap/>
                    <w:overflowPunct/>
                    <w:topLinePunct w:val="0"/>
                    <w:bidi w:val="0"/>
                    <w:spacing w:beforeAutospacing="0" w:afterAutospacing="0" w:line="360" w:lineRule="auto"/>
                    <w:ind w:left="0" w:leftChars="0"/>
                    <w:jc w:val="center"/>
                  </w:pPr>
                  <w:r>
                    <w:rPr>
                      <w:rFonts w:hint="eastAsia"/>
                    </w:rPr>
                    <w:t>一般排放口</w:t>
                  </w:r>
                </w:p>
              </w:tc>
            </w:tr>
          </w:tbl>
          <w:p>
            <w:pPr>
              <w:pStyle w:val="7"/>
              <w:keepNext w:val="0"/>
              <w:keepLines w:val="0"/>
              <w:pageBreakBefore w:val="0"/>
              <w:kinsoku/>
              <w:wordWrap/>
              <w:overflowPunct/>
              <w:topLinePunct w:val="0"/>
              <w:bidi w:val="0"/>
              <w:spacing w:beforeAutospacing="0" w:afterAutospacing="0" w:line="360" w:lineRule="auto"/>
              <w:ind w:left="0" w:leftChars="0" w:firstLine="210"/>
              <w:rPr>
                <w:rFonts w:hint="eastAsia"/>
              </w:rPr>
            </w:pPr>
          </w:p>
          <w:p>
            <w:pPr>
              <w:pStyle w:val="8"/>
              <w:rPr>
                <w:rFonts w:hint="eastAsia"/>
              </w:rPr>
            </w:pPr>
          </w:p>
          <w:p>
            <w:pPr>
              <w:pStyle w:val="8"/>
              <w:rPr>
                <w:rFonts w:hint="eastAsia"/>
              </w:rPr>
            </w:pPr>
          </w:p>
          <w:p>
            <w:pPr>
              <w:pStyle w:val="8"/>
              <w:rPr>
                <w:rFonts w:hint="eastAsia"/>
              </w:rPr>
            </w:pPr>
          </w:p>
          <w:p>
            <w:pPr>
              <w:pStyle w:val="7"/>
              <w:keepNext w:val="0"/>
              <w:keepLines w:val="0"/>
              <w:pageBreakBefore w:val="0"/>
              <w:kinsoku/>
              <w:wordWrap/>
              <w:overflowPunct/>
              <w:topLinePunct w:val="0"/>
              <w:bidi w:val="0"/>
              <w:spacing w:beforeAutospacing="0" w:afterAutospacing="0" w:line="360" w:lineRule="auto"/>
              <w:ind w:left="0" w:leftChars="0" w:firstLine="210"/>
            </w:pPr>
            <w:r>
              <w:rPr>
                <w:rFonts w:hint="eastAsia"/>
              </w:rPr>
              <w:t>表4-</w:t>
            </w:r>
            <w:r>
              <w:t xml:space="preserve">8 </w:t>
            </w:r>
            <w:r>
              <w:rPr>
                <w:rFonts w:hint="eastAsia"/>
              </w:rPr>
              <w:t xml:space="preserve"> 本项目废水间接排放口基本情况表</w:t>
            </w:r>
          </w:p>
          <w:tbl>
            <w:tblPr>
              <w:tblStyle w:val="23"/>
              <w:tblW w:w="7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711"/>
              <w:gridCol w:w="1056"/>
              <w:gridCol w:w="1152"/>
              <w:gridCol w:w="816"/>
              <w:gridCol w:w="624"/>
              <w:gridCol w:w="592"/>
              <w:gridCol w:w="656"/>
              <w:gridCol w:w="816"/>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375"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序号</w:t>
                  </w:r>
                </w:p>
              </w:tc>
              <w:tc>
                <w:tcPr>
                  <w:tcW w:w="711"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排放口编号</w:t>
                  </w:r>
                </w:p>
              </w:tc>
              <w:tc>
                <w:tcPr>
                  <w:tcW w:w="2208" w:type="dxa"/>
                  <w:gridSpan w:val="2"/>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排放口地理坐标</w:t>
                  </w:r>
                </w:p>
              </w:tc>
              <w:tc>
                <w:tcPr>
                  <w:tcW w:w="816"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pPr>
                  <w:r>
                    <w:rPr>
                      <w:rFonts w:hint="eastAsia"/>
                    </w:rPr>
                    <w:t>废水排放量（万t/a）</w:t>
                  </w:r>
                </w:p>
              </w:tc>
              <w:tc>
                <w:tcPr>
                  <w:tcW w:w="624"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排放去向</w:t>
                  </w:r>
                </w:p>
              </w:tc>
              <w:tc>
                <w:tcPr>
                  <w:tcW w:w="592"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排放时段</w:t>
                  </w:r>
                </w:p>
              </w:tc>
              <w:tc>
                <w:tcPr>
                  <w:tcW w:w="2647" w:type="dxa"/>
                  <w:gridSpan w:val="3"/>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75"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711"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1056"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经度</w:t>
                  </w:r>
                </w:p>
              </w:tc>
              <w:tc>
                <w:tcPr>
                  <w:tcW w:w="1152"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纬度</w:t>
                  </w:r>
                </w:p>
              </w:tc>
              <w:tc>
                <w:tcPr>
                  <w:tcW w:w="81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624"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59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pPr>
                </w:p>
              </w:tc>
              <w:tc>
                <w:tcPr>
                  <w:tcW w:w="656"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名称</w:t>
                  </w:r>
                </w:p>
              </w:tc>
              <w:tc>
                <w:tcPr>
                  <w:tcW w:w="816"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污染物种类</w:t>
                  </w:r>
                </w:p>
              </w:tc>
              <w:tc>
                <w:tcPr>
                  <w:tcW w:w="1175" w:type="dxa"/>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375"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1</w:t>
                  </w:r>
                </w:p>
              </w:tc>
              <w:tc>
                <w:tcPr>
                  <w:tcW w:w="711"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DW001</w:t>
                  </w:r>
                </w:p>
              </w:tc>
              <w:tc>
                <w:tcPr>
                  <w:tcW w:w="1056"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rPr>
                  </w:pPr>
                  <w:r>
                    <w:rPr>
                      <w:rFonts w:hint="eastAsia" w:ascii="Times New Roman" w:hAnsi="Times New Roman" w:eastAsia="宋体" w:cs="Times New Roman"/>
                      <w:lang w:val="en-US" w:eastAsia="zh-CN"/>
                    </w:rPr>
                    <w:t>112°12′3.83838″</w:t>
                  </w:r>
                </w:p>
              </w:tc>
              <w:tc>
                <w:tcPr>
                  <w:tcW w:w="1152" w:type="dxa"/>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rPr>
                  </w:pPr>
                  <w:r>
                    <w:rPr>
                      <w:rFonts w:hint="eastAsia" w:ascii="Times New Roman" w:hAnsi="Times New Roman" w:eastAsia="宋体" w:cs="Times New Roman"/>
                      <w:lang w:eastAsia="zh-CN"/>
                    </w:rPr>
                    <w:t>26°33′34.48399″</w:t>
                  </w:r>
                </w:p>
              </w:tc>
              <w:tc>
                <w:tcPr>
                  <w:tcW w:w="816"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eastAsia="宋体"/>
                      <w:lang w:val="en-US" w:eastAsia="zh-CN"/>
                    </w:rPr>
                  </w:pPr>
                  <w:r>
                    <w:rPr>
                      <w:rFonts w:hint="eastAsia"/>
                    </w:rPr>
                    <w:t>0.0</w:t>
                  </w:r>
                  <w:r>
                    <w:rPr>
                      <w:rFonts w:hint="eastAsia"/>
                      <w:lang w:val="en-US" w:eastAsia="zh-CN"/>
                    </w:rPr>
                    <w:t>0675</w:t>
                  </w:r>
                </w:p>
              </w:tc>
              <w:tc>
                <w:tcPr>
                  <w:tcW w:w="624"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进入园区污水处理厂</w:t>
                  </w:r>
                </w:p>
              </w:tc>
              <w:tc>
                <w:tcPr>
                  <w:tcW w:w="592"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每天</w:t>
                  </w:r>
                </w:p>
              </w:tc>
              <w:tc>
                <w:tcPr>
                  <w:tcW w:w="656" w:type="dxa"/>
                  <w:vMerge w:val="restart"/>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园区污水处理厂</w:t>
                  </w:r>
                </w:p>
              </w:tc>
              <w:tc>
                <w:tcPr>
                  <w:tcW w:w="816"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COD</w:t>
                  </w:r>
                </w:p>
              </w:tc>
              <w:tc>
                <w:tcPr>
                  <w:tcW w:w="1175"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375"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711"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0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15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24"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59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NH</w:t>
                  </w:r>
                  <w:r>
                    <w:rPr>
                      <w:rFonts w:hint="eastAsia"/>
                      <w:vertAlign w:val="subscript"/>
                    </w:rPr>
                    <w:t>3</w:t>
                  </w:r>
                  <w:r>
                    <w:rPr>
                      <w:rFonts w:hint="eastAsia"/>
                    </w:rPr>
                    <w:t>-N</w:t>
                  </w:r>
                </w:p>
              </w:tc>
              <w:tc>
                <w:tcPr>
                  <w:tcW w:w="1175"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375"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711"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0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15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24"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59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SS</w:t>
                  </w:r>
                </w:p>
              </w:tc>
              <w:tc>
                <w:tcPr>
                  <w:tcW w:w="1175"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375"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711"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0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115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24"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592"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656" w:type="dxa"/>
                  <w:vMerge w:val="continue"/>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p>
              </w:tc>
              <w:tc>
                <w:tcPr>
                  <w:tcW w:w="816"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eastAsia"/>
                    </w:rPr>
                  </w:pPr>
                  <w:r>
                    <w:rPr>
                      <w:rFonts w:hint="eastAsia"/>
                    </w:rPr>
                    <w:t>BOD</w:t>
                  </w:r>
                  <w:r>
                    <w:rPr>
                      <w:rFonts w:hint="eastAsia"/>
                      <w:vertAlign w:val="subscript"/>
                    </w:rPr>
                    <w:t>5</w:t>
                  </w:r>
                </w:p>
              </w:tc>
              <w:tc>
                <w:tcPr>
                  <w:tcW w:w="1175" w:type="dxa"/>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lang w:val="en-US" w:eastAsia="zh-CN"/>
                    </w:rPr>
                  </w:pPr>
                  <w:r>
                    <w:rPr>
                      <w:rFonts w:hint="eastAsia"/>
                      <w:lang w:val="en-US" w:eastAsia="zh-CN"/>
                    </w:rPr>
                    <w:t>10</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Style w:val="100"/>
                <w:rFonts w:hint="eastAsia" w:ascii="Times New Roman" w:hAnsi="Times New Roman" w:eastAsia="宋体" w:cs="Times New Roman"/>
              </w:rPr>
            </w:pPr>
            <w:r>
              <w:rPr>
                <w:rStyle w:val="100"/>
                <w:rFonts w:hint="eastAsia" w:ascii="Times New Roman" w:hAnsi="Times New Roman" w:eastAsia="宋体" w:cs="Times New Roman"/>
                <w:lang w:val="en-US" w:eastAsia="zh-CN"/>
              </w:rPr>
              <w:t>②</w:t>
            </w:r>
            <w:r>
              <w:rPr>
                <w:rStyle w:val="100"/>
                <w:rFonts w:hint="eastAsia" w:ascii="Times New Roman" w:hAnsi="Times New Roman" w:eastAsia="宋体" w:cs="Times New Roman"/>
              </w:rPr>
              <w:t>达标排放分析及废水影响分析</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Style w:val="100"/>
                <w:rFonts w:hint="eastAsia" w:ascii="Times New Roman" w:hAnsi="Times New Roman" w:eastAsia="宋体" w:cs="Times New Roman"/>
              </w:rPr>
            </w:pPr>
            <w:r>
              <w:rPr>
                <w:rStyle w:val="100"/>
                <w:rFonts w:hint="eastAsia" w:ascii="Times New Roman" w:hAnsi="Times New Roman" w:eastAsia="宋体" w:cs="Times New Roman"/>
              </w:rPr>
              <w:t>本项目生活污水经化粪池预处理后COD排放浓度为</w:t>
            </w:r>
            <w:r>
              <w:rPr>
                <w:rStyle w:val="100"/>
                <w:rFonts w:hint="default" w:ascii="Times New Roman" w:hAnsi="Times New Roman" w:eastAsia="宋体" w:cs="Times New Roman"/>
              </w:rPr>
              <w:t>300mg/L</w:t>
            </w:r>
            <w:r>
              <w:rPr>
                <w:rStyle w:val="100"/>
                <w:rFonts w:hint="eastAsia" w:ascii="Times New Roman" w:hAnsi="Times New Roman" w:eastAsia="宋体" w:cs="Times New Roman"/>
              </w:rPr>
              <w:t>，NH3-N排放浓度为</w:t>
            </w:r>
            <w:r>
              <w:rPr>
                <w:rStyle w:val="100"/>
                <w:rFonts w:hint="default" w:ascii="Times New Roman" w:hAnsi="Times New Roman" w:eastAsia="宋体" w:cs="Times New Roman"/>
              </w:rPr>
              <w:t>300mg/L</w:t>
            </w:r>
            <w:r>
              <w:rPr>
                <w:rStyle w:val="100"/>
                <w:rFonts w:hint="eastAsia" w:ascii="Times New Roman" w:hAnsi="Times New Roman" w:eastAsia="宋体" w:cs="Times New Roman"/>
              </w:rPr>
              <w:t>，BOD5</w:t>
            </w:r>
            <w:r>
              <w:rPr>
                <w:rStyle w:val="100"/>
                <w:rFonts w:hint="eastAsia" w:ascii="Times New Roman" w:hAnsi="Times New Roman" w:eastAsia="宋体" w:cs="Times New Roman"/>
                <w:lang w:val="en-US" w:eastAsia="zh-CN"/>
              </w:rPr>
              <w:t>排放浓度为</w:t>
            </w:r>
            <w:r>
              <w:rPr>
                <w:rStyle w:val="100"/>
                <w:rFonts w:hint="default" w:ascii="Times New Roman" w:hAnsi="Times New Roman" w:eastAsia="宋体" w:cs="Times New Roman"/>
              </w:rPr>
              <w:t>200mg/L</w:t>
            </w:r>
            <w:r>
              <w:rPr>
                <w:rStyle w:val="100"/>
                <w:rFonts w:hint="eastAsia" w:ascii="Times New Roman" w:hAnsi="Times New Roman" w:eastAsia="宋体" w:cs="Times New Roman"/>
                <w:lang w:eastAsia="zh-CN"/>
              </w:rPr>
              <w:t>，</w:t>
            </w:r>
            <w:r>
              <w:rPr>
                <w:rStyle w:val="100"/>
                <w:rFonts w:hint="eastAsia" w:ascii="Times New Roman" w:hAnsi="Times New Roman" w:eastAsia="宋体" w:cs="Times New Roman"/>
              </w:rPr>
              <w:t>均小于《污水综合排放标准》（GB8978-1996）三级标准限值。项目位于</w:t>
            </w:r>
            <w:r>
              <w:rPr>
                <w:rStyle w:val="100"/>
                <w:rFonts w:hint="eastAsia" w:ascii="Times New Roman" w:hAnsi="Times New Roman" w:eastAsia="宋体" w:cs="Times New Roman"/>
                <w:lang w:val="en-US" w:eastAsia="zh-CN"/>
              </w:rPr>
              <w:t>归阳工业园</w:t>
            </w:r>
            <w:r>
              <w:rPr>
                <w:rStyle w:val="100"/>
                <w:rFonts w:hint="eastAsia" w:ascii="Times New Roman" w:hAnsi="Times New Roman" w:eastAsia="宋体" w:cs="Times New Roman"/>
              </w:rPr>
              <w:t>，项目所在区域已接通园区污水管网，根据查阅相关资料可知，污水处理厂位于工业园外东南1km处，纳污范围包括整个工业园和归阳镇区的生产、生活污水，设计处理能力为2万m</w:t>
            </w:r>
            <w:r>
              <w:rPr>
                <w:rStyle w:val="100"/>
                <w:rFonts w:hint="eastAsia" w:ascii="Times New Roman" w:hAnsi="Times New Roman" w:eastAsia="宋体" w:cs="Times New Roman"/>
                <w:vertAlign w:val="superscript"/>
              </w:rPr>
              <w:t>3</w:t>
            </w:r>
            <w:r>
              <w:rPr>
                <w:rStyle w:val="100"/>
                <w:rFonts w:hint="eastAsia" w:ascii="Times New Roman" w:hAnsi="Times New Roman" w:eastAsia="宋体" w:cs="Times New Roman"/>
              </w:rPr>
              <w:t>/d。污水厂及管网分两期建设，一期1万m</w:t>
            </w:r>
            <w:r>
              <w:rPr>
                <w:rStyle w:val="100"/>
                <w:rFonts w:hint="eastAsia" w:ascii="Times New Roman" w:hAnsi="Times New Roman" w:eastAsia="宋体" w:cs="Times New Roman"/>
                <w:vertAlign w:val="superscript"/>
              </w:rPr>
              <w:t>3</w:t>
            </w:r>
            <w:r>
              <w:rPr>
                <w:rStyle w:val="100"/>
                <w:rFonts w:hint="eastAsia" w:ascii="Times New Roman" w:hAnsi="Times New Roman" w:eastAsia="宋体" w:cs="Times New Roman"/>
              </w:rPr>
              <w:t>/d，主要纳污范围为园区近期规划范围内的生产、生活废水和归阳镇中心城区的生活污水。主要纳污范围为整个园区内的生产、生活废水和归阳镇的生活污水</w:t>
            </w:r>
            <w:r>
              <w:rPr>
                <w:rStyle w:val="100"/>
                <w:rFonts w:hint="eastAsia" w:ascii="Times New Roman" w:hAnsi="Times New Roman" w:eastAsia="宋体" w:cs="Times New Roman"/>
                <w:lang w:eastAsia="zh-CN"/>
              </w:rPr>
              <w:t>，</w:t>
            </w:r>
            <w:r>
              <w:rPr>
                <w:rStyle w:val="100"/>
                <w:rFonts w:hint="eastAsia" w:ascii="Times New Roman" w:hAnsi="Times New Roman" w:eastAsia="宋体" w:cs="Times New Roman"/>
              </w:rPr>
              <w:t>而本项目不涉及生产废水，主要为生活废水，其排放量为0.</w:t>
            </w:r>
            <w:r>
              <w:rPr>
                <w:rStyle w:val="100"/>
                <w:rFonts w:hint="eastAsia" w:ascii="Times New Roman" w:hAnsi="Times New Roman" w:eastAsia="宋体" w:cs="Times New Roman"/>
                <w:lang w:val="en-US" w:eastAsia="zh-CN"/>
              </w:rPr>
              <w:t>225</w:t>
            </w:r>
            <w:r>
              <w:rPr>
                <w:rStyle w:val="100"/>
                <w:rFonts w:hint="eastAsia" w:ascii="Times New Roman" w:hAnsi="Times New Roman" w:eastAsia="宋体" w:cs="Times New Roman"/>
              </w:rPr>
              <w:t>m</w:t>
            </w:r>
            <w:r>
              <w:rPr>
                <w:rStyle w:val="100"/>
                <w:rFonts w:hint="eastAsia" w:ascii="Times New Roman" w:hAnsi="Times New Roman" w:eastAsia="宋体" w:cs="Times New Roman"/>
                <w:vertAlign w:val="superscript"/>
              </w:rPr>
              <w:t>3</w:t>
            </w:r>
            <w:r>
              <w:rPr>
                <w:rStyle w:val="100"/>
                <w:rFonts w:hint="eastAsia" w:ascii="Times New Roman" w:hAnsi="Times New Roman" w:eastAsia="宋体" w:cs="Times New Roman"/>
              </w:rPr>
              <w:t>/d，对</w:t>
            </w:r>
            <w:r>
              <w:rPr>
                <w:rStyle w:val="100"/>
                <w:rFonts w:hint="eastAsia" w:ascii="Times New Roman" w:hAnsi="Times New Roman" w:eastAsia="宋体" w:cs="Times New Roman"/>
                <w:lang w:val="en-US" w:eastAsia="zh-CN"/>
              </w:rPr>
              <w:t>园区</w:t>
            </w:r>
            <w:r>
              <w:rPr>
                <w:rStyle w:val="100"/>
                <w:rFonts w:hint="eastAsia" w:ascii="Times New Roman" w:hAnsi="Times New Roman" w:eastAsia="宋体" w:cs="Times New Roman"/>
              </w:rPr>
              <w:t>污水处理厂的冲击率为0.00</w:t>
            </w:r>
            <w:r>
              <w:rPr>
                <w:rStyle w:val="100"/>
                <w:rFonts w:hint="eastAsia" w:ascii="Times New Roman" w:hAnsi="Times New Roman" w:eastAsia="宋体" w:cs="Times New Roman"/>
                <w:lang w:val="en-US" w:eastAsia="zh-CN"/>
              </w:rPr>
              <w:t>225</w:t>
            </w:r>
            <w:r>
              <w:rPr>
                <w:rStyle w:val="100"/>
                <w:rFonts w:hint="eastAsia" w:ascii="Times New Roman" w:hAnsi="Times New Roman" w:eastAsia="宋体" w:cs="Times New Roman"/>
              </w:rPr>
              <w:t>%，因此，本项目产生的废水不会对</w:t>
            </w:r>
            <w:r>
              <w:rPr>
                <w:rStyle w:val="100"/>
                <w:rFonts w:hint="eastAsia" w:ascii="Times New Roman" w:hAnsi="Times New Roman" w:eastAsia="宋体" w:cs="Times New Roman"/>
                <w:lang w:val="en-US" w:eastAsia="zh-CN"/>
              </w:rPr>
              <w:t>园区</w:t>
            </w:r>
            <w:r>
              <w:rPr>
                <w:rStyle w:val="100"/>
                <w:rFonts w:hint="eastAsia" w:ascii="Times New Roman" w:hAnsi="Times New Roman" w:eastAsia="宋体" w:cs="Times New Roman"/>
              </w:rPr>
              <w:t>污水处理厂产生冲击性影响。而且污水水质相对比较简单，根据</w:t>
            </w:r>
            <w:r>
              <w:rPr>
                <w:rStyle w:val="100"/>
                <w:rFonts w:hint="eastAsia" w:ascii="Times New Roman" w:hAnsi="Times New Roman" w:eastAsia="宋体" w:cs="Times New Roman"/>
                <w:lang w:val="en-US" w:eastAsia="zh-CN"/>
              </w:rPr>
              <w:t>园区</w:t>
            </w:r>
            <w:r>
              <w:rPr>
                <w:rStyle w:val="100"/>
                <w:rFonts w:hint="eastAsia" w:ascii="Times New Roman" w:hAnsi="Times New Roman" w:eastAsia="宋体" w:cs="Times New Roman"/>
              </w:rPr>
              <w:t>污水处理厂处理能力来看，完全能接纳本项目污水，因此，本项目生活污水进入</w:t>
            </w:r>
            <w:r>
              <w:rPr>
                <w:rStyle w:val="100"/>
                <w:rFonts w:hint="eastAsia" w:ascii="Times New Roman" w:hAnsi="Times New Roman" w:eastAsia="宋体" w:cs="Times New Roman"/>
                <w:lang w:val="en-US" w:eastAsia="zh-CN"/>
              </w:rPr>
              <w:t>园区</w:t>
            </w:r>
            <w:r>
              <w:rPr>
                <w:rStyle w:val="100"/>
                <w:rFonts w:hint="eastAsia" w:ascii="Times New Roman" w:hAnsi="Times New Roman" w:eastAsia="宋体" w:cs="Times New Roman"/>
              </w:rPr>
              <w:t>污水处理厂可行。</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Style w:val="100"/>
                <w:rFonts w:hint="eastAsia" w:ascii="Times New Roman" w:hAnsi="Times New Roman" w:eastAsia="宋体" w:cs="Times New Roman"/>
              </w:rPr>
            </w:pPr>
            <w:r>
              <w:rPr>
                <w:rStyle w:val="100"/>
                <w:rFonts w:hint="eastAsia" w:ascii="Times New Roman" w:hAnsi="Times New Roman" w:eastAsia="宋体" w:cs="Times New Roman"/>
              </w:rPr>
              <w:t>本项目外排废水水量较小，且水质较单一，废水最终纳管进入</w:t>
            </w:r>
            <w:r>
              <w:rPr>
                <w:rStyle w:val="100"/>
                <w:rFonts w:hint="eastAsia" w:ascii="Times New Roman" w:hAnsi="Times New Roman" w:eastAsia="宋体" w:cs="Times New Roman"/>
                <w:lang w:val="en-US" w:eastAsia="zh-CN"/>
              </w:rPr>
              <w:t>园区</w:t>
            </w:r>
            <w:r>
              <w:rPr>
                <w:rStyle w:val="100"/>
                <w:rFonts w:hint="eastAsia" w:ascii="Times New Roman" w:hAnsi="Times New Roman" w:eastAsia="宋体" w:cs="Times New Roman"/>
              </w:rPr>
              <w:t>污水处理厂集中处理达标后排入外环境，不直接排入周边地表水体。因此，本项目废水对周边地表水无直接影响。</w:t>
            </w:r>
          </w:p>
          <w:p>
            <w:pPr>
              <w:pStyle w:val="62"/>
              <w:keepNext w:val="0"/>
              <w:keepLines w:val="0"/>
              <w:pageBreakBefore w:val="0"/>
              <w:widowControl w:val="0"/>
              <w:kinsoku/>
              <w:wordWrap/>
              <w:overflowPunct/>
              <w:topLinePunct w:val="0"/>
              <w:autoSpaceDE/>
              <w:autoSpaceDN/>
              <w:bidi w:val="0"/>
              <w:spacing w:before="0" w:beforeAutospacing="0" w:afterLines="0" w:afterAutospacing="0" w:line="360" w:lineRule="auto"/>
              <w:ind w:left="0" w:leftChars="0" w:firstLine="482" w:firstLineChars="200"/>
              <w:rPr>
                <w:rFonts w:hint="default" w:ascii="Times New Roman" w:hAnsi="Times New Roman" w:eastAsia="宋体" w:cs="Times New Roman"/>
                <w:b/>
                <w:u w:val="none"/>
              </w:rPr>
            </w:pPr>
            <w:r>
              <w:rPr>
                <w:rFonts w:hint="default" w:ascii="Times New Roman" w:hAnsi="Times New Roman" w:eastAsia="宋体" w:cs="Times New Roman"/>
                <w:b/>
                <w:u w:val="none"/>
              </w:rPr>
              <w:t>3、噪声污染源强分析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default"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（1）污染源源强</w:t>
            </w:r>
          </w:p>
          <w:p>
            <w:pPr>
              <w:keepNext w:val="0"/>
              <w:keepLines w:val="0"/>
              <w:pageBreakBefore w:val="0"/>
              <w:widowControl w:val="0"/>
              <w:kinsoku/>
              <w:wordWrap/>
              <w:overflowPunct/>
              <w:topLinePunct w:val="0"/>
              <w:autoSpaceDE/>
              <w:autoSpaceDN/>
              <w:bidi w:val="0"/>
              <w:spacing w:beforeAutospacing="0" w:afterAutospacing="0" w:line="360" w:lineRule="auto"/>
              <w:ind w:left="0" w:leftChars="0" w:firstLine="480" w:firstLineChars="200"/>
              <w:rPr>
                <w:rFonts w:hint="default" w:ascii="Times New Roman" w:hAnsi="Times New Roman" w:eastAsia="宋体" w:cs="Times New Roman"/>
                <w:kern w:val="0"/>
                <w:sz w:val="24"/>
                <w:szCs w:val="24"/>
                <w:u w:val="none"/>
                <w:lang w:val="en-US" w:eastAsia="zh-CN" w:bidi="ar-SA"/>
              </w:rPr>
            </w:pPr>
            <w:r>
              <w:rPr>
                <w:rFonts w:hint="default" w:ascii="Times New Roman" w:hAnsi="Times New Roman" w:eastAsia="宋体" w:cs="Times New Roman"/>
                <w:kern w:val="0"/>
                <w:sz w:val="24"/>
                <w:szCs w:val="24"/>
                <w:u w:val="none"/>
                <w:lang w:val="en-US" w:eastAsia="zh-CN" w:bidi="ar-SA"/>
              </w:rPr>
              <w:t>本项目的主要噪声源有</w:t>
            </w:r>
            <w:r>
              <w:rPr>
                <w:rFonts w:hint="eastAsia" w:ascii="Times New Roman" w:hAnsi="Times New Roman" w:eastAsia="宋体" w:cs="Times New Roman"/>
                <w:kern w:val="0"/>
                <w:sz w:val="24"/>
                <w:szCs w:val="24"/>
                <w:u w:val="none"/>
                <w:lang w:val="en-US" w:eastAsia="zh-CN" w:bidi="ar-SA"/>
              </w:rPr>
              <w:t>打包机</w:t>
            </w:r>
            <w:r>
              <w:rPr>
                <w:rFonts w:hint="default" w:ascii="Times New Roman" w:hAnsi="Times New Roman" w:eastAsia="宋体" w:cs="Times New Roman"/>
                <w:kern w:val="0"/>
                <w:sz w:val="24"/>
                <w:szCs w:val="24"/>
                <w:u w:val="none"/>
                <w:lang w:val="en-US" w:eastAsia="zh-CN" w:bidi="ar-SA"/>
              </w:rPr>
              <w:t>、风机、运输车辆噪声，主要噪声级如下：</w:t>
            </w:r>
            <w:r>
              <w:rPr>
                <w:rFonts w:hint="eastAsia" w:ascii="Times New Roman" w:hAnsi="Times New Roman" w:eastAsia="宋体" w:cs="Times New Roman"/>
                <w:kern w:val="0"/>
                <w:sz w:val="24"/>
                <w:szCs w:val="24"/>
                <w:u w:val="none"/>
                <w:lang w:val="en-US" w:eastAsia="zh-CN" w:bidi="ar-SA"/>
              </w:rPr>
              <w:t>打包机噪声75-85</w:t>
            </w:r>
            <w:r>
              <w:rPr>
                <w:rFonts w:hint="default" w:ascii="Times New Roman" w:hAnsi="Times New Roman" w:eastAsia="宋体" w:cs="Times New Roman"/>
                <w:kern w:val="0"/>
                <w:sz w:val="24"/>
                <w:szCs w:val="24"/>
                <w:u w:val="none"/>
                <w:lang w:val="en-US" w:eastAsia="zh-CN" w:bidi="ar-SA"/>
              </w:rPr>
              <w:t>dB</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A</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风机噪声</w:t>
            </w:r>
            <w:r>
              <w:rPr>
                <w:rFonts w:hint="eastAsia" w:ascii="Times New Roman" w:hAnsi="Times New Roman" w:eastAsia="宋体" w:cs="Times New Roman"/>
                <w:kern w:val="0"/>
                <w:sz w:val="24"/>
                <w:szCs w:val="24"/>
                <w:u w:val="none"/>
                <w:lang w:val="en-US" w:eastAsia="zh-CN" w:bidi="ar-SA"/>
              </w:rPr>
              <w:t>80-</w:t>
            </w:r>
            <w:r>
              <w:rPr>
                <w:rFonts w:hint="default" w:ascii="Times New Roman" w:hAnsi="Times New Roman" w:eastAsia="宋体" w:cs="Times New Roman"/>
                <w:kern w:val="0"/>
                <w:sz w:val="24"/>
                <w:szCs w:val="24"/>
                <w:u w:val="none"/>
                <w:lang w:val="en-US" w:eastAsia="zh-CN" w:bidi="ar-SA"/>
              </w:rPr>
              <w:t>90dB</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A</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；车辆运行噪声75-80dB</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A</w:t>
            </w:r>
            <w:r>
              <w:rPr>
                <w:rFonts w:hint="eastAsia" w:ascii="Times New Roman" w:hAnsi="Times New Roman" w:eastAsia="宋体" w:cs="Times New Roman"/>
                <w:kern w:val="0"/>
                <w:sz w:val="24"/>
                <w:szCs w:val="24"/>
                <w:u w:val="none"/>
                <w:lang w:val="en-US" w:eastAsia="zh-CN" w:bidi="ar-SA"/>
              </w:rPr>
              <w:t>)</w:t>
            </w:r>
            <w:r>
              <w:rPr>
                <w:rFonts w:hint="default" w:ascii="Times New Roman" w:hAnsi="Times New Roman" w:eastAsia="宋体" w:cs="Times New Roman"/>
                <w:kern w:val="0"/>
                <w:sz w:val="24"/>
                <w:szCs w:val="24"/>
                <w:u w:val="none"/>
                <w:lang w:val="en-US" w:eastAsia="zh-CN" w:bidi="ar-SA"/>
              </w:rPr>
              <w:t>，对环境影响较小。加强噪声设备的维护管理，避免因不正常运行所导致的噪声增大。通过</w:t>
            </w:r>
            <w:r>
              <w:rPr>
                <w:rFonts w:hint="eastAsia" w:ascii="Times New Roman" w:hAnsi="Times New Roman" w:eastAsia="宋体" w:cs="Times New Roman"/>
                <w:kern w:val="0"/>
                <w:sz w:val="24"/>
                <w:szCs w:val="24"/>
                <w:u w:val="none"/>
                <w:lang w:val="en-US" w:eastAsia="zh-CN" w:bidi="ar-SA"/>
              </w:rPr>
              <w:t>厂房隔声</w:t>
            </w:r>
            <w:r>
              <w:rPr>
                <w:rFonts w:hint="default" w:ascii="Times New Roman" w:hAnsi="Times New Roman" w:eastAsia="宋体" w:cs="Times New Roman"/>
                <w:kern w:val="0"/>
                <w:sz w:val="24"/>
                <w:szCs w:val="24"/>
                <w:u w:val="none"/>
                <w:lang w:val="en-US" w:eastAsia="zh-CN" w:bidi="ar-SA"/>
              </w:rPr>
              <w:t>和距离衰减后使项目排放噪声厂界达到《工业企业厂界环境噪声排放标准》（GB12348-2008）中的3类标准。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（2）厂界和环境保护目标达标情况分析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项目生产设备噪声源位于封闭的车间内。项目噪声设备主要有风机和叉车等。噪声防治对策应该主要从声源上降低噪声和从噪声传播等途径上进行，建议企业采取如下降噪措施：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①制定相关操作规程，做好对生产、装卸过程中的管理，对原料、成品的搬运、装卸做到轻拿轻放，减少原料和成品装卸时的落差，尽量减少瞬时噪声对周边环境产生的影响。</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在设计和设备采购阶段，优先选用先进的低噪音设备，从声源上降低设备本身噪音。风机等动力设备选用满足国际标准的低噪声、低振动设备，通风系统的风机也采用符合国家标准的设备，同时主要应选择本身带减振底座的风机。</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设备安装定位时注意减振措施设计，在定位装置设备与楼面之间垫减振材料，设备基础与墙体、地坪之间适当设置减振沟，减少振动噪声的传播。对于设置在屋顶的风机或排气口考虑加设风机隔声罩，排风管道进出口加柔性软接头，以降低风机噪声对周围环境的影响。</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④合理规划平面布置。项目车间尽量布置在厂区中间，重点噪声源均布置在车间内部，并尽量远离办公生活区及四周厂界。</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⑤日常生产需加强对各设备的维修、保养，对其主要磨损部位要及时添加润滑油，确保设备处于良好的运转状态，杜绝因设备不正常运转而产生的高噪音现象。加强管理，合理安排作业时间，禁止夜间生产。</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rPr>
                <w:rFonts w:hint="default"/>
              </w:rPr>
            </w:pPr>
            <w:r>
              <w:rPr>
                <w:rFonts w:hint="eastAsia" w:ascii="Times New Roman" w:hAnsi="Times New Roman" w:eastAsia="宋体" w:cs="Times New Roman"/>
                <w:kern w:val="0"/>
                <w:sz w:val="24"/>
                <w:szCs w:val="24"/>
                <w:u w:val="none"/>
                <w:lang w:val="en-US" w:eastAsia="zh-CN" w:bidi="ar-SA"/>
              </w:rPr>
              <w:t>采取上述隔声、减振等噪声污染防治措施后，厂界外昼夜间噪声值可满足《工业企业厂界环境噪声排放标准》（GB12348-2008）中的3类标准的要求，且项目周边50m范围内无声环境敏感目标，项目噪声对周边环境影响不大。</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2" w:firstLineChars="200"/>
              <w:textAlignment w:val="baseline"/>
              <w:rPr>
                <w:rFonts w:hint="default" w:ascii="Times New Roman" w:hAnsi="Times New Roman" w:eastAsia="宋体" w:cs="Times New Roman"/>
                <w:b/>
                <w:u w:val="none"/>
              </w:rPr>
            </w:pPr>
            <w:r>
              <w:rPr>
                <w:rFonts w:hint="default" w:ascii="Times New Roman" w:hAnsi="Times New Roman" w:eastAsia="宋体" w:cs="Times New Roman"/>
                <w:b/>
                <w:u w:val="none"/>
              </w:rPr>
              <w:t>4、固体废物源强分析</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0" w:firstLineChars="200"/>
              <w:textAlignment w:val="baseline"/>
              <w:rPr>
                <w:rFonts w:hint="default" w:ascii="Times New Roman" w:hAnsi="Times New Roman" w:eastAsia="宋体" w:cs="Times New Roman"/>
                <w:szCs w:val="24"/>
                <w:u w:val="none"/>
              </w:rPr>
            </w:pPr>
            <w:r>
              <w:rPr>
                <w:rFonts w:hint="default" w:ascii="Times New Roman" w:hAnsi="Times New Roman" w:eastAsia="宋体" w:cs="Times New Roman"/>
                <w:szCs w:val="24"/>
                <w:u w:val="none"/>
              </w:rPr>
              <w:t>本项目本身为危险固废的暂存周转，周转的危险固废不作为本项目产生的固废。而项目自身产生的固废主要为清洁和工作时产生废抹布、手套</w:t>
            </w:r>
            <w:r>
              <w:rPr>
                <w:rFonts w:hint="eastAsia" w:ascii="Times New Roman" w:hAnsi="Times New Roman" w:eastAsia="宋体" w:cs="Times New Roman"/>
                <w:szCs w:val="24"/>
                <w:u w:val="none"/>
                <w:lang w:eastAsia="zh-CN"/>
              </w:rPr>
              <w:t>、废活性炭</w:t>
            </w:r>
            <w:r>
              <w:rPr>
                <w:rFonts w:hint="default" w:ascii="Times New Roman" w:hAnsi="Times New Roman" w:eastAsia="宋体" w:cs="Times New Roman"/>
                <w:szCs w:val="24"/>
                <w:u w:val="none"/>
              </w:rPr>
              <w:t>和员工生活垃圾。</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0" w:firstLineChars="200"/>
              <w:textAlignment w:val="baseline"/>
              <w:rPr>
                <w:rFonts w:hint="default" w:ascii="Times New Roman" w:hAnsi="Times New Roman" w:eastAsia="宋体" w:cs="Times New Roman"/>
                <w:szCs w:val="24"/>
                <w:u w:val="none"/>
              </w:rPr>
            </w:pPr>
            <w:r>
              <w:rPr>
                <w:rFonts w:hint="default" w:ascii="Times New Roman" w:hAnsi="Times New Roman" w:eastAsia="宋体" w:cs="Times New Roman"/>
                <w:szCs w:val="24"/>
                <w:u w:val="none"/>
              </w:rPr>
              <w:t>（1）</w:t>
            </w:r>
            <w:r>
              <w:rPr>
                <w:rFonts w:hint="default" w:ascii="Times New Roman" w:hAnsi="Times New Roman" w:eastAsia="宋体" w:cs="Times New Roman"/>
                <w:szCs w:val="24"/>
                <w:u w:val="none"/>
                <w:lang w:eastAsia="zh-CN"/>
              </w:rPr>
              <w:t>废</w:t>
            </w:r>
            <w:r>
              <w:rPr>
                <w:rFonts w:hint="default" w:ascii="Times New Roman" w:hAnsi="Times New Roman" w:eastAsia="宋体" w:cs="Times New Roman"/>
                <w:szCs w:val="24"/>
                <w:u w:val="none"/>
              </w:rPr>
              <w:t>抹布</w:t>
            </w:r>
            <w:r>
              <w:rPr>
                <w:rFonts w:hint="default" w:ascii="Times New Roman" w:hAnsi="Times New Roman" w:eastAsia="宋体" w:cs="Times New Roman"/>
                <w:szCs w:val="24"/>
                <w:u w:val="none"/>
                <w:lang w:eastAsia="zh-CN"/>
              </w:rPr>
              <w:t>、</w:t>
            </w:r>
            <w:r>
              <w:rPr>
                <w:rFonts w:hint="default" w:ascii="Times New Roman" w:hAnsi="Times New Roman" w:eastAsia="宋体" w:cs="Times New Roman"/>
                <w:szCs w:val="24"/>
                <w:u w:val="none"/>
              </w:rPr>
              <w:t>手套</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0" w:firstLineChars="200"/>
              <w:textAlignment w:val="baseline"/>
              <w:rPr>
                <w:rFonts w:hint="default" w:ascii="Times New Roman" w:hAnsi="Times New Roman" w:eastAsia="宋体" w:cs="Times New Roman"/>
                <w:szCs w:val="24"/>
                <w:u w:val="none"/>
              </w:rPr>
            </w:pPr>
            <w:r>
              <w:rPr>
                <w:rFonts w:hint="default" w:ascii="Times New Roman" w:hAnsi="Times New Roman" w:eastAsia="宋体" w:cs="Times New Roman"/>
                <w:szCs w:val="24"/>
                <w:u w:val="none"/>
              </w:rPr>
              <w:t>根据类比同类型项目，本项目废含抹布</w:t>
            </w:r>
            <w:r>
              <w:rPr>
                <w:rFonts w:hint="default" w:ascii="Times New Roman" w:hAnsi="Times New Roman" w:eastAsia="宋体" w:cs="Times New Roman"/>
                <w:szCs w:val="24"/>
                <w:u w:val="none"/>
                <w:lang w:eastAsia="zh-CN"/>
              </w:rPr>
              <w:t>、</w:t>
            </w:r>
            <w:r>
              <w:rPr>
                <w:rFonts w:hint="default" w:ascii="Times New Roman" w:hAnsi="Times New Roman" w:eastAsia="宋体" w:cs="Times New Roman"/>
                <w:szCs w:val="24"/>
                <w:u w:val="none"/>
              </w:rPr>
              <w:t>手套产生量为0.</w:t>
            </w:r>
            <w:r>
              <w:rPr>
                <w:rFonts w:hint="default" w:ascii="Times New Roman" w:hAnsi="Times New Roman" w:eastAsia="宋体" w:cs="Times New Roman"/>
                <w:szCs w:val="24"/>
                <w:u w:val="none"/>
                <w:lang w:val="en-US" w:eastAsia="zh-CN"/>
              </w:rPr>
              <w:t>1</w:t>
            </w:r>
            <w:r>
              <w:rPr>
                <w:rFonts w:hint="default" w:ascii="Times New Roman" w:hAnsi="Times New Roman" w:eastAsia="宋体" w:cs="Times New Roman"/>
                <w:szCs w:val="24"/>
                <w:u w:val="none"/>
              </w:rPr>
              <w:t>t/a，根据国家危废管理名录，此部分废物属于危险固废的范围，按《国家危险废物名录》（2016年8月1日起施行），分类编号为HW49其他废物900-041-049含有或沾染毒性、感染性危险废物的废弃包装物、容器、过滤吸附介质。因此，</w:t>
            </w:r>
            <w:r>
              <w:rPr>
                <w:rFonts w:hint="default" w:ascii="Times New Roman" w:hAnsi="Times New Roman" w:eastAsia="宋体" w:cs="Times New Roman"/>
                <w:szCs w:val="24"/>
                <w:u w:val="none"/>
                <w:lang w:eastAsia="zh-CN"/>
              </w:rPr>
              <w:t>本部分固废</w:t>
            </w:r>
            <w:r>
              <w:rPr>
                <w:rFonts w:hint="default" w:ascii="Times New Roman" w:hAnsi="Times New Roman" w:eastAsia="宋体" w:cs="Times New Roman"/>
                <w:szCs w:val="24"/>
                <w:u w:val="none"/>
              </w:rPr>
              <w:t>在厂区自产危废暂存区暂存，定期与本项目周转的危险废物一同交由有资质的单位处置。</w:t>
            </w:r>
          </w:p>
          <w:p>
            <w:pPr>
              <w:pStyle w:val="62"/>
              <w:keepNext w:val="0"/>
              <w:keepLines w:val="0"/>
              <w:pageBreakBefore w:val="0"/>
              <w:widowControl w:val="0"/>
              <w:kinsoku/>
              <w:wordWrap/>
              <w:overflowPunct/>
              <w:topLinePunct w:val="0"/>
              <w:autoSpaceDE/>
              <w:autoSpaceDN/>
              <w:bidi w:val="0"/>
              <w:spacing w:before="0" w:beforeAutospacing="0" w:afterLines="0" w:afterAutospacing="0" w:line="360" w:lineRule="auto"/>
              <w:ind w:left="0" w:leftChars="0" w:firstLine="480" w:firstLineChars="200"/>
              <w:rPr>
                <w:rFonts w:hint="default" w:ascii="Times New Roman" w:hAnsi="Times New Roman" w:eastAsia="宋体" w:cs="Times New Roman"/>
                <w:szCs w:val="24"/>
                <w:u w:val="none"/>
              </w:rPr>
            </w:pPr>
            <w:r>
              <w:rPr>
                <w:rFonts w:hint="default" w:ascii="Times New Roman" w:hAnsi="Times New Roman" w:eastAsia="宋体" w:cs="Times New Roman"/>
                <w:szCs w:val="24"/>
                <w:u w:val="none"/>
              </w:rPr>
              <w:t>（</w:t>
            </w:r>
            <w:r>
              <w:rPr>
                <w:rFonts w:hint="default" w:ascii="Times New Roman" w:hAnsi="Times New Roman" w:eastAsia="宋体" w:cs="Times New Roman"/>
                <w:szCs w:val="24"/>
                <w:u w:val="none"/>
                <w:lang w:val="en-US" w:eastAsia="zh-CN"/>
              </w:rPr>
              <w:t>2</w:t>
            </w:r>
            <w:r>
              <w:rPr>
                <w:rFonts w:hint="default" w:ascii="Times New Roman" w:hAnsi="Times New Roman" w:eastAsia="宋体" w:cs="Times New Roman"/>
                <w:szCs w:val="24"/>
                <w:u w:val="none"/>
              </w:rPr>
              <w:t>）生活垃圾</w:t>
            </w:r>
          </w:p>
          <w:p>
            <w:pPr>
              <w:pStyle w:val="62"/>
              <w:keepNext w:val="0"/>
              <w:keepLines w:val="0"/>
              <w:pageBreakBefore w:val="0"/>
              <w:widowControl w:val="0"/>
              <w:kinsoku/>
              <w:wordWrap/>
              <w:overflowPunct/>
              <w:topLinePunct w:val="0"/>
              <w:autoSpaceDE/>
              <w:autoSpaceDN/>
              <w:bidi w:val="0"/>
              <w:spacing w:before="0" w:beforeAutospacing="0" w:afterLines="0" w:afterAutospacing="0" w:line="360" w:lineRule="auto"/>
              <w:ind w:left="0" w:leftChars="0" w:firstLine="480" w:firstLineChars="200"/>
              <w:rPr>
                <w:rFonts w:hint="default" w:ascii="Times New Roman" w:hAnsi="Times New Roman" w:eastAsia="宋体" w:cs="Times New Roman"/>
                <w:szCs w:val="24"/>
                <w:u w:val="none"/>
              </w:rPr>
            </w:pPr>
            <w:r>
              <w:rPr>
                <w:rFonts w:hint="default" w:ascii="Times New Roman" w:hAnsi="Times New Roman" w:eastAsia="宋体" w:cs="Times New Roman"/>
                <w:szCs w:val="24"/>
                <w:u w:val="none"/>
              </w:rPr>
              <w:t>本项目设</w:t>
            </w:r>
            <w:r>
              <w:rPr>
                <w:rFonts w:hint="default" w:ascii="Times New Roman" w:hAnsi="Times New Roman" w:eastAsia="宋体" w:cs="Times New Roman"/>
                <w:szCs w:val="24"/>
                <w:u w:val="none"/>
                <w:lang w:val="en-US" w:eastAsia="zh-CN"/>
              </w:rPr>
              <w:t>5</w:t>
            </w:r>
            <w:r>
              <w:rPr>
                <w:rFonts w:hint="default" w:ascii="Times New Roman" w:hAnsi="Times New Roman" w:eastAsia="宋体" w:cs="Times New Roman"/>
                <w:szCs w:val="24"/>
                <w:u w:val="none"/>
              </w:rPr>
              <w:t>名工作人员，按垃圾产生量0.5kg/人·d计算，生活垃圾产生量为</w:t>
            </w:r>
            <w:r>
              <w:rPr>
                <w:rFonts w:hint="default" w:ascii="Times New Roman" w:hAnsi="Times New Roman" w:eastAsia="宋体" w:cs="Times New Roman"/>
                <w:szCs w:val="24"/>
                <w:u w:val="none"/>
                <w:lang w:val="en-US" w:eastAsia="zh-CN"/>
              </w:rPr>
              <w:t>2.</w:t>
            </w:r>
            <w:r>
              <w:rPr>
                <w:rFonts w:hint="default" w:ascii="Times New Roman" w:hAnsi="Times New Roman" w:eastAsia="宋体" w:cs="Times New Roman"/>
                <w:szCs w:val="24"/>
                <w:u w:val="none"/>
              </w:rPr>
              <w:t>5kg/d，即</w:t>
            </w:r>
            <w:r>
              <w:rPr>
                <w:rFonts w:hint="default" w:ascii="Times New Roman" w:hAnsi="Times New Roman" w:eastAsia="宋体" w:cs="Times New Roman"/>
                <w:szCs w:val="24"/>
                <w:u w:val="none"/>
                <w:lang w:val="en-US" w:eastAsia="zh-CN"/>
              </w:rPr>
              <w:t>0.75</w:t>
            </w:r>
            <w:r>
              <w:rPr>
                <w:rFonts w:hint="default" w:ascii="Times New Roman" w:hAnsi="Times New Roman" w:eastAsia="宋体" w:cs="Times New Roman"/>
                <w:szCs w:val="24"/>
                <w:u w:val="none"/>
              </w:rPr>
              <w:t>t/a，交由环卫部门清运处置。</w:t>
            </w:r>
          </w:p>
          <w:p>
            <w:pPr>
              <w:pStyle w:val="62"/>
              <w:keepNext w:val="0"/>
              <w:keepLines w:val="0"/>
              <w:pageBreakBefore w:val="0"/>
              <w:widowControl w:val="0"/>
              <w:kinsoku/>
              <w:wordWrap/>
              <w:overflowPunct/>
              <w:topLinePunct w:val="0"/>
              <w:autoSpaceDE/>
              <w:autoSpaceDN/>
              <w:bidi w:val="0"/>
              <w:adjustRightInd w:val="0"/>
              <w:snapToGrid w:val="0"/>
              <w:spacing w:before="0" w:beforeAutospacing="0" w:afterLines="0" w:afterAutospacing="0" w:line="360" w:lineRule="auto"/>
              <w:ind w:left="0" w:leftChars="0" w:firstLine="480" w:firstLineChars="200"/>
              <w:textAlignment w:val="baseline"/>
              <w:rPr>
                <w:rFonts w:hint="eastAsia" w:ascii="Times New Roman" w:hAnsi="Times New Roman" w:eastAsia="宋体" w:cs="Times New Roman"/>
                <w:szCs w:val="24"/>
                <w:u w:val="none"/>
                <w:lang w:eastAsia="zh-CN"/>
              </w:rPr>
            </w:pPr>
            <w:r>
              <w:rPr>
                <w:rFonts w:hint="default" w:ascii="Times New Roman" w:hAnsi="Times New Roman" w:eastAsia="宋体" w:cs="Times New Roman"/>
                <w:szCs w:val="24"/>
                <w:u w:val="none"/>
              </w:rPr>
              <w:t>（</w:t>
            </w:r>
            <w:r>
              <w:rPr>
                <w:rFonts w:hint="eastAsia" w:ascii="Times New Roman" w:hAnsi="Times New Roman" w:eastAsia="宋体" w:cs="Times New Roman"/>
                <w:szCs w:val="24"/>
                <w:u w:val="none"/>
                <w:lang w:val="en-US" w:eastAsia="zh-CN"/>
              </w:rPr>
              <w:t>3</w:t>
            </w:r>
            <w:r>
              <w:rPr>
                <w:rFonts w:hint="default" w:ascii="Times New Roman" w:hAnsi="Times New Roman" w:eastAsia="宋体" w:cs="Times New Roman"/>
                <w:szCs w:val="24"/>
                <w:u w:val="none"/>
              </w:rPr>
              <w:t>）</w:t>
            </w:r>
            <w:r>
              <w:rPr>
                <w:rFonts w:hint="eastAsia" w:ascii="Times New Roman" w:hAnsi="Times New Roman" w:eastAsia="宋体" w:cs="Times New Roman"/>
                <w:szCs w:val="24"/>
                <w:u w:val="none"/>
                <w:lang w:eastAsia="zh-CN"/>
              </w:rPr>
              <w:t>废活性炭</w:t>
            </w:r>
          </w:p>
          <w:p>
            <w:pPr>
              <w:pStyle w:val="62"/>
              <w:keepNext w:val="0"/>
              <w:keepLines w:val="0"/>
              <w:pageBreakBefore w:val="0"/>
              <w:widowControl w:val="0"/>
              <w:kinsoku/>
              <w:wordWrap/>
              <w:overflowPunct/>
              <w:topLinePunct w:val="0"/>
              <w:autoSpaceDE/>
              <w:autoSpaceDN/>
              <w:bidi w:val="0"/>
              <w:spacing w:before="0" w:beforeAutospacing="0" w:afterLines="0" w:afterAutospacing="0" w:line="360" w:lineRule="auto"/>
              <w:ind w:left="0" w:leftChars="0" w:firstLine="480" w:firstLineChars="200"/>
              <w:jc w:val="both"/>
              <w:rPr>
                <w:rFonts w:hint="eastAsia" w:ascii="Times New Roman" w:hAnsi="Times New Roman" w:eastAsia="宋体" w:cs="Times New Roman"/>
                <w:szCs w:val="24"/>
                <w:u w:val="none"/>
                <w:lang w:val="en-US" w:eastAsia="zh-CN"/>
              </w:rPr>
            </w:pPr>
            <w:r>
              <w:rPr>
                <w:rFonts w:hint="eastAsia" w:ascii="Times New Roman" w:hAnsi="Times New Roman" w:eastAsia="宋体" w:cs="Times New Roman"/>
                <w:szCs w:val="24"/>
                <w:u w:val="none"/>
                <w:lang w:val="en-US" w:eastAsia="zh-CN"/>
              </w:rPr>
              <w:t>本项目采用活性炭吸附危废暂存间产生的有机废气，根据《国家危险废物名录（2016）》，废活性炭属于危险废物，危废类别HW49，活性炭与非甲烷总烃的吸附重量比例约为1:0.35~0.75，与活性炭质量与利用率有关。本项目选用优质多孔活性炭，该活性炭采用三级吸附，提高吸附效率，每六个月更换第一级活性炭，然后将第二级作为第一级，第三季作为第二级，第三级为新补充的活性炭。本次环评按照1:0.4的比例进行计算，本次活性炭吸附的有机废气量为0.432*0.4=0.1728t/a，则活性炭的使用量为0.3456t/a，废活性炭的产生量为0.5184t/a。暂存于自产危废暂存区，定期与HW49中的废过滤吸附介质一并交由资质单位处置。</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（4）环境管理要求</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本环评要求：公司加强对固体废物的管理，特别是对危险废物的管理。项目在投入试生产前需与具有相关危险废物处理资质的企业签订危险废物处置协议，确保危废得到有效的处置。本项目无论是转移到别处处置还是销售给其他企业综合利用，均应遵从《危险废物转移管理办法》及其他有关规定的要求实施追踪管理；各类危险废物的收集、贮存、运输严格按照《危险废物收集贮存运输技术规范》（HJ2025-2012）和《危险废物储存污染控制标准》（GB18597-2001）及其修改单（2013 年第 36 号）实施，设计、施工、管理严格按照《危险废物处置工程技术导则》（HJ2042-2014）进行，采取防渗透、防泄漏、防中途流失措施，并落实安全管理责任，避免二次污染，确保固废零排放。</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根据国家《危险废物贮存污染控制标准》（GB18597-2001）中有关规定，废液在厂内存放期间，应使用完好无损容器盛装；厂内贮存危险废物的容器上必须粘贴本标准中规定的危险废物标签，容器材质与危险废物本身相容（不相互反应）；用以存放装置危险废物容器的地方，必须采取防渗措施，且表面无裂痕。</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 xml:space="preserve">本项目除上述自产危废需要暂存，本身也属于危险废物储存项目，用于贮存各类危险废物。危废暂存场所的设计和设置应符合《危险废物贮存污染控制标准》（GB 18597-2001）及其修改单（2013年第 36 号）的相关要求。具体如下： </w:t>
            </w:r>
          </w:p>
          <w:p>
            <w:pPr>
              <w:pStyle w:val="7"/>
              <w:keepNext w:val="0"/>
              <w:keepLines w:val="0"/>
              <w:pageBreakBefore w:val="0"/>
              <w:kinsoku/>
              <w:wordWrap/>
              <w:overflowPunct/>
              <w:topLinePunct w:val="0"/>
              <w:bidi w:val="0"/>
              <w:spacing w:beforeAutospacing="0" w:afterAutospacing="0" w:line="360" w:lineRule="auto"/>
              <w:ind w:left="0" w:leftChars="0" w:firstLine="210"/>
            </w:pPr>
            <w:r>
              <w:rPr>
                <w:rFonts w:hint="eastAsia"/>
              </w:rPr>
              <w:t>表4-</w:t>
            </w:r>
            <w:r>
              <w:t xml:space="preserve">11 </w:t>
            </w:r>
            <w:r>
              <w:rPr>
                <w:rFonts w:hint="eastAsia"/>
              </w:rPr>
              <w:t xml:space="preserve"> 本项目固体废物管理要求</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7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类别</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一般要求</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①建造专用的危险废物贮存设施。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②在常温常压下易爆、易燃及排出有毒气体的危险废物按易爆、易燃危险品贮存。</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③在常温常压下不水解、不挥发的固体危险废物可在贮存设施内分别堆放。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④除1.3规定外，必须将危险废物装入容器内。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⑤禁止将不相容（相互反应）的危险废物在同一容器内混装。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⑥无法装入常用容器的危险废物可用防漏胶袋等盛装。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⑦装载液体、半固体危险废物的容器内须留足够空间，容器顶部与液体表面之间保留 100 毫米以上的空间。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jc w:val="left"/>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⑧盛装危险废物的容器上必须粘贴符合 GB 18597-2001 附录 A 所示的标签。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危险废物贮存容器</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①应当使用符合标准的容器盛装危险废物。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②装载危险废物的容器及材质要满足相应的强度要求。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③装载危险废物的容器必须完好无损。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④盛装危险废物的容器材质和衬里要与危险废物相容（不相互反应）。</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⑤液体危险废物可注入开孔直径不超过 70 毫米并有放气孔的桶中。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危险废物贮存设施的建设要求</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①地面与裙脚用坚固、防渗的材料建造，建筑材料与危险废物相容。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②有泄漏液体收集池、气体导出口及气体净化装置。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③设施内有安全照明设施和观察窗口。</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④用以存放装载液体、半固体危险废物容器的地方，有耐腐蚀的硬化地面，且表面无裂隙。</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⑤设计堵截泄漏的裙脚，地面与裙脚所围建的容积不低于堵截最大容器的最大储量或总储量的五分之一。</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⑥不相容的危险废物分开存放，并设有隔离间隔断。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危险废物的堆放</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基础防渗漏，防渗层为1米厚粘土层（渗透系数≤10-7厘米/秒），或2毫米厚高密度聚乙烯，或至少2毫米厚的其它人工材料，渗透系数≤10-10厘米/秒。库内地面采用防滑防渗硬化处理，液体物品设围堰，厂区内四周设收集池和导流沟。为防止本项目各暂存设施的废液渗透到地下等造成的地下水、土壤污染，需采取防腐防渗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②堆放危险废物的高度应根据地面承载能力确定。</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③衬里放在一个基础或底座上、衬里要能够覆盖危险废物或其溶出物可能涉及到的范围。衬里材料与堆放危险废物相容。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④在衬里上设计、建造浸出液收集清除系统。</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⑤设计建造径流疏导系统，保证能防止25年一遇的暴雨不会流到危险废物堆里。</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⑥危险废物堆要防风、防雨、防晒。</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⑦产生量大的危险废物可以散装方式堆放贮存在按上述要求设计的废物堆里。</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⑧不相容的危险废物不堆放在一起。</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⑨总贮存量不超过 300Kg(L)的危险废物放入符合标准的容器内，加上标签，容器放入坚固的柜或箱中，柜或箱应设多个直径不少于 30 毫米的排气孔。不相容危险废物要分别存放或存放在不渗透间隔分开的区域内，每个部分都应有防漏裙脚或储漏盘，防漏裙脚或储漏盘的材料要与危险废物相容。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危险废物贮存设施的运行与管理</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①从事危险废物贮存的单位，必须得到有资质单位出具的该危险废物样品物理和化学性质的分析报告，认定可以贮存后，方可接收。</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②危险废物贮存前应进行检验，确保同预定接收的危险废物一致，并登记注册。</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③不得接收未粘贴符合规定的标签或标签没按规定填写的危险废物。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④盛装在容器内的同类危险废物可以堆叠存放。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⑤每个堆间应留有搬运通道，便于用车辆进行转移、堆放和容器的存取。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⑥不得将不相容的废物混合或合并存放。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⑦项目危废的储存场所应设专人管理、分类储存、登记、定期检查、记录，应有可靠的防雨、防蛀咬、通风、防浸泡等措施，应有明显的标志，危险废物的记录和货单在危险废物回取后应继续保留三年。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⑧必须定期对所贮存的危险废物包装容器及贮存设施进行检查，发现破损，应及时采取措施清理更换。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打包过程风险污染及风险防控措施</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必须对进行打包的危险废弃包装物检查，如发现夹杂危险废物较多，应及时采取措施清理，本项目主要收集的废弃包装物为废油桶，建设单位在收集时务必检查，不得收集仍由未使用完的含油较多的废油桶；在废油桶在进行打包过程（仅压缩，物理过程，不涉及处置）前，建设单位务必进行检查，如废油桶中有少量废油应当进行清理，清理至油桶壁上无成滴状废油后，再进行打包压缩过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废弃包装物贮存区需设置导流沟、事故池，环评建议同时将整个贮存区设置一定坡度，废弃包装物贮存在较高处，打包压缩过程在贮存区较高处进行，导流沟设计在坡度较低处，如发生泄漏，或打包过程废弃包装物形变导致危险废物流出，液态危险废物可通过坡度流向导流沟后汇至应急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液态危废泄漏应急收集措施</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本环评建议建设单位根据危险废物性质分区完善液态危废泄露应急收集措施。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涉及液体危险废物的贮存区分别设置应急收集池、导流沟，应急收集池设置在贮存区域东北侧，东侧、西侧、北侧分别设置导流沟，导流沟设置一定坡度，如发生泄漏可经导流沟收集至应急池，同时南侧贮存区入口处设置成龟背型，防止危险废物泄漏至贮存区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废弃包装物贮存区设置导流沟、事故池，环评建议同时将整个贮存区设置一定坡度，废弃包装物贮存在较高处，打包压缩过程在贮存区较高处进行，导流沟设计在坡度较低处，如发生泄漏，或打包过程废弃包装物形变导致危险废物流出，液态危险废物可通过坡度流向导流沟后汇至应急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收集和运输环境影响减缓措施</w:t>
                  </w:r>
                </w:p>
              </w:tc>
              <w:tc>
                <w:tcPr>
                  <w:tcW w:w="4316" w:type="pct"/>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1）对进厂危废的要求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本项目进厂的危废类别必须严格限制在表1-3中的类别范围内，不得超许可规模、超经营范围。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2）危废运输过程中的污染控制措施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对危险废物的收集、运输过程中，应严格执行《危险废物收集、贮存、运输技术规范》（HJ2025-2012）等有关管理规范的要求，应做到：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①包装应坚固、完整、严密不漏、外表面清洁，不粘附有害的危险物质。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②包装的材质、规格、型式、方法和单件质量（重量）应与所装危险废物的性质相适应，并便于装卸和运输。</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③包装应具有足够的强度，其构造和封闭装置应能承受正常运输条件和装卸作业要求，并能经受一定范围的气候变化。</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④包装的封口和衬垫材料应与所装废物不溶解、无抵触，具有充分的吸收、缓冲、支撑固定和保护作用。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⑤对必须装有通气孔的危险废物包装，通气孔的设计和安装应能防止所装废物泄漏或杂质进入，排出的气体不得造成危险或污染。</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⑥容器灌装液体时，应留有足够的其膨胀余量（预留容积应不少于总容积的 5%）。</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⑦危险性质与消防方法相抵触的废物，不得混装在同一包装内。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⑧重复使用的包装，除应符合上述规定外，所装废物应与原装废物无抵触。所装废物与原装废物的品名或性质不同时，应将原包装的标记、标志覆盖，并重新标贴。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⑨应具有经受多次搬运的包装强度，并适宜于机械装卸。</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⑩危险废物标志应标贴在包装件的明显部位上，集装箱应在显著部位标有相应加大的危险废物包装标志。</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⑪切实做好道路及其两侧的保洁和洒水工作，运输车要控制车速，避免扬尘污染；</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⑫危险废物道路运输单位应按照《危险化学品事故应急救援预案编制导则》和《危险废物经营单位编制应急预案指南》的规定，制定危险废物道路运输应急预案，并报市交通局、市环保局备案。每辆运输车配备必要的通讯工具，供应及联络用，当运输路途中发生事故，尽快通知有关管理部门及时、妥善处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⑬危险废物道路运输应严格执行《危险废物转移管理办法》；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80" w:firstLineChars="200"/>
                    <w:textAlignment w:val="auto"/>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⑭运输单位应按照危险货物运输相关规定进行危险废物道路运输作业。</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综上，本项目采取以上措施后，能够满足对危险废物的收集、运输过程中，对周围环境影响较小。</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5、地下水、土壤</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按照《危险废物贮存污染控制标准》（GB18597-2001）要求，车间地面进行分区防渗并设置围堰、应急池和导流沟等防渗漏措施，提高管理水平等措施，减少项目对周围地下水和土壤的污染和影响。</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综上所述，建设项目地下水和土壤环境影响可以接受。</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80" w:firstLineChars="200"/>
              <w:rPr>
                <w:rFonts w:hint="eastAsia"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根据建设项目可能泄漏至地面区域污染物的性质和生产单元的构筑方式，将建设场地划分为重点污染防治区、一般污染防治区。项目分区防渗情况见下表。</w:t>
            </w:r>
          </w:p>
          <w:p>
            <w:pPr>
              <w:pStyle w:val="2"/>
              <w:rPr>
                <w:rFonts w:hint="eastAsia" w:ascii="Times New Roman" w:hAnsi="Times New Roman" w:eastAsia="宋体" w:cs="Times New Roman"/>
                <w:kern w:val="0"/>
                <w:sz w:val="24"/>
                <w:szCs w:val="24"/>
                <w:u w:val="none"/>
                <w:lang w:val="en-US" w:eastAsia="zh-CN" w:bidi="ar-SA"/>
              </w:rPr>
            </w:pPr>
          </w:p>
          <w:p>
            <w:pPr>
              <w:pStyle w:val="2"/>
              <w:rPr>
                <w:rFonts w:hint="eastAsia" w:ascii="Times New Roman" w:hAnsi="Times New Roman" w:eastAsia="宋体" w:cs="Times New Roman"/>
                <w:kern w:val="0"/>
                <w:sz w:val="24"/>
                <w:szCs w:val="24"/>
                <w:u w:val="none"/>
                <w:lang w:val="en-US" w:eastAsia="zh-CN" w:bidi="ar-SA"/>
              </w:rPr>
            </w:pPr>
          </w:p>
          <w:p>
            <w:pPr>
              <w:pStyle w:val="7"/>
              <w:keepNext w:val="0"/>
              <w:keepLines w:val="0"/>
              <w:pageBreakBefore w:val="0"/>
              <w:kinsoku/>
              <w:wordWrap/>
              <w:overflowPunct/>
              <w:topLinePunct w:val="0"/>
              <w:bidi w:val="0"/>
              <w:spacing w:beforeAutospacing="0" w:afterAutospacing="0" w:line="360" w:lineRule="auto"/>
              <w:ind w:left="0" w:leftChars="0"/>
            </w:pPr>
            <w:r>
              <w:t>表4-12  主要场地分区防渗一览信息表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425"/>
              <w:gridCol w:w="4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防渗级别</w:t>
                  </w:r>
                </w:p>
              </w:tc>
              <w:tc>
                <w:tcPr>
                  <w:tcW w:w="149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防渗区域</w:t>
                  </w:r>
                </w:p>
              </w:tc>
              <w:tc>
                <w:tcPr>
                  <w:tcW w:w="266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防渗措施要求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t>一般防渗区</w:t>
                  </w:r>
                </w:p>
              </w:tc>
              <w:tc>
                <w:tcPr>
                  <w:tcW w:w="149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过道</w:t>
                  </w:r>
                </w:p>
              </w:tc>
              <w:tc>
                <w:tcPr>
                  <w:tcW w:w="266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pPr>
                  <w:r>
                    <w:rPr>
                      <w:rFonts w:hint="eastAsia"/>
                    </w:rPr>
                    <w:t>一般污染防治区防渗层的防渗性能不应低于 1.5m 厚，渗透系数为 1.0×10 -7 cm/s的黏土层的防渗性能或参照 GB18598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t>重点防渗区</w:t>
                  </w:r>
                </w:p>
              </w:tc>
              <w:tc>
                <w:tcPr>
                  <w:tcW w:w="149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危险废物储存区、导流沟等</w:t>
                  </w:r>
                </w:p>
              </w:tc>
              <w:tc>
                <w:tcPr>
                  <w:tcW w:w="2663" w:type="pct"/>
                  <w:tcBorders>
                    <w:top w:val="single" w:color="auto" w:sz="4" w:space="0"/>
                    <w:left w:val="single" w:color="auto" w:sz="4" w:space="0"/>
                    <w:bottom w:val="single" w:color="auto" w:sz="4" w:space="0"/>
                    <w:right w:val="single" w:color="auto" w:sz="4" w:space="0"/>
                  </w:tcBorders>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pPr>
                  <w:r>
                    <w:rPr>
                      <w:rFonts w:hint="eastAsia"/>
                    </w:rPr>
                    <w:t>重点污染防治区防渗层的防渗性能不应低于 6.0m 厚，渗透系数为 1.0×10-7cm/s的黏土层的防渗性能或参照 GB18598 执行</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pPr>
            <w:r>
              <w:t>6</w:t>
            </w:r>
            <w:r>
              <w:rPr>
                <w:rFonts w:hint="eastAsia"/>
              </w:rPr>
              <w:t>、监测计划</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根据《固定污染源排污许可分类管理名录》（2019年版），项目属于四十五、生态保护和环境治理业 77</w:t>
            </w:r>
            <w:r>
              <w:softHyphen/>
            </w:r>
            <w:r>
              <w:rPr>
                <w:rFonts w:hint="eastAsia"/>
              </w:rPr>
              <w:t>10</w:t>
            </w:r>
            <w:r>
              <w:t>3</w:t>
            </w:r>
            <w:r>
              <w:rPr>
                <w:rFonts w:hint="eastAsia"/>
              </w:rPr>
              <w:t>环境治理业 772</w:t>
            </w:r>
            <w:r>
              <w:rPr>
                <w:rFonts w:hint="eastAsia"/>
              </w:rPr>
              <w:softHyphen/>
            </w:r>
            <w:r>
              <w:rPr>
                <w:rFonts w:hint="eastAsia"/>
              </w:rPr>
              <w:t>专业从事危险废物贮存、利用、处理、处置（含焚烧发电）的，本项目为危险废物收集、贮存、转运项目，项目为重点管理。参照《排污许可证申请与核发技术规范 工业固体废物和危险废物治理》（HJ 1</w:t>
            </w:r>
            <w:r>
              <w:t>033</w:t>
            </w:r>
            <w:r>
              <w:rPr>
                <w:rFonts w:hint="eastAsia"/>
              </w:rPr>
              <w:t>—20</w:t>
            </w:r>
            <w:r>
              <w:t>19</w:t>
            </w:r>
            <w:r>
              <w:rPr>
                <w:rFonts w:hint="eastAsia"/>
              </w:rPr>
              <w:t>），项目监测计划详见表4-</w:t>
            </w:r>
            <w:r>
              <w:t>1</w:t>
            </w:r>
            <w:r>
              <w:rPr>
                <w:rFonts w:hint="eastAsia"/>
              </w:rPr>
              <w:t>。</w:t>
            </w:r>
          </w:p>
          <w:p>
            <w:pPr>
              <w:pStyle w:val="7"/>
              <w:keepNext w:val="0"/>
              <w:keepLines w:val="0"/>
              <w:pageBreakBefore w:val="0"/>
              <w:kinsoku/>
              <w:wordWrap/>
              <w:overflowPunct/>
              <w:topLinePunct w:val="0"/>
              <w:bidi w:val="0"/>
              <w:spacing w:beforeAutospacing="0" w:afterAutospacing="0" w:line="360" w:lineRule="auto"/>
              <w:ind w:left="0" w:leftChars="0"/>
            </w:pPr>
            <w:r>
              <w:rPr>
                <w:rFonts w:hint="eastAsia"/>
              </w:rPr>
              <w:t>表4-</w:t>
            </w:r>
            <w:r>
              <w:t>13</w:t>
            </w:r>
            <w:r>
              <w:rPr>
                <w:rFonts w:hint="eastAsia"/>
              </w:rPr>
              <w:t xml:space="preserve">  项目监测一览表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80"/>
              <w:gridCol w:w="1559"/>
              <w:gridCol w:w="1151"/>
              <w:gridCol w:w="3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98" w:type="pc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监测项目</w:t>
                  </w:r>
                </w:p>
              </w:tc>
              <w:tc>
                <w:tcPr>
                  <w:tcW w:w="665"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监测点位</w:t>
                  </w:r>
                </w:p>
              </w:tc>
              <w:tc>
                <w:tcPr>
                  <w:tcW w:w="960"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监测因子</w:t>
                  </w:r>
                </w:p>
              </w:tc>
              <w:tc>
                <w:tcPr>
                  <w:tcW w:w="708"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监测频次</w:t>
                  </w:r>
                </w:p>
              </w:tc>
              <w:tc>
                <w:tcPr>
                  <w:tcW w:w="2267"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restar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废气</w:t>
                  </w:r>
                </w:p>
              </w:tc>
              <w:tc>
                <w:tcPr>
                  <w:tcW w:w="665"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DA001</w:t>
                  </w:r>
                </w:p>
              </w:tc>
              <w:tc>
                <w:tcPr>
                  <w:tcW w:w="960"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pPr>
                  <w:r>
                    <w:t>NMHC</w:t>
                  </w:r>
                </w:p>
              </w:tc>
              <w:tc>
                <w:tcPr>
                  <w:tcW w:w="708"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1次/半年</w:t>
                  </w:r>
                </w:p>
              </w:tc>
              <w:tc>
                <w:tcPr>
                  <w:tcW w:w="2267"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both"/>
                  </w:pPr>
                  <w:r>
                    <w:rPr>
                      <w:rFonts w:hint="eastAsia"/>
                    </w:rPr>
                    <w:t>《大气污染物综合排放标准》（GB16297-1996）二级标准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Merge w:val="continue"/>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p>
              </w:tc>
              <w:tc>
                <w:tcPr>
                  <w:tcW w:w="665"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无组织厂界</w:t>
                  </w:r>
                </w:p>
              </w:tc>
              <w:tc>
                <w:tcPr>
                  <w:tcW w:w="960"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硫化氢、氨、臭气浓度、</w:t>
                  </w:r>
                  <w:r>
                    <w:t>NMHC</w:t>
                  </w:r>
                </w:p>
              </w:tc>
              <w:tc>
                <w:tcPr>
                  <w:tcW w:w="708"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1次/半年</w:t>
                  </w:r>
                </w:p>
              </w:tc>
              <w:tc>
                <w:tcPr>
                  <w:tcW w:w="2267"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硫化氢、氨、臭气浓度执行《恶臭污染物排放标准》(G</w:t>
                  </w:r>
                  <w:r>
                    <w:t>B14554-93)</w:t>
                  </w:r>
                  <w:r>
                    <w:rPr>
                      <w:rFonts w:hint="eastAsia"/>
                    </w:rPr>
                    <w:t>，颗粒物、</w:t>
                  </w:r>
                  <w:r>
                    <w:t>NMHC</w:t>
                  </w:r>
                  <w:r>
                    <w:rPr>
                      <w:rFonts w:hint="eastAsia"/>
                    </w:rPr>
                    <w:t>执行《大气污染物综合排放标准》（GB16297-1996）无组织排放限值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废水</w:t>
                  </w:r>
                </w:p>
              </w:tc>
              <w:tc>
                <w:tcPr>
                  <w:tcW w:w="665"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企业总排口</w:t>
                  </w:r>
                </w:p>
              </w:tc>
              <w:tc>
                <w:tcPr>
                  <w:tcW w:w="960"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t>pH</w:t>
                  </w:r>
                  <w:r>
                    <w:rPr>
                      <w:rFonts w:hint="eastAsia"/>
                    </w:rPr>
                    <w:t>、流量、COD、NH3-N、</w:t>
                  </w:r>
                  <w:r>
                    <w:t>TP</w:t>
                  </w:r>
                  <w:r>
                    <w:rPr>
                      <w:rFonts w:hint="eastAsia"/>
                    </w:rPr>
                    <w:t>、BOD5</w:t>
                  </w:r>
                </w:p>
              </w:tc>
              <w:tc>
                <w:tcPr>
                  <w:tcW w:w="708"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pPr>
                  <w:r>
                    <w:rPr>
                      <w:rFonts w:hint="eastAsia"/>
                    </w:rPr>
                    <w:t>1次/ 季度</w:t>
                  </w:r>
                </w:p>
              </w:tc>
              <w:tc>
                <w:tcPr>
                  <w:tcW w:w="2267" w:type="pct"/>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lang w:eastAsia="zh-CN"/>
                    </w:rPr>
                  </w:pPr>
                  <w:r>
                    <w:rPr>
                      <w:rFonts w:hint="eastAsia"/>
                    </w:rPr>
                    <w:t>《污水综合排放标准》（GB8978-1996）三级标准限值</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pPr>
          </w:p>
          <w:p>
            <w:pPr>
              <w:keepNext w:val="0"/>
              <w:keepLines w:val="0"/>
              <w:pageBreakBefore w:val="0"/>
              <w:kinsoku/>
              <w:wordWrap/>
              <w:overflowPunct/>
              <w:topLinePunct w:val="0"/>
              <w:bidi w:val="0"/>
              <w:adjustRightInd w:val="0"/>
              <w:snapToGrid w:val="0"/>
              <w:spacing w:beforeAutospacing="0" w:afterAutospacing="0" w:line="360" w:lineRule="auto"/>
              <w:ind w:left="0" w:leftChars="0"/>
            </w:pPr>
            <w:r>
              <w:t>7</w:t>
            </w:r>
            <w:r>
              <w:rPr>
                <w:rFonts w:hint="eastAsia"/>
              </w:rPr>
              <w:t>、环境风险</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（1）风险源调查</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t>本项目属于</w:t>
            </w:r>
            <w:r>
              <w:rPr>
                <w:rFonts w:hint="eastAsia"/>
              </w:rPr>
              <w:t>危险废物收集、贮存、转运项目</w:t>
            </w:r>
            <w:r>
              <w:t>，</w:t>
            </w:r>
            <w:r>
              <w:rPr>
                <w:rFonts w:hint="eastAsia"/>
              </w:rPr>
              <w:t>其中收集、转运委托有资质的单位进行运输，不在本项目范围内，本次主要评价贮存期间厂区内环境风险。危险废物均为打包封存好在厂区内贮存，不存在工艺上的环境风险，即使包装破裂，固体危险废物洒落在车间地面，也可及时收集，环境风险较小。主要环境风险为液体危险废物包装物破损、破裂，导致液体危险废物泄漏。</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t>通过对本项目生产过程中所涉及的物质进行调查，本项目</w:t>
            </w:r>
            <w:r>
              <w:rPr>
                <w:rFonts w:hint="eastAsia"/>
              </w:rPr>
              <w:t>涉及的主要风险物质为液体危险废物，</w:t>
            </w:r>
            <w:r>
              <w:t>属于（HJ169-2018）表C.1行业及生产工艺中其他：涉及危险物质的使用、贮存的项目，故本项目M=5，本项目工艺危险性为M4。</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（2）环境风险潜势初判</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rPr>
                <w:rFonts w:hint="eastAsia"/>
              </w:rPr>
            </w:pPr>
            <w:r>
              <w:rPr>
                <w:rFonts w:hint="eastAsia"/>
              </w:rPr>
              <w:t>根据《建设项目环境风险评价技术导则》（HJ/T169-2018）附录 B，本项目涉及的风险物质详见表4-</w:t>
            </w:r>
            <w:r>
              <w:t>14</w:t>
            </w:r>
            <w:r>
              <w:rPr>
                <w:rFonts w:hint="eastAsia"/>
              </w:rPr>
              <w:t>。</w:t>
            </w:r>
          </w:p>
          <w:p>
            <w:pPr>
              <w:pStyle w:val="7"/>
              <w:keepNext w:val="0"/>
              <w:keepLines w:val="0"/>
              <w:pageBreakBefore w:val="0"/>
              <w:kinsoku/>
              <w:wordWrap/>
              <w:overflowPunct/>
              <w:topLinePunct w:val="0"/>
              <w:bidi w:val="0"/>
              <w:spacing w:beforeAutospacing="0" w:afterAutospacing="0" w:line="360" w:lineRule="auto"/>
              <w:ind w:left="0" w:leftChars="0" w:firstLine="42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表4-14  项目风险物质与临界量比值Q计算结果</w:t>
            </w:r>
          </w:p>
          <w:tbl>
            <w:tblPr>
              <w:tblStyle w:val="22"/>
              <w:tblW w:w="781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1432"/>
              <w:gridCol w:w="1350"/>
              <w:gridCol w:w="1363"/>
              <w:gridCol w:w="1363"/>
              <w:gridCol w:w="13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945" w:type="dxa"/>
                  <w:tcBorders>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432" w:type="dxa"/>
                  <w:tcBorders>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rPr>
                    <w:t>风险</w:t>
                  </w:r>
                  <w:r>
                    <w:t>物质</w:t>
                  </w:r>
                  <w:r>
                    <w:rPr>
                      <w:rFonts w:hint="eastAsia" w:ascii="宋体" w:hAnsi="宋体" w:eastAsia="宋体" w:cs="宋体"/>
                      <w:i w:val="0"/>
                      <w:iCs w:val="0"/>
                      <w:color w:val="000000"/>
                      <w:kern w:val="0"/>
                      <w:sz w:val="21"/>
                      <w:szCs w:val="21"/>
                      <w:u w:val="none"/>
                      <w:lang w:val="en-US" w:eastAsia="zh-CN" w:bidi="ar"/>
                    </w:rPr>
                    <w:t>名称</w:t>
                  </w:r>
                </w:p>
              </w:tc>
              <w:tc>
                <w:tcPr>
                  <w:tcW w:w="1350" w:type="dxa"/>
                  <w:tcBorders>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最大贮存量（t）</w:t>
                  </w:r>
                </w:p>
              </w:tc>
              <w:tc>
                <w:tcPr>
                  <w:tcW w:w="1363" w:type="dxa"/>
                  <w:tcBorders>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ascii="宋体" w:hAnsi="宋体" w:eastAsia="宋体" w:cs="宋体"/>
                      <w:i w:val="0"/>
                      <w:iCs w:val="0"/>
                      <w:color w:val="000000"/>
                      <w:kern w:val="0"/>
                      <w:sz w:val="21"/>
                      <w:szCs w:val="21"/>
                      <w:u w:val="none"/>
                      <w:lang w:val="en-US" w:eastAsia="zh-CN" w:bidi="ar"/>
                    </w:rPr>
                  </w:pPr>
                  <w:r>
                    <w:t>临界量Q（t）</w:t>
                  </w:r>
                </w:p>
              </w:tc>
              <w:tc>
                <w:tcPr>
                  <w:tcW w:w="1363" w:type="dxa"/>
                  <w:tcBorders>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ascii="宋体" w:hAnsi="宋体" w:eastAsia="宋体" w:cs="宋体"/>
                      <w:i w:val="0"/>
                      <w:iCs w:val="0"/>
                      <w:color w:val="000000"/>
                      <w:kern w:val="0"/>
                      <w:sz w:val="21"/>
                      <w:szCs w:val="21"/>
                      <w:u w:val="none"/>
                      <w:lang w:val="en-US" w:eastAsia="zh-CN" w:bidi="ar"/>
                    </w:rPr>
                  </w:pPr>
                  <w:r>
                    <w:t>q/Q</w:t>
                  </w:r>
                </w:p>
              </w:tc>
              <w:tc>
                <w:tcPr>
                  <w:tcW w:w="1363" w:type="dxa"/>
                  <w:tcBorders>
                    <w:left w:val="nil"/>
                    <w:bottom w:val="single" w:color="000000" w:sz="8" w:space="0"/>
                  </w:tcBorders>
                  <w:shd w:val="clear" w:color="auto" w:fill="auto"/>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eastAsia" w:ascii="宋体" w:hAnsi="宋体" w:eastAsia="宋体" w:cs="宋体"/>
                      <w:i w:val="0"/>
                      <w:iCs w:val="0"/>
                      <w:color w:val="000000"/>
                      <w:kern w:val="0"/>
                      <w:sz w:val="21"/>
                      <w:szCs w:val="21"/>
                      <w:u w:val="none"/>
                      <w:lang w:val="en-US" w:eastAsia="zh-CN" w:bidi="ar"/>
                    </w:rPr>
                  </w:pPr>
                  <w:r>
                    <w:rPr>
                      <w:rFonts w:hint="eastAsia"/>
                    </w:rPr>
                    <w:t>临界量取值说明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HW08</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rPr>
                    <w:t>2</w:t>
                  </w:r>
                  <w:r>
                    <w:t>500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0.016</w:t>
                  </w:r>
                </w:p>
              </w:tc>
              <w:tc>
                <w:tcPr>
                  <w:tcW w:w="1363" w:type="dxa"/>
                  <w:vMerge w:val="restart"/>
                  <w:tcBorders>
                    <w:top w:val="nil"/>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rPr>
                    <w:t>油类物质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32"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HW09</w:t>
                  </w:r>
                </w:p>
              </w:tc>
              <w:tc>
                <w:tcPr>
                  <w:tcW w:w="1350"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w:t>
                  </w:r>
                </w:p>
              </w:tc>
              <w:tc>
                <w:tcPr>
                  <w:tcW w:w="1363"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rPr>
                    <w:t>2</w:t>
                  </w:r>
                  <w:r>
                    <w:t>500</w:t>
                  </w:r>
                </w:p>
              </w:tc>
              <w:tc>
                <w:tcPr>
                  <w:tcW w:w="1363"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0.0076</w:t>
                  </w:r>
                </w:p>
              </w:tc>
              <w:tc>
                <w:tcPr>
                  <w:tcW w:w="1363" w:type="dxa"/>
                  <w:vMerge w:val="continue"/>
                  <w:tcBorders>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single" w:color="auto" w:sz="4"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32"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HW06</w:t>
                  </w:r>
                </w:p>
              </w:tc>
              <w:tc>
                <w:tcPr>
                  <w:tcW w:w="1350"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363"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rPr>
                    <w:t>50</w:t>
                  </w:r>
                </w:p>
              </w:tc>
              <w:tc>
                <w:tcPr>
                  <w:tcW w:w="1363"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0.38</w:t>
                  </w:r>
                </w:p>
              </w:tc>
              <w:tc>
                <w:tcPr>
                  <w:tcW w:w="1363" w:type="dxa"/>
                  <w:vMerge w:val="restart"/>
                  <w:tcBorders>
                    <w:top w:val="single" w:color="auto" w:sz="4" w:space="0"/>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rPr>
                    <w:t>健康危险急性毒性物质（类别3）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HW11</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rPr>
                    <w:t>50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0.34</w:t>
                  </w:r>
                </w:p>
              </w:tc>
              <w:tc>
                <w:tcPr>
                  <w:tcW w:w="1363" w:type="dxa"/>
                  <w:vMerge w:val="continue"/>
                  <w:tcBorders>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HW12</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0.38</w:t>
                  </w:r>
                </w:p>
              </w:tc>
              <w:tc>
                <w:tcPr>
                  <w:tcW w:w="1363" w:type="dxa"/>
                  <w:vMerge w:val="continue"/>
                  <w:tcBorders>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HW13</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0.36</w:t>
                  </w:r>
                </w:p>
              </w:tc>
              <w:tc>
                <w:tcPr>
                  <w:tcW w:w="1363" w:type="dxa"/>
                  <w:vMerge w:val="continue"/>
                  <w:tcBorders>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HW29</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0.32</w:t>
                  </w:r>
                </w:p>
              </w:tc>
              <w:tc>
                <w:tcPr>
                  <w:tcW w:w="1363" w:type="dxa"/>
                  <w:vMerge w:val="continue"/>
                  <w:tcBorders>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945" w:type="dxa"/>
                  <w:tcBorders>
                    <w:top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HW31</w:t>
                  </w:r>
                </w:p>
              </w:tc>
              <w:tc>
                <w:tcPr>
                  <w:tcW w:w="135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0.58</w:t>
                  </w:r>
                </w:p>
              </w:tc>
              <w:tc>
                <w:tcPr>
                  <w:tcW w:w="1363" w:type="dxa"/>
                  <w:vMerge w:val="continue"/>
                  <w:tcBorders>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trPr>
              <w:tc>
                <w:tcPr>
                  <w:tcW w:w="945" w:type="dxa"/>
                  <w:tcBorders>
                    <w:top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432"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HW49</w:t>
                  </w:r>
                </w:p>
              </w:tc>
              <w:tc>
                <w:tcPr>
                  <w:tcW w:w="1350"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63"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nil"/>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0.32</w:t>
                  </w:r>
                </w:p>
              </w:tc>
              <w:tc>
                <w:tcPr>
                  <w:tcW w:w="1363" w:type="dxa"/>
                  <w:vMerge w:val="continue"/>
                  <w:tcBorders>
                    <w:left w:val="nil"/>
                    <w:bottom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945" w:type="dxa"/>
                  <w:tcBorders>
                    <w:top w:val="single" w:color="auto" w:sz="4" w:space="0"/>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432" w:type="dxa"/>
                  <w:tcBorders>
                    <w:top w:val="single" w:color="auto" w:sz="4" w:space="0"/>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HW50</w:t>
                  </w:r>
                </w:p>
              </w:tc>
              <w:tc>
                <w:tcPr>
                  <w:tcW w:w="1350" w:type="dxa"/>
                  <w:tcBorders>
                    <w:top w:val="single" w:color="auto" w:sz="4" w:space="0"/>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63" w:type="dxa"/>
                  <w:tcBorders>
                    <w:top w:val="single" w:color="auto" w:sz="4" w:space="0"/>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1363" w:type="dxa"/>
                  <w:tcBorders>
                    <w:top w:val="single" w:color="auto" w:sz="4" w:space="0"/>
                    <w:left w:val="nil"/>
                    <w:bottom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0.32</w:t>
                  </w:r>
                </w:p>
              </w:tc>
              <w:tc>
                <w:tcPr>
                  <w:tcW w:w="1363" w:type="dxa"/>
                  <w:vMerge w:val="continue"/>
                  <w:tcBorders>
                    <w:top w:val="single" w:color="auto" w:sz="4" w:space="0"/>
                    <w:left w:val="nil"/>
                    <w:bottom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5090" w:type="dxa"/>
                  <w:gridSpan w:val="4"/>
                  <w:tcBorders>
                    <w:top w:val="single" w:color="auto"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rPr>
                  </w:pPr>
                  <w:r>
                    <w:rPr>
                      <w:rFonts w:hint="eastAsia"/>
                    </w:rPr>
                    <w:t>合计</w:t>
                  </w:r>
                </w:p>
              </w:tc>
              <w:tc>
                <w:tcPr>
                  <w:tcW w:w="1363" w:type="dxa"/>
                  <w:tcBorders>
                    <w:top w:val="single" w:color="auto" w:sz="4" w:space="0"/>
                    <w:left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3.0236</w:t>
                  </w:r>
                </w:p>
              </w:tc>
              <w:tc>
                <w:tcPr>
                  <w:tcW w:w="1363" w:type="dxa"/>
                  <w:tcBorders>
                    <w:top w:val="single" w:color="auto" w:sz="4" w:space="0"/>
                    <w:left w:val="nil"/>
                  </w:tcBorders>
                  <w:shd w:val="clear" w:color="auto" w:fill="auto"/>
                  <w:vAlign w:val="center"/>
                </w:tcPr>
                <w:p>
                  <w:pPr>
                    <w:keepNext w:val="0"/>
                    <w:keepLines w:val="0"/>
                    <w:pageBreakBefore w:val="0"/>
                    <w:widowControl/>
                    <w:suppressLineNumbers w:val="0"/>
                    <w:kinsoku/>
                    <w:wordWrap/>
                    <w:overflowPunct/>
                    <w:topLinePunct w:val="0"/>
                    <w:bidi w:val="0"/>
                    <w:spacing w:beforeAutospacing="0" w:afterAutospacing="0" w:line="360" w:lineRule="auto"/>
                    <w:ind w:left="0" w:leftChars="0"/>
                    <w:jc w:val="center"/>
                    <w:textAlignment w:val="center"/>
                    <w:rPr>
                      <w:rFonts w:hint="eastAsia" w:ascii="宋体" w:hAnsi="宋体" w:eastAsia="宋体" w:cs="宋体"/>
                      <w:i w:val="0"/>
                      <w:iCs w:val="0"/>
                      <w:color w:val="000000"/>
                      <w:kern w:val="0"/>
                      <w:sz w:val="21"/>
                      <w:szCs w:val="21"/>
                      <w:u w:val="none"/>
                      <w:lang w:val="en-US" w:eastAsia="zh-CN" w:bidi="ar"/>
                    </w:rPr>
                  </w:pP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t>由上表可知，项目厂区内危险物质数量与临界量比值</w:t>
            </w:r>
            <w:r>
              <w:rPr>
                <w:rFonts w:hint="eastAsia"/>
              </w:rPr>
              <w:t>1≤</w:t>
            </w:r>
            <w:r>
              <w:t>Q</w:t>
            </w:r>
            <w:r>
              <w:rPr>
                <w:rFonts w:hint="eastAsia"/>
              </w:rPr>
              <w:t>=</w:t>
            </w:r>
            <w:r>
              <w:rPr>
                <w:rFonts w:hint="eastAsia"/>
                <w:lang w:val="en-US" w:eastAsia="zh-CN"/>
              </w:rPr>
              <w:t>3.0236</w:t>
            </w:r>
            <w:r>
              <w:t>&lt;10</w:t>
            </w:r>
            <w:r>
              <w:rPr>
                <w:rFonts w:hint="eastAsia"/>
              </w:rPr>
              <w:t>。根据《建设项目环境风险评价技术导则》（HJ169-2018）中附录C“危险物质及工艺系统危险性（P）的分级”，结合前文行业及生产工艺M判定为</w:t>
            </w:r>
            <w:r>
              <w:t>M4</w:t>
            </w:r>
            <w:r>
              <w:rPr>
                <w:rFonts w:hint="eastAsia"/>
              </w:rPr>
              <w:t>，可判定危险物质及工艺系统危险性等级为P4。</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rPr>
                <w:rFonts w:hint="eastAsia"/>
              </w:rPr>
            </w:pPr>
            <w:r>
              <w:rPr>
                <w:rFonts w:hint="eastAsia"/>
              </w:rPr>
              <w:t>大气环境：项目周边500m范围内人数小于500人，</w:t>
            </w:r>
            <w:r>
              <w:rPr>
                <w:rFonts w:hint="eastAsia"/>
                <w:lang w:val="en-US" w:eastAsia="zh-CN"/>
              </w:rPr>
              <w:t>周边</w:t>
            </w:r>
            <w:r>
              <w:rPr>
                <w:rFonts w:hint="default"/>
                <w:lang w:val="en-US" w:eastAsia="zh-CN"/>
              </w:rPr>
              <w:t>5km</w:t>
            </w:r>
            <w:r>
              <w:rPr>
                <w:rFonts w:hint="eastAsia"/>
                <w:lang w:val="en-US" w:eastAsia="zh-CN"/>
              </w:rPr>
              <w:t xml:space="preserve">范围内均为工业园和农村地区，人数小于 </w:t>
            </w:r>
            <w:r>
              <w:rPr>
                <w:rFonts w:hint="default"/>
                <w:lang w:val="en-US" w:eastAsia="zh-CN"/>
              </w:rPr>
              <w:t xml:space="preserve">1 </w:t>
            </w:r>
            <w:r>
              <w:rPr>
                <w:rFonts w:hint="eastAsia"/>
                <w:lang w:val="en-US" w:eastAsia="zh-CN"/>
              </w:rPr>
              <w:t>万人，</w:t>
            </w:r>
            <w:r>
              <w:rPr>
                <w:rFonts w:hint="eastAsia"/>
              </w:rPr>
              <w:t>因此判定环境敏感度为E3。</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rPr>
                <w:rFonts w:hint="eastAsia"/>
              </w:rPr>
            </w:pPr>
            <w:r>
              <w:rPr>
                <w:rFonts w:hint="eastAsia"/>
              </w:rPr>
              <w:t>地表水：项目危险废物发生泄漏后，因设置了导流沟及应急池，物料不会泄漏出仓库，因此不涉及地表水环境风险。</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地下水：本项目周边无集中式地下水型饮用水源，</w:t>
            </w:r>
            <w:r>
              <w:rPr>
                <w:rFonts w:hint="eastAsia"/>
                <w:lang w:val="en-US" w:eastAsia="zh-CN"/>
              </w:rPr>
              <w:t>有分散</w:t>
            </w:r>
            <w:r>
              <w:rPr>
                <w:rFonts w:hint="eastAsia"/>
              </w:rPr>
              <w:t>式地下水型饮用水源</w:t>
            </w:r>
            <w:r>
              <w:rPr>
                <w:rFonts w:hint="eastAsia"/>
                <w:lang w:eastAsia="zh-CN"/>
              </w:rPr>
              <w:t>，</w:t>
            </w:r>
            <w:r>
              <w:rPr>
                <w:rFonts w:hint="eastAsia"/>
              </w:rPr>
              <w:t>敏感程度为G</w:t>
            </w:r>
            <w:r>
              <w:t>2</w:t>
            </w:r>
            <w:r>
              <w:rPr>
                <w:rFonts w:hint="eastAsia"/>
              </w:rPr>
              <w:t>，项目区域设置了防渗层，且区域黏土层厚度＞1m，渗透系数＜10</w:t>
            </w:r>
            <w:r>
              <w:rPr>
                <w:rFonts w:hint="eastAsia"/>
                <w:vertAlign w:val="superscript"/>
              </w:rPr>
              <w:t>-4</w:t>
            </w:r>
            <w:r>
              <w:rPr>
                <w:rFonts w:hint="eastAsia"/>
              </w:rPr>
              <w:t>，防污性能为D3，则地下水环境敏感度为E3。</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综上所述，项目环境敏感程度为E3，危险物质及工艺系统危险性为P4，则可判定风险潜势为Ⅰ，环境风险评价等级为简单分析。</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（3）风险识别</w:t>
            </w:r>
          </w:p>
          <w:p>
            <w:pPr>
              <w:pStyle w:val="8"/>
              <w:keepNext w:val="0"/>
              <w:keepLines w:val="0"/>
              <w:pageBreakBefore w:val="0"/>
              <w:kinsoku/>
              <w:wordWrap/>
              <w:overflowPunct/>
              <w:topLinePunct w:val="0"/>
              <w:bidi w:val="0"/>
              <w:spacing w:before="0" w:beforeAutospacing="0" w:after="0" w:afterAutospacing="0" w:line="360" w:lineRule="auto"/>
              <w:ind w:left="0" w:leftChars="0" w:firstLine="240"/>
            </w:pPr>
            <w:r>
              <w:t>对项目风险进行分析，项目环境分析识别情况见下表。</w:t>
            </w:r>
          </w:p>
          <w:p>
            <w:pPr>
              <w:pStyle w:val="7"/>
              <w:keepNext w:val="0"/>
              <w:keepLines w:val="0"/>
              <w:pageBreakBefore w:val="0"/>
              <w:kinsoku/>
              <w:wordWrap/>
              <w:overflowPunct/>
              <w:topLinePunct w:val="0"/>
              <w:bidi w:val="0"/>
              <w:spacing w:beforeAutospacing="0" w:afterAutospacing="0" w:line="360" w:lineRule="auto"/>
              <w:ind w:left="0" w:leftChars="0" w:firstLine="420"/>
            </w:pPr>
            <w:r>
              <w:t>表</w:t>
            </w:r>
            <w:r>
              <w:rPr>
                <w:rFonts w:hint="eastAsia"/>
              </w:rPr>
              <w:t>4-1</w:t>
            </w:r>
            <w:r>
              <w:t>5  项目环境风险识别情况表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833"/>
              <w:gridCol w:w="723"/>
              <w:gridCol w:w="1008"/>
              <w:gridCol w:w="865"/>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6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序号</w:t>
                  </w:r>
                </w:p>
              </w:tc>
              <w:tc>
                <w:tcPr>
                  <w:tcW w:w="51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危险单元</w:t>
                  </w:r>
                </w:p>
              </w:tc>
              <w:tc>
                <w:tcPr>
                  <w:tcW w:w="445"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风险源</w:t>
                  </w:r>
                </w:p>
              </w:tc>
              <w:tc>
                <w:tcPr>
                  <w:tcW w:w="621"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主要危险物质</w:t>
                  </w:r>
                </w:p>
              </w:tc>
              <w:tc>
                <w:tcPr>
                  <w:tcW w:w="53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环境风险类型</w:t>
                  </w:r>
                </w:p>
              </w:tc>
              <w:tc>
                <w:tcPr>
                  <w:tcW w:w="2620"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1</w:t>
                  </w:r>
                </w:p>
              </w:tc>
              <w:tc>
                <w:tcPr>
                  <w:tcW w:w="51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贮存仓库</w:t>
                  </w:r>
                </w:p>
              </w:tc>
              <w:tc>
                <w:tcPr>
                  <w:tcW w:w="445"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贮存仓库</w:t>
                  </w:r>
                </w:p>
              </w:tc>
              <w:tc>
                <w:tcPr>
                  <w:tcW w:w="621"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液态危险废物</w:t>
                  </w:r>
                </w:p>
              </w:tc>
              <w:tc>
                <w:tcPr>
                  <w:tcW w:w="53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t>泄露</w:t>
                  </w:r>
                </w:p>
              </w:tc>
              <w:tc>
                <w:tcPr>
                  <w:tcW w:w="2620"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rPr>
                      <w:rFonts w:hint="eastAsia"/>
                    </w:rPr>
                    <w:t>泄漏后将通过车间导流沟、收集池收集，不会泄漏致厂区外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2</w:t>
                  </w:r>
                </w:p>
              </w:tc>
              <w:tc>
                <w:tcPr>
                  <w:tcW w:w="51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贮存仓库</w:t>
                  </w:r>
                </w:p>
              </w:tc>
              <w:tc>
                <w:tcPr>
                  <w:tcW w:w="445"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贮存仓库</w:t>
                  </w:r>
                </w:p>
              </w:tc>
              <w:tc>
                <w:tcPr>
                  <w:tcW w:w="621"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pPr>
                  <w:r>
                    <w:rPr>
                      <w:rFonts w:hint="eastAsia"/>
                    </w:rPr>
                    <w:t>危险废物</w:t>
                  </w:r>
                </w:p>
              </w:tc>
              <w:tc>
                <w:tcPr>
                  <w:tcW w:w="533"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pPr>
                  <w:r>
                    <w:rPr>
                      <w:rFonts w:hint="eastAsia"/>
                    </w:rPr>
                    <w:t>火灾/爆炸</w:t>
                  </w:r>
                </w:p>
              </w:tc>
              <w:tc>
                <w:tcPr>
                  <w:tcW w:w="2620"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rPr>
                      <w:rFonts w:hint="eastAsia"/>
                    </w:rPr>
                    <w:t>火灾/爆炸会引起物质不充分燃烧导致周边CO及烟尘污染，以及消防废水污染，但消防废水能够通过导流沟</w:t>
                  </w:r>
                  <w:r>
                    <w:rPr>
                      <w:rFonts w:hint="eastAsia"/>
                      <w:lang w:val="en-US" w:eastAsia="zh-CN"/>
                    </w:rPr>
                    <w:t>流入</w:t>
                  </w:r>
                  <w:r>
                    <w:rPr>
                      <w:rFonts w:hint="eastAsia"/>
                    </w:rPr>
                    <w:t>事故应急池，不会泄漏至周边地表水体</w:t>
                  </w:r>
                </w:p>
              </w:tc>
            </w:tr>
          </w:tbl>
          <w:p>
            <w:pPr>
              <w:pStyle w:val="7"/>
              <w:keepNext w:val="0"/>
              <w:keepLines w:val="0"/>
              <w:pageBreakBefore w:val="0"/>
              <w:kinsoku/>
              <w:wordWrap/>
              <w:overflowPunct/>
              <w:topLinePunct w:val="0"/>
              <w:bidi w:val="0"/>
              <w:spacing w:beforeAutospacing="0" w:afterAutospacing="0" w:line="360" w:lineRule="auto"/>
              <w:ind w:left="0" w:leftChars="0" w:firstLine="420"/>
              <w:rPr>
                <w:rFonts w:hint="eastAsia"/>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rPr>
                <w:rFonts w:hint="eastAsia"/>
              </w:rPr>
              <w:t>（4）环境风险防范措施及应急要求</w:t>
            </w:r>
          </w:p>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r>
              <w:t>项目存在一定程度上的火灾爆炸和泄漏风险，需采取相应的风险防范措施以降低各类风险事故发生的概率。</w:t>
            </w:r>
            <w:r>
              <w:rPr>
                <w:rFonts w:hint="eastAsia"/>
              </w:rPr>
              <w:t>本项目</w:t>
            </w:r>
            <w:r>
              <w:t>事故风险防范措施</w:t>
            </w:r>
            <w:r>
              <w:rPr>
                <w:rFonts w:hint="eastAsia"/>
              </w:rPr>
              <w:t>及应急要求如下：</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1）选址、总图布置和建筑安全防范措施</w:t>
            </w:r>
          </w:p>
          <w:p>
            <w:pPr>
              <w:pStyle w:val="58"/>
              <w:keepNext w:val="0"/>
              <w:keepLines w:val="0"/>
              <w:pageBreakBefore w:val="0"/>
              <w:kinsoku/>
              <w:wordWrap/>
              <w:overflowPunct/>
              <w:topLinePunct w:val="0"/>
              <w:bidi w:val="0"/>
              <w:spacing w:beforeAutospacing="0" w:afterAutospacing="0" w:line="360" w:lineRule="auto"/>
              <w:ind w:left="0" w:leftChars="0" w:firstLine="480"/>
            </w:pPr>
            <w:r>
              <w:t>本项目选址位于工业</w:t>
            </w:r>
            <w:r>
              <w:rPr>
                <w:rFonts w:hint="eastAsia"/>
                <w:lang w:val="en-US" w:eastAsia="zh-CN"/>
              </w:rPr>
              <w:t>园区</w:t>
            </w:r>
            <w:r>
              <w:t>，项目选址区周围无自然保护区、风景名胜区等重要敏感性目标，总图布置方面，环评建议在满足工程要求的基础上，设计须符合《危险化学品安全管理条例》、《危险废物收集贮存运输技术规范》（HJ2025-2012）、《危险废物处置工程技术导则》（HJ2042-2014）、《危险废物贮存污染控制标准》（GB18597-2001）及修改单的要求、《化工企业安全卫生设计规定》（HG20571-1995）、《工业企业总平面设计规范》（GB50187-93）等相关规范要求。</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2）危险废物贮运安全防范措施</w:t>
            </w:r>
          </w:p>
          <w:p>
            <w:pPr>
              <w:pStyle w:val="58"/>
              <w:keepNext w:val="0"/>
              <w:keepLines w:val="0"/>
              <w:pageBreakBefore w:val="0"/>
              <w:kinsoku/>
              <w:wordWrap/>
              <w:overflowPunct/>
              <w:topLinePunct w:val="0"/>
              <w:bidi w:val="0"/>
              <w:spacing w:beforeAutospacing="0" w:afterAutospacing="0" w:line="360" w:lineRule="auto"/>
              <w:ind w:left="0" w:leftChars="0" w:firstLine="480"/>
            </w:pPr>
            <w:r>
              <w:t>企业必须严格执行《危险货物运输包装通用技术条件》（GB12463-2009）、《危险废物收集贮存运输技术规范》（HJ2025-2012）以及危险废物贮存、运输等法律、法规、规章和标准，并建立危险废物管理制度：</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①</w:t>
            </w:r>
            <w:r>
              <w:t>库房的建筑设计应符合《建筑设计防火规范》、《仓库防火安全管理规则》、《危险废物收集贮存运输技术规范》（HJ2025-2012）、《危险废物处置工程技术导则》（HJ2042-2014）、《危险废物贮存污染控制标准》（GB18597-2001）及修改单的要求。</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②</w:t>
            </w:r>
            <w:r>
              <w:t>危险化学品存储场所应有明显的货物标记，场所应</w:t>
            </w:r>
            <w:r>
              <w:rPr>
                <w:rFonts w:hint="eastAsia"/>
                <w:lang w:val="en-US" w:eastAsia="zh-CN"/>
              </w:rPr>
              <w:t>粘贴</w:t>
            </w:r>
            <w:r>
              <w:t>警示标志和</w:t>
            </w:r>
            <w:r>
              <w:rPr>
                <w:rFonts w:hint="eastAsia"/>
                <w:lang w:val="en-US" w:eastAsia="zh-CN"/>
              </w:rPr>
              <w:t>悬挂</w:t>
            </w:r>
            <w:r>
              <w:t>有危险特性、泄漏应急处理、储运注意事项和灭火方法等内容的标牌。</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③应区分危险废物的相容性，根据不同特性分区存储，不得将能发生相互反应的危废存储在一起。</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④运输危险废物的单位，应有资质；车辆应有危运证；包装物和容器应是定点单位生产。</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⑤组织义务消防队，并定期组织消防训练，使每位员工都会使用消防器材。应针对性的制定化学伤害、中毒急救方案，并组织训练演习。</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3）危险废物暂存与转移风险防范措施</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本项目危险废物在暂存和转移过程中如发生泄漏，将会污染到厂区及道路沿线周边环境，因此，必须加强防范避免发生，评价建议采取措施防止事故风险：</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①项目危险废物存储在厂房存储区内，应请有资质的单位对厂房及存储区进行检测，考虑其各种风险情况，确保其运行过程中的稳定性和安全性，并做好改进措施。危险废物存储区域建筑材料应与危险废物相容，有泄漏液体收集装置、气体导出口及气体净化装置，设施内有安全照明设施和观察窗口。应有隔离设施、报警装置和防风、防晒、防雨、防腐设施。</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②</w:t>
            </w:r>
            <w:r>
              <w:t>应按照《危险废物贮存污染控制标准》（GB 18597-2001）及其修改单（2013年第 36 号）要求进行建设，存储区应做好防雨、防风、防渗漏、防扬散措施，应设置渗出液收集设施。</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③</w:t>
            </w:r>
            <w:r>
              <w:t>施工时加强管理，严格按设计要求施工，严禁偷工减料；施工现场监理到位，严格把关，确保施工质量，减少风险。</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④</w:t>
            </w:r>
            <w:r>
              <w:t>按照《环境保护图形标志—固体废物贮存（处置）场》（GB15562.2-1995）的要求设立危险废物标示牌，盛装危险废物的容器上必须粘贴符合标准的标签。</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⑤</w:t>
            </w:r>
            <w:r>
              <w:t>危险废物贮存容器将使用符合标准的容器盛装，装载危险废物的容器及材质要满足相应的强度要求，装载危险废物的容器必须完好无损，盛装危险废物的容器材质和衬里要与危险废物相容（不相互反应），液体危险废物注入开孔直径不超过70mm并有放气孔的桶中；装载液体、半固体危险废物的容器内须留足够空间，容器顶部与液体表面之间保留 100mm 以上的空间。</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⑥加强日常监控，组织专人负责危废存储设施安全，以杜绝安全隐患。</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⑦危险废物的转移应严格按照危险废物转移联单手续进行，并委托具备资质的运输单位使用符合要求的专用运输车辆运输，禁止不相容的危险废物混合运输。</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⑧危险废物运输路线应避开人口密集区、学校、医院、保护水体等环境敏感区。</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⑨及时转运各类固废，特别是风险大的固废。</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4）防腐防渗措施</w:t>
            </w:r>
          </w:p>
          <w:p>
            <w:pPr>
              <w:pStyle w:val="58"/>
              <w:keepNext w:val="0"/>
              <w:keepLines w:val="0"/>
              <w:pageBreakBefore w:val="0"/>
              <w:kinsoku/>
              <w:wordWrap/>
              <w:overflowPunct/>
              <w:topLinePunct w:val="0"/>
              <w:bidi w:val="0"/>
              <w:spacing w:beforeAutospacing="0" w:afterAutospacing="0" w:line="360" w:lineRule="auto"/>
              <w:ind w:left="0" w:leftChars="0" w:firstLine="480"/>
              <w:rPr>
                <w:u w:val="none"/>
              </w:rPr>
            </w:pPr>
            <w:r>
              <w:rPr>
                <w:rFonts w:hint="eastAsia"/>
              </w:rPr>
              <w:t>根据本项目工程特点，对土壤和地下水产生污染的原因主要是厂房存储区、事故池的泄漏液渗透到地下而造成。</w:t>
            </w:r>
            <w:r>
              <w:rPr>
                <w:rFonts w:hint="eastAsia"/>
                <w:u w:val="none"/>
              </w:rPr>
              <w:t>为防止本项目泄漏液渗透到地下等造成的地下水、土壤污染，需在厂区内地面、导流沟、围堰、事故池均采取水泥硬化和防腐防渗处理措施。</w:t>
            </w:r>
          </w:p>
          <w:p>
            <w:pPr>
              <w:pStyle w:val="58"/>
              <w:keepNext w:val="0"/>
              <w:keepLines w:val="0"/>
              <w:pageBreakBefore w:val="0"/>
              <w:kinsoku/>
              <w:wordWrap/>
              <w:overflowPunct/>
              <w:topLinePunct w:val="0"/>
              <w:bidi w:val="0"/>
              <w:spacing w:beforeAutospacing="0" w:afterAutospacing="0" w:line="360" w:lineRule="auto"/>
              <w:ind w:left="0" w:leftChars="0" w:firstLine="480"/>
            </w:pPr>
            <w:r>
              <w:t>本项目存储区设于地面，地面为水泥结构，建设单位拟在储存区地面进行防腐防渗处理，而在有发生液体泄漏的储存区内设导流沟，导流沟通入事故应急池，事故池进行防腐防渗处理。另外，危险废物的堆放基础防渗层为至少lm 厚粘土层（渗透系数≤1.0× 10</w:t>
            </w:r>
            <w:r>
              <w:rPr>
                <w:vertAlign w:val="superscript"/>
              </w:rPr>
              <w:t>-7</w:t>
            </w:r>
            <w:r>
              <w:t>cm/s），或2mm 厚高密度聚乙烯，或至少 2mm 厚的其它人工材料（渗透系数≤1.0×10</w:t>
            </w:r>
            <w:r>
              <w:rPr>
                <w:vertAlign w:val="superscript"/>
              </w:rPr>
              <w:t>-10</w:t>
            </w:r>
            <w:r>
              <w:t>cm/s）。</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5）防火措施</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①仓库建设均符合消防要求，符合相应的防火等级；</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②在仓库设置消防栓、消防沙、手提灭火器；</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③在仓库设置1套有机废气泄露检测报警装置，防止密闭贮存间有机废气泄露出车间；</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④在仓库设置1套火灾报警装置。</w:t>
            </w:r>
          </w:p>
          <w:p>
            <w:pPr>
              <w:pStyle w:val="58"/>
              <w:keepNext w:val="0"/>
              <w:keepLines w:val="0"/>
              <w:pageBreakBefore w:val="0"/>
              <w:kinsoku/>
              <w:wordWrap/>
              <w:overflowPunct/>
              <w:topLinePunct w:val="0"/>
              <w:bidi w:val="0"/>
              <w:spacing w:beforeAutospacing="0" w:afterAutospacing="0" w:line="360" w:lineRule="auto"/>
              <w:ind w:left="0" w:leftChars="0" w:firstLine="480"/>
            </w:pPr>
            <w:r>
              <w:t>6</w:t>
            </w:r>
            <w:r>
              <w:rPr>
                <w:rFonts w:hint="eastAsia"/>
              </w:rPr>
              <w:t>）暴雨时外部雨水进入车间防范措施</w:t>
            </w:r>
          </w:p>
          <w:p>
            <w:pPr>
              <w:pStyle w:val="58"/>
              <w:keepNext w:val="0"/>
              <w:keepLines w:val="0"/>
              <w:pageBreakBefore w:val="0"/>
              <w:kinsoku/>
              <w:wordWrap/>
              <w:overflowPunct/>
              <w:topLinePunct w:val="0"/>
              <w:bidi w:val="0"/>
              <w:spacing w:beforeAutospacing="0" w:afterAutospacing="0" w:line="360" w:lineRule="auto"/>
              <w:ind w:left="0" w:leftChars="0" w:firstLine="480"/>
              <w:rPr>
                <w:rFonts w:hint="eastAsia"/>
              </w:rPr>
            </w:pPr>
            <w:r>
              <w:rPr>
                <w:rFonts w:hint="eastAsia"/>
              </w:rPr>
              <w:t>本项目位于</w:t>
            </w:r>
            <w:r>
              <w:rPr>
                <w:rFonts w:hint="eastAsia"/>
                <w:lang w:val="en-US" w:eastAsia="zh-CN"/>
              </w:rPr>
              <w:t>归阳工业园</w:t>
            </w:r>
            <w:r>
              <w:rPr>
                <w:rFonts w:hint="eastAsia"/>
              </w:rPr>
              <w:t>，</w:t>
            </w:r>
            <w:r>
              <w:rPr>
                <w:rFonts w:hint="eastAsia"/>
                <w:lang w:val="en-US" w:eastAsia="zh-CN"/>
              </w:rPr>
              <w:t>归阳工业园</w:t>
            </w:r>
            <w:r>
              <w:rPr>
                <w:rFonts w:hint="eastAsia"/>
              </w:rPr>
              <w:t>设有雨水管网，</w:t>
            </w:r>
            <w:r>
              <w:rPr>
                <w:rFonts w:hint="eastAsia"/>
                <w:lang w:val="en-US" w:eastAsia="zh-CN"/>
              </w:rPr>
              <w:t>道路</w:t>
            </w:r>
            <w:r>
              <w:rPr>
                <w:rFonts w:hint="eastAsia"/>
              </w:rPr>
              <w:t>两侧设有相应的雨水口，外部雨水进入车间的可能性较低。</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本项目为危险废物贮存项目，一旦雨水进入厂区对周边环境将造成较大影响，因此环评建议建设单位在车间入口处设置一定坡度或设置闸槽，预防极端天气连续强暴雨对项目的影响。</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7）消防废水处置措施</w:t>
            </w:r>
          </w:p>
          <w:p>
            <w:pPr>
              <w:pStyle w:val="58"/>
              <w:keepNext w:val="0"/>
              <w:keepLines w:val="0"/>
              <w:pageBreakBefore w:val="0"/>
              <w:kinsoku/>
              <w:wordWrap/>
              <w:overflowPunct/>
              <w:topLinePunct w:val="0"/>
              <w:bidi w:val="0"/>
              <w:spacing w:beforeAutospacing="0" w:afterAutospacing="0" w:line="360" w:lineRule="auto"/>
              <w:ind w:left="0" w:leftChars="0" w:firstLine="480"/>
              <w:rPr>
                <w:u w:val="none"/>
              </w:rPr>
            </w:pPr>
            <w:r>
              <w:rPr>
                <w:rFonts w:hint="eastAsia"/>
              </w:rPr>
              <w:t>危险废物均贮存于仓库，因此本次消防应急时间按2h计算，车间消防栓水量为1</w:t>
            </w:r>
            <w:r>
              <w:t>0</w:t>
            </w:r>
            <w:r>
              <w:rPr>
                <w:rFonts w:hint="eastAsia"/>
              </w:rPr>
              <w:t>L</w:t>
            </w:r>
            <w:r>
              <w:t>/s</w:t>
            </w:r>
            <w:r>
              <w:rPr>
                <w:rFonts w:hint="eastAsia"/>
              </w:rPr>
              <w:t>，则单次消防水量为</w:t>
            </w:r>
            <w:r>
              <w:rPr>
                <w:rFonts w:hint="eastAsia"/>
                <w:lang w:val="en-US" w:eastAsia="zh-CN"/>
              </w:rPr>
              <w:t>72</w:t>
            </w:r>
            <w:r>
              <w:rPr>
                <w:rFonts w:hint="eastAsia"/>
              </w:rPr>
              <w:t>m</w:t>
            </w:r>
            <w:r>
              <w:rPr>
                <w:vertAlign w:val="superscript"/>
              </w:rPr>
              <w:t>3</w:t>
            </w:r>
            <w:r>
              <w:rPr>
                <w:rFonts w:hint="eastAsia"/>
              </w:rPr>
              <w:t>，消防废水产生量为5</w:t>
            </w:r>
            <w:r>
              <w:t>7.6</w:t>
            </w:r>
            <w:r>
              <w:rPr>
                <w:rFonts w:hint="eastAsia"/>
              </w:rPr>
              <w:t>m</w:t>
            </w:r>
            <w:r>
              <w:rPr>
                <w:vertAlign w:val="superscript"/>
              </w:rPr>
              <w:t>3</w:t>
            </w:r>
            <w:r>
              <w:rPr>
                <w:rFonts w:hint="eastAsia"/>
              </w:rPr>
              <w:t>，</w:t>
            </w:r>
            <w:r>
              <w:rPr>
                <w:rFonts w:hint="eastAsia"/>
                <w:u w:val="none"/>
              </w:rPr>
              <w:t>本环评建议设置1个应急事故池，事故应急池容积约</w:t>
            </w:r>
            <w:r>
              <w:rPr>
                <w:rFonts w:hint="eastAsia"/>
                <w:u w:val="none"/>
                <w:lang w:val="en-US" w:eastAsia="zh-CN"/>
              </w:rPr>
              <w:t>68.4</w:t>
            </w:r>
            <w:r>
              <w:rPr>
                <w:rFonts w:hint="eastAsia"/>
                <w:u w:val="none"/>
              </w:rPr>
              <w:t>m</w:t>
            </w:r>
            <w:r>
              <w:rPr>
                <w:u w:val="none"/>
                <w:vertAlign w:val="superscript"/>
              </w:rPr>
              <w:t>3</w:t>
            </w:r>
            <w:r>
              <w:rPr>
                <w:rFonts w:hint="eastAsia"/>
                <w:u w:val="none"/>
              </w:rPr>
              <w:t>，能够满足消防废水收集需求。</w:t>
            </w:r>
          </w:p>
          <w:p>
            <w:pPr>
              <w:pStyle w:val="58"/>
              <w:keepNext w:val="0"/>
              <w:keepLines w:val="0"/>
              <w:pageBreakBefore w:val="0"/>
              <w:kinsoku/>
              <w:wordWrap/>
              <w:overflowPunct/>
              <w:topLinePunct w:val="0"/>
              <w:bidi w:val="0"/>
              <w:spacing w:beforeAutospacing="0" w:afterAutospacing="0" w:line="360" w:lineRule="auto"/>
              <w:ind w:left="0" w:leftChars="0" w:firstLine="480"/>
              <w:rPr>
                <w:u w:val="none"/>
              </w:rPr>
            </w:pPr>
            <w:r>
              <w:rPr>
                <w:rFonts w:hint="eastAsia"/>
                <w:u w:val="none"/>
              </w:rPr>
              <w:t>消防废水处置：消防废水收集至事故应急池后，先进行监测，如果水质能够满足排放标准，则直接排入污水管网，最终进入污水处理厂处理后排放，如不能满足排放标准，则投加絮凝剂，将消防废水进行处理后排放至园区污水管网。</w:t>
            </w:r>
          </w:p>
          <w:p>
            <w:pPr>
              <w:pStyle w:val="58"/>
              <w:keepNext w:val="0"/>
              <w:keepLines w:val="0"/>
              <w:pageBreakBefore w:val="0"/>
              <w:kinsoku/>
              <w:wordWrap/>
              <w:overflowPunct/>
              <w:topLinePunct w:val="0"/>
              <w:bidi w:val="0"/>
              <w:spacing w:beforeAutospacing="0" w:afterAutospacing="0" w:line="360" w:lineRule="auto"/>
              <w:ind w:left="0" w:leftChars="0" w:firstLine="480"/>
              <w:rPr>
                <w:u w:val="none"/>
              </w:rPr>
            </w:pPr>
            <w:r>
              <w:rPr>
                <w:rFonts w:hint="eastAsia"/>
                <w:u w:val="none"/>
              </w:rPr>
              <w:t>8）防止危险废物泄漏措施</w:t>
            </w:r>
          </w:p>
          <w:p>
            <w:pPr>
              <w:pStyle w:val="58"/>
              <w:keepNext w:val="0"/>
              <w:keepLines w:val="0"/>
              <w:pageBreakBefore w:val="0"/>
              <w:kinsoku/>
              <w:wordWrap/>
              <w:overflowPunct/>
              <w:topLinePunct w:val="0"/>
              <w:bidi w:val="0"/>
              <w:spacing w:beforeAutospacing="0" w:afterAutospacing="0" w:line="360" w:lineRule="auto"/>
              <w:ind w:left="0" w:leftChars="0" w:firstLine="480"/>
              <w:rPr>
                <w:u w:val="none"/>
              </w:rPr>
            </w:pPr>
            <w:r>
              <w:rPr>
                <w:rFonts w:hint="eastAsia"/>
                <w:u w:val="none"/>
              </w:rPr>
              <w:t>为了防止危险废物容器破裂，导致危险废物泄漏，建设单位在危险废物贮存间设置了</w:t>
            </w:r>
            <w:r>
              <w:rPr>
                <w:rFonts w:hint="eastAsia"/>
                <w:u w:val="none"/>
                <w:lang w:val="en-US" w:eastAsia="zh-CN"/>
              </w:rPr>
              <w:t>围堰、</w:t>
            </w:r>
            <w:r>
              <w:rPr>
                <w:rFonts w:hint="eastAsia"/>
                <w:u w:val="none"/>
              </w:rPr>
              <w:t>导流沟及收集池，单个收集池容积为</w:t>
            </w:r>
            <w:r>
              <w:rPr>
                <w:rFonts w:hint="eastAsia"/>
                <w:u w:val="none"/>
                <w:lang w:val="en-US" w:eastAsia="zh-CN"/>
              </w:rPr>
              <w:t>0.25</w:t>
            </w:r>
            <w:r>
              <w:rPr>
                <w:rFonts w:hint="eastAsia"/>
                <w:u w:val="none"/>
              </w:rPr>
              <w:t>m</w:t>
            </w:r>
            <w:r>
              <w:rPr>
                <w:u w:val="none"/>
                <w:vertAlign w:val="superscript"/>
              </w:rPr>
              <w:t>3</w:t>
            </w:r>
            <w:r>
              <w:rPr>
                <w:rFonts w:hint="eastAsia"/>
                <w:u w:val="none"/>
              </w:rPr>
              <w:t>（</w:t>
            </w:r>
            <w:r>
              <w:rPr>
                <w:rFonts w:hint="eastAsia"/>
                <w:u w:val="none"/>
                <w:lang w:val="en-US" w:eastAsia="zh-CN"/>
              </w:rPr>
              <w:t>1</w:t>
            </w:r>
            <w:r>
              <w:rPr>
                <w:rFonts w:hint="eastAsia"/>
                <w:u w:val="none"/>
              </w:rPr>
              <w:t>m×</w:t>
            </w:r>
            <w:r>
              <w:rPr>
                <w:rFonts w:hint="eastAsia"/>
                <w:u w:val="none"/>
                <w:lang w:val="en-US" w:eastAsia="zh-CN"/>
              </w:rPr>
              <w:t>0.5</w:t>
            </w:r>
            <w:r>
              <w:rPr>
                <w:rFonts w:hint="eastAsia"/>
                <w:u w:val="none"/>
              </w:rPr>
              <w:t>m×</w:t>
            </w:r>
            <w:r>
              <w:rPr>
                <w:rFonts w:hint="eastAsia"/>
                <w:u w:val="none"/>
                <w:lang w:val="en-US" w:eastAsia="zh-CN"/>
              </w:rPr>
              <w:t>0.5</w:t>
            </w:r>
            <w:r>
              <w:rPr>
                <w:rFonts w:hint="eastAsia"/>
                <w:u w:val="none"/>
              </w:rPr>
              <w:t>m），能够满足单个容器破裂收集需求（2</w:t>
            </w:r>
            <w:r>
              <w:rPr>
                <w:u w:val="none"/>
              </w:rPr>
              <w:t>00</w:t>
            </w:r>
            <w:r>
              <w:rPr>
                <w:rFonts w:hint="eastAsia"/>
                <w:u w:val="none"/>
              </w:rPr>
              <w:t>L，即0</w:t>
            </w:r>
            <w:r>
              <w:rPr>
                <w:u w:val="none"/>
              </w:rPr>
              <w:t>.2</w:t>
            </w:r>
            <w:r>
              <w:rPr>
                <w:rFonts w:hint="eastAsia"/>
                <w:u w:val="none"/>
              </w:rPr>
              <w:t>m</w:t>
            </w:r>
            <w:r>
              <w:rPr>
                <w:u w:val="none"/>
                <w:vertAlign w:val="superscript"/>
              </w:rPr>
              <w:t>3</w:t>
            </w:r>
            <w:r>
              <w:rPr>
                <w:rFonts w:hint="eastAsia"/>
                <w:u w:val="none"/>
              </w:rPr>
              <w:t>）。</w:t>
            </w:r>
          </w:p>
          <w:p>
            <w:pPr>
              <w:pStyle w:val="58"/>
              <w:keepNext w:val="0"/>
              <w:keepLines w:val="0"/>
              <w:pageBreakBefore w:val="0"/>
              <w:kinsoku/>
              <w:wordWrap/>
              <w:overflowPunct/>
              <w:topLinePunct w:val="0"/>
              <w:bidi w:val="0"/>
              <w:spacing w:beforeAutospacing="0" w:afterAutospacing="0" w:line="360" w:lineRule="auto"/>
              <w:ind w:left="0" w:leftChars="0" w:firstLine="480"/>
            </w:pPr>
            <w:r>
              <w:t>9</w:t>
            </w:r>
            <w:r>
              <w:rPr>
                <w:rFonts w:hint="eastAsia"/>
              </w:rPr>
              <w:t>）防范与管理</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项目一旦出现环境风险事故，将会对一定范围内的人员和环境产生较为严重的影响。在生产中安全管理问题是十分重要的。</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①强化管理是防范风险事故最有效途径。从发生事故原因来看，事故的发生多为违反操作规程，疏于管理所致。因此本项目建设及生产运行过程中，必须加强对全体职工的安全和技术的定期培训，在项目进行的各个环节均采取有效的安全监控措施，使出现事故的概率降至最低。</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②本项目应建全一套应急指挥联络图，制定安全规程、事故防范措施及应急预案。管理人员应职责、权限分明，清楚生产工艺技术和事故风险发生后果，具备解除事故和减缓事故的能力。</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③严格执行设备的维护保养制度，定期对设备装置进行检查，及时处理不安全因素，将其消灭在萌芽状态。各项应急处理器材与设施（如提升泵、灭火器，防毒面具、呼吸器等）也必须经常保持处于完好状态。</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④万一发生突发事故，应及时发生报警信号，请有关部门（消防队，急救中心，环保监测站等）前来救援、救护和监测。事故如可能波及周围环境时，应及时通知影响区域的群众撤离到安全地带或采取有效的保护措施，使事故的危害和影响降到最低限度。</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⑤事故一旦得到控制，要对事故的原因进行详细分析，对涉及的各种因素的影响进行评价，并对今后消除和最大限度地减少这些因素提出建议。</w:t>
            </w:r>
          </w:p>
          <w:p>
            <w:pPr>
              <w:pStyle w:val="58"/>
              <w:keepNext w:val="0"/>
              <w:keepLines w:val="0"/>
              <w:pageBreakBefore w:val="0"/>
              <w:kinsoku/>
              <w:wordWrap/>
              <w:overflowPunct/>
              <w:topLinePunct w:val="0"/>
              <w:bidi w:val="0"/>
              <w:spacing w:beforeAutospacing="0" w:afterAutospacing="0" w:line="360" w:lineRule="auto"/>
              <w:ind w:left="0" w:leftChars="0" w:firstLine="480"/>
            </w:pPr>
            <w:r>
              <w:t>10</w:t>
            </w:r>
            <w:r>
              <w:rPr>
                <w:rFonts w:hint="eastAsia"/>
              </w:rPr>
              <w:t>）突发环境事件应急预案</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根据《湖南省突发环境事件应急预案管理办法》，向环境排放污染物的企业事业单位，生产、贮存、经营、使用、运输危险化学品的企业事业单位，产生、收集、贮存、运输、利用、处置危险废物的企业事业单位，以及其他可能发生突发环境事件的单位应编制突发环境事件应急预案。应根据《企业突发环境事件风险评估指南（试行）》，委托相关单位制定突发环境事件应急预案。</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w:t>
            </w:r>
            <w:r>
              <w:t>5</w:t>
            </w:r>
            <w:r>
              <w:rPr>
                <w:rFonts w:hint="eastAsia"/>
              </w:rPr>
              <w:t>）环境风险评价结论</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综上，本项目危险物质贮存量较小，项目可能的风险事故主要是存放物料的单元发生泄露事故，危险废物贮运过程中发生泄漏导致环境污染事故。项目可能的风险事故主要是存放物料的单元发生泄露事故、泄漏导致火灾爆炸事故，在采取设计与本评价要求的风险防范措施后，可大大降低风险事故发生的机率，通过制定项目应急预案和采取事故应急措施，减缓风险事故对环境的影响，本项目所存在的环境风险是可以接受的。</w:t>
            </w:r>
          </w:p>
          <w:p>
            <w:pPr>
              <w:pStyle w:val="58"/>
              <w:keepNext w:val="0"/>
              <w:keepLines w:val="0"/>
              <w:pageBreakBefore w:val="0"/>
              <w:kinsoku/>
              <w:wordWrap/>
              <w:overflowPunct/>
              <w:topLinePunct w:val="0"/>
              <w:bidi w:val="0"/>
              <w:spacing w:beforeAutospacing="0" w:afterAutospacing="0" w:line="360" w:lineRule="auto"/>
              <w:ind w:left="0" w:leftChars="0" w:firstLine="480"/>
            </w:pPr>
            <w:r>
              <w:rPr>
                <w:rFonts w:hint="eastAsia"/>
              </w:rPr>
              <w:t>项目环境风险简单分析内容见表4-</w:t>
            </w:r>
            <w:r>
              <w:t>17</w:t>
            </w:r>
            <w:r>
              <w:rPr>
                <w:rFonts w:hint="eastAsia"/>
              </w:rPr>
              <w:t>。</w:t>
            </w:r>
          </w:p>
          <w:p>
            <w:pPr>
              <w:pStyle w:val="7"/>
              <w:keepNext w:val="0"/>
              <w:keepLines w:val="0"/>
              <w:pageBreakBefore w:val="0"/>
              <w:kinsoku/>
              <w:wordWrap/>
              <w:overflowPunct/>
              <w:topLinePunct w:val="0"/>
              <w:bidi w:val="0"/>
              <w:spacing w:beforeAutospacing="0" w:afterAutospacing="0" w:line="360" w:lineRule="auto"/>
              <w:ind w:left="0" w:left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表4-17  项目环境风险简单分析内容表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849"/>
              <w:gridCol w:w="1614"/>
              <w:gridCol w:w="743"/>
              <w:gridCol w:w="750"/>
              <w:gridCol w:w="600"/>
              <w:gridCol w:w="1192"/>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建设项目名称</w:t>
                  </w:r>
                </w:p>
              </w:tc>
              <w:tc>
                <w:tcPr>
                  <w:tcW w:w="6673" w:type="dxa"/>
                  <w:gridSpan w:val="7"/>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eastAsia"/>
                      <w:lang w:eastAsia="zh-CN"/>
                    </w:rPr>
                  </w:pPr>
                  <w:r>
                    <w:rPr>
                      <w:rFonts w:hint="eastAsia"/>
                      <w:lang w:eastAsia="zh-CN"/>
                    </w:rPr>
                    <w:t>湖南川岳环境科技有限公司危险废物收集、贮存及转运项目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建设地点</w:t>
                  </w:r>
                </w:p>
              </w:tc>
              <w:tc>
                <w:tcPr>
                  <w:tcW w:w="849"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湖南省</w:t>
                  </w:r>
                </w:p>
              </w:tc>
              <w:tc>
                <w:tcPr>
                  <w:tcW w:w="16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衡阳市</w:t>
                  </w:r>
                </w:p>
              </w:tc>
              <w:tc>
                <w:tcPr>
                  <w:tcW w:w="1493" w:type="dxa"/>
                  <w:gridSpan w:val="2"/>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default" w:eastAsia="宋体"/>
                      <w:lang w:val="en-US" w:eastAsia="zh-CN"/>
                    </w:rPr>
                  </w:pPr>
                  <w:r>
                    <w:rPr>
                      <w:rFonts w:hint="eastAsia"/>
                      <w:lang w:val="en-US" w:eastAsia="zh-CN"/>
                    </w:rPr>
                    <w:t>祁东县</w:t>
                  </w:r>
                </w:p>
              </w:tc>
              <w:tc>
                <w:tcPr>
                  <w:tcW w:w="1792" w:type="dxa"/>
                  <w:gridSpan w:val="2"/>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default" w:eastAsia="宋体"/>
                      <w:lang w:val="en-US" w:eastAsia="zh-CN"/>
                    </w:rPr>
                  </w:pPr>
                  <w:r>
                    <w:rPr>
                      <w:rFonts w:hint="eastAsia"/>
                      <w:lang w:eastAsia="zh-CN"/>
                    </w:rPr>
                    <w:t>归</w:t>
                  </w:r>
                  <w:r>
                    <w:rPr>
                      <w:rFonts w:hint="eastAsia"/>
                      <w:lang w:val="en-US" w:eastAsia="zh-CN"/>
                    </w:rPr>
                    <w:t>阳工业园</w:t>
                  </w:r>
                </w:p>
              </w:tc>
              <w:tc>
                <w:tcPr>
                  <w:tcW w:w="925"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地理坐标</w:t>
                  </w:r>
                </w:p>
              </w:tc>
              <w:tc>
                <w:tcPr>
                  <w:tcW w:w="849"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经度</w:t>
                  </w:r>
                </w:p>
              </w:tc>
              <w:tc>
                <w:tcPr>
                  <w:tcW w:w="2357" w:type="dxa"/>
                  <w:gridSpan w:val="2"/>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112°12′3.83838″</w:t>
                  </w:r>
                </w:p>
              </w:tc>
              <w:tc>
                <w:tcPr>
                  <w:tcW w:w="1350" w:type="dxa"/>
                  <w:gridSpan w:val="2"/>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eastAsia" w:ascii="Times New Roman" w:hAnsi="Times New Roman" w:eastAsia="宋体" w:cs="Times New Roman"/>
                    </w:rPr>
                  </w:pPr>
                  <w:r>
                    <w:rPr>
                      <w:rFonts w:hint="eastAsia" w:ascii="Times New Roman" w:hAnsi="Times New Roman" w:eastAsia="宋体" w:cs="Times New Roman"/>
                    </w:rPr>
                    <w:t>纬度</w:t>
                  </w:r>
                </w:p>
              </w:tc>
              <w:tc>
                <w:tcPr>
                  <w:tcW w:w="2117" w:type="dxa"/>
                  <w:gridSpan w:val="2"/>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26°33′34.48399″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主要危险物质及分布</w:t>
                  </w:r>
                </w:p>
              </w:tc>
              <w:tc>
                <w:tcPr>
                  <w:tcW w:w="6673" w:type="dxa"/>
                  <w:gridSpan w:val="7"/>
                  <w:vAlign w:val="center"/>
                </w:tcPr>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jc w:val="left"/>
                  </w:pPr>
                  <w:r>
                    <w:rPr>
                      <w:rFonts w:hint="eastAsia"/>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环境影响途径及危害后果</w:t>
                  </w:r>
                </w:p>
              </w:tc>
              <w:tc>
                <w:tcPr>
                  <w:tcW w:w="6673" w:type="dxa"/>
                  <w:gridSpan w:val="7"/>
                  <w:vAlign w:val="center"/>
                </w:tcPr>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jc w:val="left"/>
                  </w:pPr>
                  <w:r>
                    <w:rPr>
                      <w:rFonts w:hint="eastAsia"/>
                    </w:rPr>
                    <w:t>①危险物质泄漏引起火灾、爆炸事故，危害周边环境及人员生命财产安全。</w:t>
                  </w:r>
                </w:p>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jc w:val="left"/>
                  </w:pPr>
                  <w:r>
                    <w:rPr>
                      <w:rFonts w:hint="eastAsia"/>
                    </w:rPr>
                    <w:t>②危险物质泄漏，对周边环境造成不利影响。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14" w:type="dxa"/>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jc w:val="center"/>
                  </w:pPr>
                  <w:r>
                    <w:rPr>
                      <w:rFonts w:hint="eastAsia"/>
                    </w:rPr>
                    <w:t>风险防范措施要求</w:t>
                  </w:r>
                </w:p>
              </w:tc>
              <w:tc>
                <w:tcPr>
                  <w:tcW w:w="6673" w:type="dxa"/>
                  <w:gridSpan w:val="7"/>
                  <w:vAlign w:val="center"/>
                </w:tcPr>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pPr>
                  <w:r>
                    <w:rPr>
                      <w:rFonts w:hint="eastAsia"/>
                    </w:rPr>
                    <w:t>配备灭火器消防设备，加强人员安全意识培训，制定危险物品定期巡检计划并执行；加强应急设施的检修。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7" w:type="dxa"/>
                  <w:gridSpan w:val="8"/>
                  <w:vAlign w:val="center"/>
                </w:tcPr>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pPr>
                  <w:r>
                    <w:t>填表说明：</w:t>
                  </w:r>
                </w:p>
                <w:p>
                  <w:pPr>
                    <w:pStyle w:val="6"/>
                    <w:keepNext w:val="0"/>
                    <w:keepLines w:val="0"/>
                    <w:pageBreakBefore w:val="0"/>
                    <w:kinsoku/>
                    <w:wordWrap/>
                    <w:overflowPunct/>
                    <w:topLinePunct w:val="0"/>
                    <w:bidi w:val="0"/>
                    <w:adjustRightInd w:val="0"/>
                    <w:snapToGrid w:val="0"/>
                    <w:spacing w:beforeAutospacing="0" w:afterAutospacing="0" w:line="360" w:lineRule="auto"/>
                    <w:ind w:left="0" w:leftChars="0" w:firstLine="0"/>
                  </w:pPr>
                  <w:r>
                    <w:t>项目信息：危险废物收集、贮存、转运建设项目</w:t>
                  </w:r>
                </w:p>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jc w:val="left"/>
                  </w:pPr>
                  <w:r>
                    <w:t>评价说明：根据项目所用原料及辅料种类及工艺系统，涉及危险物质包括</w:t>
                  </w:r>
                  <w:r>
                    <w:rPr>
                      <w:rFonts w:hint="eastAsia"/>
                    </w:rPr>
                    <w:t>J2危险物质</w:t>
                  </w:r>
                  <w:r>
                    <w:t>，Q值为0.</w:t>
                  </w:r>
                  <w:r>
                    <w:rPr>
                      <w:rFonts w:hint="eastAsia"/>
                    </w:rPr>
                    <w:t>1</w:t>
                  </w:r>
                  <w:r>
                    <w:t>＜1</w:t>
                  </w:r>
                  <w:r>
                    <w:rPr>
                      <w:rFonts w:hint="eastAsia"/>
                    </w:rPr>
                    <w:t>，所以</w:t>
                  </w:r>
                  <w:r>
                    <w:t>本项目</w:t>
                  </w:r>
                  <w:r>
                    <w:rPr>
                      <w:rFonts w:hint="eastAsia"/>
                    </w:rPr>
                    <w:t>环境风险潜势</w:t>
                  </w:r>
                  <w:r>
                    <w:t>级别定为I</w:t>
                  </w:r>
                  <w:r>
                    <w:rPr>
                      <w:rFonts w:hint="eastAsia"/>
                    </w:rPr>
                    <w:t>级，只需进行</w:t>
                  </w:r>
                  <w:r>
                    <w:t>简单分析</w:t>
                  </w:r>
                  <w:r>
                    <w:rPr>
                      <w:rFonts w:hint="eastAsia"/>
                    </w:rPr>
                    <w:t>，在描述危险物质、环境影响途径、环境危害后果、风险防范措施等方面给出定性的说明。</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firstLine="420" w:firstLineChars="200"/>
            </w:pP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pPr>
            <w:r>
              <w:rPr>
                <w:rFonts w:hint="eastAsia"/>
              </w:rPr>
              <w:t>8、排污口规范化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0" w:firstLineChars="200"/>
              <w:jc w:val="left"/>
              <w:textAlignment w:val="auto"/>
              <w:rPr>
                <w:rFonts w:hint="eastAsia"/>
                <w:lang w:val="en-US" w:eastAsia="zh-CN"/>
              </w:rPr>
            </w:pPr>
            <w:r>
              <w:rPr>
                <w:rFonts w:hint="eastAsia"/>
                <w:lang w:val="en-US" w:eastAsia="zh-CN"/>
              </w:rPr>
              <w:t>根据国家环境保护总局《关于开展排放口规范化整治工作的通知》(2006年6月5日修正版)文件的要求，为进一步强化对污染源的现场监督管理及更好地落实国务院提出的实施污染物排放总量控制和“一控双达标”的要求，规定一切新建、扩建、改造和限期治理的排污单位必须在建设污染治理设施的同时建设规范化排放口，并作为落实环境保护“三同时”制度的必要组成部分和项目验收内容之一，因此企业应做到：</w:t>
            </w:r>
          </w:p>
          <w:p>
            <w:pPr>
              <w:pStyle w:val="58"/>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textAlignment w:val="auto"/>
            </w:pPr>
            <w:r>
              <w:rPr>
                <w:rFonts w:hint="eastAsia"/>
              </w:rPr>
              <w:t>①建立排污口档案。内容包括排污单位名称、排污口编号、适用的计量方式、排污口位置；所排污染物来源、种类、浓度及计量纪录；排放去向、维护和更新纪录。</w:t>
            </w:r>
          </w:p>
          <w:p>
            <w:pPr>
              <w:pStyle w:val="58"/>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80"/>
              <w:textAlignment w:val="auto"/>
            </w:pPr>
            <w:r>
              <w:rPr>
                <w:rFonts w:hint="eastAsia"/>
              </w:rPr>
              <w:t>②厂区固体废物贮存场所均应分别统一编号，设立标志牌，标志牌按照《环境保护图形标志》(GB15562.1-2-1998-5)的规定统一定点监制。</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pPr>
            <w:r>
              <w:rPr>
                <w:rFonts w:hint="eastAsia"/>
              </w:rPr>
              <w:t>9</w:t>
            </w:r>
            <w:r>
              <w:t>、项目环境保护投资估算</w:t>
            </w:r>
          </w:p>
          <w:p>
            <w:pPr>
              <w:pStyle w:val="58"/>
              <w:keepNext w:val="0"/>
              <w:keepLines w:val="0"/>
              <w:pageBreakBefore w:val="0"/>
              <w:kinsoku/>
              <w:wordWrap/>
              <w:overflowPunct/>
              <w:topLinePunct w:val="0"/>
              <w:bidi w:val="0"/>
              <w:spacing w:beforeAutospacing="0" w:afterAutospacing="0" w:line="360" w:lineRule="auto"/>
              <w:ind w:left="0" w:leftChars="0" w:firstLine="480"/>
            </w:pPr>
            <w:r>
              <w:t>项目总投资为</w:t>
            </w:r>
            <w:r>
              <w:rPr>
                <w:rFonts w:hint="eastAsia"/>
                <w:lang w:val="en-US" w:eastAsia="zh-CN"/>
              </w:rPr>
              <w:t>5</w:t>
            </w:r>
            <w:r>
              <w:t>00万元，预计环保总投资为</w:t>
            </w:r>
            <w:r>
              <w:rPr>
                <w:rFonts w:hint="eastAsia"/>
                <w:lang w:val="en-US" w:eastAsia="zh-CN"/>
              </w:rPr>
              <w:t>69.4</w:t>
            </w:r>
            <w:r>
              <w:t>万元，占总投资的</w:t>
            </w:r>
            <w:r>
              <w:rPr>
                <w:rFonts w:hint="eastAsia"/>
                <w:lang w:val="en-US" w:eastAsia="zh-CN"/>
              </w:rPr>
              <w:t>13.9</w:t>
            </w:r>
            <w:r>
              <w:t>%。项目环保设施及投资估算详见表4-18。</w:t>
            </w:r>
          </w:p>
          <w:p>
            <w:pPr>
              <w:pStyle w:val="7"/>
              <w:keepNext w:val="0"/>
              <w:keepLines w:val="0"/>
              <w:pageBreakBefore w:val="0"/>
              <w:kinsoku/>
              <w:wordWrap/>
              <w:overflowPunct/>
              <w:topLinePunct w:val="0"/>
              <w:bidi w:val="0"/>
              <w:spacing w:beforeAutospacing="0" w:afterAutospacing="0" w:line="360" w:lineRule="auto"/>
              <w:ind w:left="0" w:leftChars="0"/>
            </w:pPr>
            <w:r>
              <w:t>表4-18  项目环境保护投资估算一览表</w:t>
            </w:r>
          </w:p>
          <w:tbl>
            <w:tblPr>
              <w:tblStyle w:val="22"/>
              <w:tblpPr w:leftFromText="180" w:rightFromText="180" w:vertAnchor="text" w:horzAnchor="margin" w:tblpXSpec="center" w:tblpY="46"/>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79"/>
              <w:gridCol w:w="926"/>
              <w:gridCol w:w="4221"/>
              <w:gridCol w:w="966"/>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90" w:type="pct"/>
                  <w:gridSpan w:val="2"/>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eastAsia"/>
                      <w:lang w:val="en-US" w:eastAsia="zh-CN"/>
                    </w:rPr>
                  </w:pPr>
                  <w:r>
                    <w:rPr>
                      <w:rFonts w:hint="eastAsia"/>
                      <w:lang w:val="en-US" w:eastAsia="zh-CN"/>
                    </w:rPr>
                    <w:t>污染源</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rPr>
                      <w:rFonts w:hint="eastAsia"/>
                      <w:lang w:val="en-US" w:eastAsia="zh-CN"/>
                    </w:rPr>
                    <w:t>主要污染物</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建设内容</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t>投资费用(万元)</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61" w:type="pct"/>
                  <w:vMerge w:val="restar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rPr>
                      <w:rFonts w:hint="eastAsia"/>
                    </w:rPr>
                    <w:t>废气</w:t>
                  </w: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default"/>
                      <w:lang w:val="en-US" w:eastAsia="zh-CN"/>
                    </w:rPr>
                  </w:pPr>
                  <w:r>
                    <w:rPr>
                      <w:rFonts w:hint="eastAsia"/>
                      <w:lang w:val="en-US" w:eastAsia="zh-CN"/>
                    </w:rPr>
                    <w:t>道路扬尘</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eastAsia="宋体"/>
                      <w:lang w:val="en-US" w:eastAsia="zh-CN"/>
                    </w:rPr>
                  </w:pPr>
                  <w:r>
                    <w:rPr>
                      <w:rFonts w:hint="eastAsia"/>
                      <w:lang w:val="en-US" w:eastAsia="zh-CN"/>
                    </w:rPr>
                    <w:t>PM</w:t>
                  </w:r>
                  <w:r>
                    <w:rPr>
                      <w:rFonts w:hint="eastAsia"/>
                      <w:vertAlign w:val="subscript"/>
                      <w:lang w:val="en-US" w:eastAsia="zh-CN"/>
                    </w:rPr>
                    <w:t>10</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lang w:val="en-US" w:eastAsia="zh-CN"/>
                    </w:rPr>
                  </w:pPr>
                  <w:r>
                    <w:rPr>
                      <w:rFonts w:hint="eastAsia"/>
                      <w:lang w:val="en-US" w:eastAsia="zh-CN"/>
                    </w:rPr>
                    <w:t>道路硬化、定期清扫、洒水</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lang w:val="en-US" w:eastAsia="zh-CN"/>
                    </w:rPr>
                  </w:pPr>
                  <w:r>
                    <w:rPr>
                      <w:rFonts w:hint="eastAsia"/>
                      <w:lang w:val="en-US" w:eastAsia="zh-CN"/>
                    </w:rPr>
                    <w:t>0.8</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61" w:type="pct"/>
                  <w:vMerge w:val="continue"/>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default"/>
                      <w:lang w:val="en-US" w:eastAsia="zh-CN"/>
                    </w:rPr>
                  </w:pPr>
                  <w:r>
                    <w:rPr>
                      <w:rFonts w:hint="eastAsia"/>
                      <w:lang w:val="en-US" w:eastAsia="zh-CN"/>
                    </w:rPr>
                    <w:t>燃油废气</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rPr>
                      <w:rFonts w:hint="eastAsia"/>
                      <w:lang w:val="en-US" w:eastAsia="zh-CN"/>
                    </w:rPr>
                    <w:t>CO、NO</w:t>
                  </w:r>
                  <w:r>
                    <w:rPr>
                      <w:rFonts w:hint="eastAsia"/>
                      <w:vertAlign w:val="subscript"/>
                      <w:lang w:val="en-US" w:eastAsia="zh-CN"/>
                    </w:rPr>
                    <w:t>X</w:t>
                  </w:r>
                  <w:r>
                    <w:rPr>
                      <w:rFonts w:hint="eastAsia"/>
                      <w:lang w:val="en-US" w:eastAsia="zh-CN"/>
                    </w:rPr>
                    <w:t>、THC</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lang w:val="en-US" w:eastAsia="zh-CN"/>
                    </w:rPr>
                  </w:pPr>
                  <w:r>
                    <w:rPr>
                      <w:rFonts w:hint="default" w:ascii="Times New Roman" w:hAnsi="Times New Roman" w:eastAsia="宋体" w:cs="Times New Roman"/>
                      <w:sz w:val="21"/>
                      <w:szCs w:val="21"/>
                      <w:u w:val="none"/>
                    </w:rPr>
                    <w:t>采用含硫量低的轻质柴油</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机械设备</w:t>
                  </w:r>
                  <w:r>
                    <w:rPr>
                      <w:rFonts w:hint="default" w:ascii="Times New Roman" w:hAnsi="Times New Roman" w:eastAsia="宋体" w:cs="Times New Roman"/>
                      <w:sz w:val="21"/>
                      <w:szCs w:val="21"/>
                      <w:u w:val="none"/>
                      <w:lang w:eastAsia="zh-CN"/>
                    </w:rPr>
                    <w:t>定期</w:t>
                  </w:r>
                  <w:r>
                    <w:rPr>
                      <w:rFonts w:hint="default" w:ascii="Times New Roman" w:hAnsi="Times New Roman" w:eastAsia="宋体" w:cs="Times New Roman"/>
                      <w:sz w:val="21"/>
                      <w:szCs w:val="21"/>
                      <w:u w:val="none"/>
                    </w:rPr>
                    <w:t>保养</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0.8</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1" w:type="pct"/>
                  <w:vMerge w:val="continue"/>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default"/>
                      <w:lang w:val="en-US" w:eastAsia="zh-CN"/>
                    </w:rPr>
                  </w:pPr>
                  <w:r>
                    <w:rPr>
                      <w:rFonts w:hint="eastAsia"/>
                      <w:lang w:val="en-US" w:eastAsia="zh-CN"/>
                    </w:rPr>
                    <w:t>有机废气</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t>NMHC</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ascii="Times New Roman" w:hAnsi="Times New Roman" w:eastAsia="宋体" w:cs="Times New Roman"/>
                      <w:kern w:val="0"/>
                      <w:sz w:val="20"/>
                      <w:szCs w:val="20"/>
                      <w:lang w:val="en-US" w:eastAsia="zh-CN" w:bidi="ar-SA"/>
                    </w:rPr>
                  </w:pPr>
                  <w:r>
                    <w:rPr>
                      <w:rFonts w:hint="eastAsia"/>
                    </w:rPr>
                    <w:t>1套负压收集+</w:t>
                  </w:r>
                  <w:r>
                    <w:rPr>
                      <w:rFonts w:hint="eastAsia"/>
                      <w:lang w:val="en-US" w:eastAsia="zh-CN"/>
                    </w:rPr>
                    <w:t>三级</w:t>
                  </w:r>
                  <w:r>
                    <w:rPr>
                      <w:rFonts w:hint="eastAsia"/>
                    </w:rPr>
                    <w:t>活性炭+</w:t>
                  </w:r>
                  <w:r>
                    <w:t>15</w:t>
                  </w:r>
                  <w:r>
                    <w:rPr>
                      <w:rFonts w:hint="eastAsia"/>
                      <w:lang w:val="en-US" w:eastAsia="zh-CN"/>
                    </w:rPr>
                    <w:t>m高</w:t>
                  </w:r>
                  <w:r>
                    <w:rPr>
                      <w:rFonts w:hint="eastAsia"/>
                    </w:rPr>
                    <w:t>排气筒，风机风量</w:t>
                  </w:r>
                  <w:r>
                    <w:rPr>
                      <w:rFonts w:hint="eastAsia"/>
                      <w:lang w:val="en-US" w:eastAsia="zh-CN"/>
                    </w:rPr>
                    <w:t>75</w:t>
                  </w:r>
                  <w:r>
                    <w:t>00m</w:t>
                  </w:r>
                  <w:r>
                    <w:rPr>
                      <w:vertAlign w:val="superscript"/>
                    </w:rPr>
                    <w:t>3</w:t>
                  </w:r>
                  <w:r>
                    <w:rPr>
                      <w:rFonts w:hint="eastAsia"/>
                    </w:rPr>
                    <w:t>/h</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rPr>
                      <w:rFonts w:hint="eastAsia"/>
                      <w:lang w:val="en-US" w:eastAsia="zh-CN"/>
                    </w:rPr>
                    <w:t>15</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61"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rPr>
                      <w:rFonts w:hint="eastAsia"/>
                    </w:rPr>
                    <w:t>废水</w:t>
                  </w: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eastAsia"/>
                    </w:rPr>
                  </w:pPr>
                  <w:r>
                    <w:rPr>
                      <w:rFonts w:hint="default" w:ascii="Times New Roman" w:hAnsi="Times New Roman" w:eastAsia="宋体" w:cs="Times New Roman"/>
                      <w:szCs w:val="21"/>
                      <w:u w:val="none"/>
                    </w:rPr>
                    <w:t>生活</w:t>
                  </w:r>
                  <w:r>
                    <w:rPr>
                      <w:rFonts w:hint="eastAsia" w:ascii="Times New Roman" w:hAnsi="Times New Roman" w:eastAsia="宋体" w:cs="Times New Roman"/>
                      <w:szCs w:val="21"/>
                      <w:u w:val="none"/>
                      <w:lang w:val="en-US" w:eastAsia="zh-CN"/>
                    </w:rPr>
                    <w:t>污</w:t>
                  </w:r>
                  <w:r>
                    <w:rPr>
                      <w:rFonts w:hint="default" w:ascii="Times New Roman" w:hAnsi="Times New Roman" w:eastAsia="宋体" w:cs="Times New Roman"/>
                      <w:szCs w:val="21"/>
                      <w:u w:val="none"/>
                    </w:rPr>
                    <w:t>水</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eastAsia"/>
                      <w:lang w:val="en-US" w:eastAsia="zh-CN"/>
                    </w:rPr>
                  </w:pPr>
                  <w:r>
                    <w:rPr>
                      <w:rFonts w:hint="default" w:ascii="Times New Roman" w:hAnsi="Times New Roman" w:eastAsia="宋体" w:cs="Times New Roman"/>
                      <w:szCs w:val="21"/>
                      <w:u w:val="none"/>
                    </w:rPr>
                    <w:t>COD、BOD、</w:t>
                  </w:r>
                  <w:r>
                    <w:rPr>
                      <w:rFonts w:hint="default" w:ascii="Times New Roman" w:hAnsi="Times New Roman" w:eastAsia="宋体" w:cs="Times New Roman"/>
                      <w:szCs w:val="21"/>
                      <w:u w:val="none"/>
                      <w:lang w:val="en-US" w:eastAsia="zh-CN"/>
                    </w:rPr>
                    <w:t>NH</w:t>
                  </w:r>
                  <w:r>
                    <w:rPr>
                      <w:rFonts w:hint="default" w:ascii="Times New Roman" w:hAnsi="Times New Roman" w:eastAsia="宋体" w:cs="Times New Roman"/>
                      <w:szCs w:val="21"/>
                      <w:u w:val="none"/>
                      <w:vertAlign w:val="subscript"/>
                      <w:lang w:val="en-US" w:eastAsia="zh-CN"/>
                    </w:rPr>
                    <w:t>3</w:t>
                  </w:r>
                  <w:r>
                    <w:rPr>
                      <w:rFonts w:hint="default" w:ascii="Times New Roman" w:hAnsi="Times New Roman" w:eastAsia="宋体" w:cs="Times New Roman"/>
                      <w:szCs w:val="21"/>
                      <w:u w:val="none"/>
                      <w:lang w:val="en-US" w:eastAsia="zh-CN"/>
                    </w:rPr>
                    <w:t>-N</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ascii="Times New Roman" w:hAnsi="Times New Roman" w:eastAsia="宋体" w:cs="Times New Roman"/>
                      <w:kern w:val="0"/>
                      <w:sz w:val="20"/>
                      <w:szCs w:val="20"/>
                      <w:lang w:val="en-US" w:eastAsia="zh-CN" w:bidi="ar-SA"/>
                    </w:rPr>
                  </w:pPr>
                  <w:r>
                    <w:rPr>
                      <w:rFonts w:hint="eastAsia"/>
                      <w:lang w:val="en-US" w:eastAsia="zh-CN"/>
                    </w:rPr>
                    <w:t>生活污水经化粪池处理后排入园区污水管网</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ascii="Times New Roman" w:hAnsi="Times New Roman" w:eastAsia="宋体" w:cs="Times New Roman"/>
                      <w:kern w:val="0"/>
                      <w:sz w:val="20"/>
                      <w:szCs w:val="20"/>
                      <w:lang w:val="zh-CN" w:eastAsia="zh-CN" w:bidi="ar-SA"/>
                    </w:rPr>
                  </w:pPr>
                  <w:r>
                    <w:t>0.</w:t>
                  </w:r>
                  <w:r>
                    <w:rPr>
                      <w:rFonts w:hint="eastAsia"/>
                      <w:lang w:val="en-US" w:eastAsia="zh-CN"/>
                    </w:rPr>
                    <w:t>5</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1" w:type="pct"/>
                  <w:vMerge w:val="restar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pPr>
                  <w:r>
                    <w:rPr>
                      <w:rFonts w:hint="eastAsia"/>
                    </w:rPr>
                    <w:t>固废</w:t>
                  </w: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eastAsia"/>
                    </w:rPr>
                  </w:pPr>
                  <w:r>
                    <w:rPr>
                      <w:rFonts w:hint="eastAsia"/>
                    </w:rPr>
                    <w:t>生活垃圾</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default"/>
                      <w:lang w:val="en-US" w:eastAsia="zh-CN"/>
                    </w:rPr>
                  </w:pPr>
                  <w:r>
                    <w:rPr>
                      <w:rFonts w:hint="eastAsia"/>
                      <w:lang w:val="en-US" w:eastAsia="zh-CN"/>
                    </w:rPr>
                    <w:t>日用品</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ascii="Times New Roman" w:hAnsi="Times New Roman" w:eastAsia="宋体" w:cs="Times New Roman"/>
                      <w:kern w:val="0"/>
                      <w:sz w:val="20"/>
                      <w:szCs w:val="20"/>
                      <w:lang w:val="en-US" w:eastAsia="zh-CN" w:bidi="ar-SA"/>
                    </w:rPr>
                  </w:pPr>
                  <w:r>
                    <w:rPr>
                      <w:rFonts w:hint="eastAsia"/>
                      <w:lang w:val="en-US" w:eastAsia="zh-CN"/>
                    </w:rPr>
                    <w:t>用</w:t>
                  </w:r>
                  <w:r>
                    <w:rPr>
                      <w:rFonts w:hint="eastAsia"/>
                    </w:rPr>
                    <w:t>垃圾桶</w:t>
                  </w:r>
                  <w:r>
                    <w:rPr>
                      <w:rFonts w:hint="default" w:ascii="Times New Roman" w:hAnsi="Times New Roman" w:eastAsia="宋体" w:cs="Times New Roman"/>
                      <w:szCs w:val="21"/>
                      <w:u w:val="none"/>
                    </w:rPr>
                    <w:t>收集后，由环卫部门及时清运处置</w:t>
                  </w:r>
                </w:p>
              </w:tc>
              <w:tc>
                <w:tcPr>
                  <w:tcW w:w="609" w:type="pct"/>
                  <w:vMerge w:val="restar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ascii="Times New Roman" w:hAnsi="Times New Roman" w:eastAsia="宋体" w:cs="Times New Roman"/>
                      <w:kern w:val="0"/>
                      <w:sz w:val="20"/>
                      <w:szCs w:val="20"/>
                      <w:lang w:val="en-US" w:eastAsia="zh-CN" w:bidi="ar-SA"/>
                    </w:rPr>
                  </w:pPr>
                  <w:r>
                    <w:rPr>
                      <w:rFonts w:hint="eastAsia" w:cs="Times New Roman"/>
                      <w:kern w:val="0"/>
                      <w:sz w:val="20"/>
                      <w:szCs w:val="20"/>
                      <w:lang w:val="en-US" w:eastAsia="zh-CN" w:bidi="ar-SA"/>
                    </w:rPr>
                    <w:t>10</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61" w:type="pct"/>
                  <w:vMerge w:val="continue"/>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default"/>
                      <w:lang w:val="en-US" w:eastAsia="zh-CN"/>
                    </w:rPr>
                  </w:pPr>
                  <w:r>
                    <w:rPr>
                      <w:rFonts w:hint="eastAsia"/>
                      <w:lang w:val="en-US" w:eastAsia="zh-CN"/>
                    </w:rPr>
                    <w:t>自产</w:t>
                  </w:r>
                  <w:r>
                    <w:rPr>
                      <w:rFonts w:hint="eastAsia"/>
                    </w:rPr>
                    <w:t>危险废物</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center"/>
                    <w:rPr>
                      <w:rFonts w:hint="eastAsia"/>
                      <w:lang w:val="en-US" w:eastAsia="zh-CN"/>
                    </w:rPr>
                  </w:pPr>
                  <w:r>
                    <w:rPr>
                      <w:rFonts w:hint="eastAsia"/>
                      <w:lang w:val="en-US" w:eastAsia="zh-CN"/>
                    </w:rPr>
                    <w:t>废抹布、手套</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lang w:val="en-US" w:eastAsia="zh-CN"/>
                    </w:rPr>
                  </w:pPr>
                  <w:r>
                    <w:rPr>
                      <w:rFonts w:hint="default" w:ascii="Times New Roman" w:hAnsi="Times New Roman" w:eastAsia="宋体" w:cs="Times New Roman"/>
                      <w:szCs w:val="21"/>
                      <w:u w:val="none"/>
                    </w:rPr>
                    <w:t>采用袋或桶装，</w:t>
                  </w:r>
                  <w:r>
                    <w:rPr>
                      <w:rFonts w:hint="default" w:ascii="Times New Roman" w:hAnsi="Times New Roman" w:eastAsia="宋体" w:cs="Times New Roman"/>
                      <w:szCs w:val="24"/>
                      <w:u w:val="none"/>
                    </w:rPr>
                    <w:t>暂存在</w:t>
                  </w:r>
                  <w:r>
                    <w:rPr>
                      <w:rFonts w:hint="eastAsia" w:ascii="Times New Roman" w:hAnsi="Times New Roman" w:eastAsia="宋体" w:cs="Times New Roman"/>
                      <w:szCs w:val="24"/>
                      <w:u w:val="none"/>
                      <w:lang w:val="en-US" w:eastAsia="zh-CN"/>
                    </w:rPr>
                    <w:t>相应</w:t>
                  </w:r>
                  <w:r>
                    <w:rPr>
                      <w:rFonts w:hint="default" w:ascii="Times New Roman" w:hAnsi="Times New Roman" w:eastAsia="宋体" w:cs="Times New Roman"/>
                      <w:szCs w:val="24"/>
                      <w:u w:val="none"/>
                    </w:rPr>
                    <w:t>危险废物储存区内，定期交由资质单位处置</w:t>
                  </w:r>
                </w:p>
              </w:tc>
              <w:tc>
                <w:tcPr>
                  <w:tcW w:w="609" w:type="pct"/>
                  <w:vMerge w:val="continue"/>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1" w:type="pct"/>
                  <w:vMerge w:val="continue"/>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c>
                <w:tcPr>
                  <w:tcW w:w="428"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eastAsia"/>
                    </w:rPr>
                  </w:pPr>
                  <w:r>
                    <w:rPr>
                      <w:rFonts w:hint="eastAsia"/>
                    </w:rPr>
                    <w:t>危险废物</w:t>
                  </w:r>
                </w:p>
              </w:tc>
              <w:tc>
                <w:tcPr>
                  <w:tcW w:w="58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default"/>
                      <w:lang w:val="en-US" w:eastAsia="zh-CN"/>
                    </w:rPr>
                  </w:pPr>
                  <w:r>
                    <w:rPr>
                      <w:rFonts w:hint="eastAsia"/>
                      <w:lang w:val="en-US" w:eastAsia="zh-CN"/>
                    </w:rPr>
                    <w:t>收集的各类危险废物</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hint="eastAsia" w:ascii="Times New Roman" w:hAnsi="Times New Roman" w:eastAsia="宋体" w:cs="Times New Roman"/>
                      <w:kern w:val="0"/>
                      <w:sz w:val="20"/>
                      <w:szCs w:val="20"/>
                      <w:lang w:val="en-US" w:eastAsia="zh-CN" w:bidi="ar-SA"/>
                    </w:rPr>
                  </w:pPr>
                  <w:r>
                    <w:rPr>
                      <w:rFonts w:hint="default" w:ascii="Times New Roman" w:hAnsi="Times New Roman" w:eastAsia="宋体" w:cs="Times New Roman"/>
                      <w:szCs w:val="21"/>
                      <w:u w:val="none"/>
                    </w:rPr>
                    <w:t>暂存于</w:t>
                  </w:r>
                  <w:r>
                    <w:rPr>
                      <w:rFonts w:hint="eastAsia" w:ascii="Times New Roman" w:hAnsi="Times New Roman" w:eastAsia="宋体" w:cs="Times New Roman"/>
                      <w:szCs w:val="21"/>
                      <w:u w:val="none"/>
                      <w:lang w:val="en-US" w:eastAsia="zh-CN"/>
                    </w:rPr>
                    <w:t>各贮存</w:t>
                  </w:r>
                  <w:r>
                    <w:rPr>
                      <w:rFonts w:hint="default" w:ascii="Times New Roman" w:hAnsi="Times New Roman" w:eastAsia="宋体" w:cs="Times New Roman"/>
                      <w:szCs w:val="21"/>
                      <w:u w:val="none"/>
                    </w:rPr>
                    <w:t>区，送有资质单位处置。厂房和存储区应满足 GB 18597-2001 要求：基础应防渗，防渗层为至少1m 厚粘土层（渗透系数≤10-7cm/s），或 2mm 厚高密度聚乙烯，或至少2mm 厚其它人工材料，渗透系数≤10-10cm/s；地面与围堰要用坚固、防渗的材料建造；防渗漏、防腐措施</w:t>
                  </w:r>
                </w:p>
              </w:tc>
              <w:tc>
                <w:tcPr>
                  <w:tcW w:w="609" w:type="pct"/>
                  <w:vMerge w:val="continue"/>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ascii="Times New Roman" w:hAnsi="Times New Roman" w:eastAsia="宋体" w:cs="Times New Roman"/>
                      <w:kern w:val="0"/>
                      <w:sz w:val="20"/>
                      <w:szCs w:val="20"/>
                      <w:lang w:val="zh-CN" w:eastAsia="zh-CN" w:bidi="ar-SA"/>
                    </w:rPr>
                  </w:pP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firstLine="0" w:firstLineChars="0"/>
                    <w:jc w:val="both"/>
                    <w:rPr>
                      <w:rFonts w:ascii="Times New Roman" w:hAnsi="Times New Roman" w:eastAsia="宋体" w:cs="Times New Roman"/>
                      <w:kern w:val="0"/>
                      <w:sz w:val="20"/>
                      <w:szCs w:val="20"/>
                      <w:lang w:val="zh-CN" w:eastAsia="zh-CN" w:bidi="ar-SA"/>
                    </w:rPr>
                  </w:pPr>
                  <w:r>
                    <w:rPr>
                      <w:rFonts w:hint="eastAsia"/>
                    </w:rPr>
                    <w:t>属于主体建设内容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5" w:type="pct"/>
                  <w:gridSpan w:val="3"/>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r>
                    <w:rPr>
                      <w:rFonts w:hint="eastAsia"/>
                    </w:rPr>
                    <w:t>噪声</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r>
                    <w:rPr>
                      <w:rFonts w:hint="eastAsia"/>
                    </w:rPr>
                    <w:t>基础减振、厂房隔声、合理布局</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1.5</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275" w:type="pct"/>
                  <w:gridSpan w:val="3"/>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r>
                    <w:rPr>
                      <w:rFonts w:hint="eastAsia"/>
                    </w:rPr>
                    <w:t>风险</w:t>
                  </w:r>
                  <w:r>
                    <w:rPr>
                      <w:rFonts w:hint="eastAsia"/>
                      <w:lang w:val="en-US" w:eastAsia="zh-CN"/>
                    </w:rPr>
                    <w:t>防范</w:t>
                  </w:r>
                </w:p>
              </w:tc>
              <w:tc>
                <w:tcPr>
                  <w:tcW w:w="2664"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r>
                    <w:rPr>
                      <w:rFonts w:hint="eastAsia" w:ascii="Times New Roman" w:hAnsi="Times New Roman" w:eastAsia="宋体" w:cs="Times New Roman"/>
                      <w:szCs w:val="21"/>
                      <w:u w:val="none"/>
                      <w:lang w:val="en-US" w:eastAsia="zh-CN"/>
                    </w:rPr>
                    <w:t>各贮存区</w:t>
                  </w:r>
                  <w:r>
                    <w:rPr>
                      <w:rFonts w:hint="default" w:ascii="Times New Roman" w:hAnsi="Times New Roman" w:eastAsia="宋体" w:cs="Times New Roman"/>
                      <w:szCs w:val="21"/>
                      <w:u w:val="none"/>
                    </w:rPr>
                    <w:t>修建导流沟、围堰</w:t>
                  </w:r>
                  <w:r>
                    <w:rPr>
                      <w:rFonts w:hint="eastAsia" w:ascii="Times New Roman" w:hAnsi="Times New Roman" w:eastAsia="宋体" w:cs="Times New Roman"/>
                      <w:szCs w:val="21"/>
                      <w:u w:val="none"/>
                      <w:lang w:eastAsia="zh-CN"/>
                    </w:rPr>
                    <w:t>、</w:t>
                  </w:r>
                  <w:r>
                    <w:rPr>
                      <w:rFonts w:hint="eastAsia"/>
                    </w:rPr>
                    <w:t>收集池</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lang w:val="en-US" w:eastAsia="zh-CN"/>
                    </w:rPr>
                    <w:t>易燃危险废物旁设置</w:t>
                  </w:r>
                  <w:r>
                    <w:rPr>
                      <w:rFonts w:hint="eastAsia" w:cs="Times New Roman"/>
                      <w:szCs w:val="21"/>
                      <w:u w:val="none"/>
                      <w:lang w:val="en-US" w:eastAsia="zh-CN"/>
                    </w:rPr>
                    <w:t>1</w:t>
                  </w:r>
                  <w:r>
                    <w:rPr>
                      <w:rFonts w:hint="eastAsia" w:ascii="Times New Roman" w:hAnsi="Times New Roman" w:eastAsia="宋体" w:cs="Times New Roman"/>
                      <w:szCs w:val="21"/>
                      <w:u w:val="none"/>
                      <w:lang w:val="en-US" w:eastAsia="zh-CN"/>
                    </w:rPr>
                    <w:t>座</w:t>
                  </w:r>
                  <w:r>
                    <w:rPr>
                      <w:rFonts w:hint="eastAsia"/>
                      <w:lang w:val="en-US" w:eastAsia="zh-CN"/>
                    </w:rPr>
                    <w:t>消防水池</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lang w:val="en-US" w:eastAsia="zh-CN"/>
                    </w:rPr>
                    <w:t>厂区</w:t>
                  </w:r>
                  <w:r>
                    <w:rPr>
                      <w:rFonts w:hint="default" w:ascii="Times New Roman" w:hAnsi="Times New Roman" w:eastAsia="宋体" w:cs="Times New Roman"/>
                      <w:szCs w:val="21"/>
                      <w:u w:val="none"/>
                    </w:rPr>
                    <w:t>设置</w:t>
                  </w:r>
                  <w:r>
                    <w:rPr>
                      <w:rFonts w:hint="eastAsia" w:ascii="Times New Roman" w:hAnsi="Times New Roman" w:eastAsia="宋体" w:cs="Times New Roman"/>
                      <w:szCs w:val="21"/>
                      <w:u w:val="none"/>
                      <w:lang w:val="en-US" w:eastAsia="zh-CN"/>
                    </w:rPr>
                    <w:t>1座</w:t>
                  </w:r>
                  <w:r>
                    <w:rPr>
                      <w:rFonts w:hint="default" w:ascii="Times New Roman" w:hAnsi="Times New Roman" w:eastAsia="宋体" w:cs="Times New Roman"/>
                      <w:szCs w:val="21"/>
                      <w:u w:val="none"/>
                    </w:rPr>
                    <w:t>事故</w:t>
                  </w:r>
                  <w:r>
                    <w:rPr>
                      <w:rFonts w:hint="eastAsia" w:ascii="Times New Roman" w:hAnsi="Times New Roman" w:eastAsia="宋体" w:cs="Times New Roman"/>
                      <w:szCs w:val="21"/>
                      <w:u w:val="none"/>
                      <w:lang w:val="en-US" w:eastAsia="zh-CN"/>
                    </w:rPr>
                    <w:t>应急</w:t>
                  </w:r>
                  <w:r>
                    <w:rPr>
                      <w:rFonts w:hint="default" w:ascii="Times New Roman" w:hAnsi="Times New Roman" w:eastAsia="宋体" w:cs="Times New Roman"/>
                      <w:szCs w:val="21"/>
                      <w:u w:val="none"/>
                    </w:rPr>
                    <w:t>池</w:t>
                  </w:r>
                  <w:r>
                    <w:rPr>
                      <w:rFonts w:hint="eastAsia" w:ascii="Times New Roman" w:hAnsi="Times New Roman" w:eastAsia="宋体" w:cs="Times New Roman"/>
                      <w:szCs w:val="21"/>
                      <w:u w:val="none"/>
                      <w:lang w:eastAsia="zh-CN"/>
                    </w:rPr>
                    <w:t>，</w:t>
                  </w:r>
                  <w:r>
                    <w:rPr>
                      <w:rFonts w:hint="default" w:ascii="Times New Roman" w:hAnsi="Times New Roman" w:eastAsia="宋体" w:cs="Times New Roman"/>
                      <w:szCs w:val="21"/>
                      <w:u w:val="none"/>
                    </w:rPr>
                    <w:t>各</w:t>
                  </w:r>
                  <w:r>
                    <w:rPr>
                      <w:rFonts w:hint="eastAsia" w:ascii="Times New Roman" w:hAnsi="Times New Roman" w:eastAsia="宋体" w:cs="Times New Roman"/>
                      <w:szCs w:val="21"/>
                      <w:u w:val="none"/>
                      <w:lang w:val="en-US" w:eastAsia="zh-CN"/>
                    </w:rPr>
                    <w:t>贮存</w:t>
                  </w:r>
                  <w:r>
                    <w:rPr>
                      <w:rFonts w:hint="default" w:ascii="Times New Roman" w:hAnsi="Times New Roman" w:eastAsia="宋体" w:cs="Times New Roman"/>
                      <w:szCs w:val="21"/>
                      <w:u w:val="none"/>
                    </w:rPr>
                    <w:t>区地面、围堰和事故</w:t>
                  </w:r>
                  <w:r>
                    <w:rPr>
                      <w:rFonts w:hint="eastAsia" w:ascii="Times New Roman" w:hAnsi="Times New Roman" w:eastAsia="宋体" w:cs="Times New Roman"/>
                      <w:szCs w:val="21"/>
                      <w:u w:val="none"/>
                      <w:lang w:val="en-US" w:eastAsia="zh-CN"/>
                    </w:rPr>
                    <w:t>应急</w:t>
                  </w:r>
                  <w:r>
                    <w:rPr>
                      <w:rFonts w:hint="default" w:ascii="Times New Roman" w:hAnsi="Times New Roman" w:eastAsia="宋体" w:cs="Times New Roman"/>
                      <w:szCs w:val="21"/>
                      <w:u w:val="none"/>
                    </w:rPr>
                    <w:t>池均做防腐防渗处理，厂区内设置标识标牌、消防沙池、消防桶、消防铲、泡沫灭火器</w:t>
                  </w:r>
                  <w:r>
                    <w:rPr>
                      <w:rFonts w:hint="eastAsia" w:ascii="Times New Roman" w:hAnsi="Times New Roman" w:eastAsia="宋体" w:cs="Times New Roman"/>
                      <w:szCs w:val="21"/>
                      <w:u w:val="none"/>
                      <w:lang w:eastAsia="zh-CN"/>
                    </w:rPr>
                    <w:t>，厂区配套监控报警系统、</w:t>
                  </w:r>
                  <w:r>
                    <w:rPr>
                      <w:rFonts w:hint="eastAsia"/>
                    </w:rPr>
                    <w:t>有机废气泄露报警装置、火灾报警装置</w:t>
                  </w:r>
                  <w:r>
                    <w:rPr>
                      <w:rFonts w:hint="eastAsia" w:ascii="Times New Roman" w:hAnsi="Times New Roman" w:eastAsia="宋体" w:cs="Times New Roman"/>
                      <w:szCs w:val="21"/>
                      <w:u w:val="none"/>
                      <w:lang w:eastAsia="zh-CN"/>
                    </w:rPr>
                    <w:t>，建立完善的预防措施方案，编制突发环境事件应急预案等</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30</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75" w:type="pct"/>
                  <w:gridSpan w:val="3"/>
                  <w:vAlign w:val="center"/>
                </w:tcPr>
                <w:p>
                  <w:pPr>
                    <w:keepNext w:val="0"/>
                    <w:keepLines w:val="0"/>
                    <w:pageBreakBefore w:val="0"/>
                    <w:widowControl/>
                    <w:kinsoku/>
                    <w:wordWrap/>
                    <w:overflowPunct/>
                    <w:topLinePunct w:val="0"/>
                    <w:bidi w:val="0"/>
                    <w:snapToGrid w:val="0"/>
                    <w:spacing w:beforeAutospacing="0" w:afterAutospacing="0" w:line="360" w:lineRule="auto"/>
                    <w:ind w:left="0" w:leftChars="0"/>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szCs w:val="21"/>
                      <w:u w:val="none"/>
                      <w:lang w:eastAsia="zh-CN"/>
                    </w:rPr>
                    <w:t>生态环境</w:t>
                  </w:r>
                </w:p>
              </w:tc>
              <w:tc>
                <w:tcPr>
                  <w:tcW w:w="2664"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ascii="Times New Roman" w:hAnsi="Times New Roman" w:eastAsia="宋体" w:cs="Times New Roman"/>
                      <w:spacing w:val="4"/>
                      <w:kern w:val="2"/>
                      <w:sz w:val="21"/>
                      <w:szCs w:val="21"/>
                      <w:u w:val="none"/>
                      <w:lang w:val="en-US" w:eastAsia="zh-CN" w:bidi="ar-SA"/>
                    </w:rPr>
                  </w:pPr>
                  <w:r>
                    <w:rPr>
                      <w:rFonts w:hint="eastAsia" w:ascii="Times New Roman" w:hAnsi="Times New Roman" w:eastAsia="宋体" w:cs="Times New Roman"/>
                      <w:spacing w:val="4"/>
                      <w:szCs w:val="21"/>
                      <w:u w:val="none"/>
                      <w:lang w:val="en-US" w:eastAsia="zh-CN"/>
                    </w:rPr>
                    <w:t>厂区绿化</w:t>
                  </w:r>
                </w:p>
              </w:tc>
              <w:tc>
                <w:tcPr>
                  <w:tcW w:w="609" w:type="pc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0.8</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75" w:type="pct"/>
                  <w:gridSpan w:val="3"/>
                  <w:vAlign w:val="center"/>
                </w:tcPr>
                <w:p>
                  <w:pPr>
                    <w:keepNext w:val="0"/>
                    <w:keepLines w:val="0"/>
                    <w:pageBreakBefore w:val="0"/>
                    <w:widowControl/>
                    <w:kinsoku/>
                    <w:wordWrap/>
                    <w:overflowPunct/>
                    <w:topLinePunct w:val="0"/>
                    <w:bidi w:val="0"/>
                    <w:snapToGrid w:val="0"/>
                    <w:spacing w:beforeAutospacing="0" w:afterAutospacing="0" w:line="360" w:lineRule="auto"/>
                    <w:ind w:left="0" w:left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szCs w:val="21"/>
                      <w:u w:val="none"/>
                      <w:lang w:eastAsia="zh-CN"/>
                    </w:rPr>
                    <w:t>危废贮存</w:t>
                  </w:r>
                  <w:r>
                    <w:rPr>
                      <w:rFonts w:hint="eastAsia" w:ascii="Times New Roman" w:hAnsi="Times New Roman" w:eastAsia="宋体" w:cs="Times New Roman"/>
                      <w:szCs w:val="21"/>
                      <w:u w:val="none"/>
                      <w:lang w:val="en-US" w:eastAsia="zh-CN"/>
                    </w:rPr>
                    <w:t>容器</w:t>
                  </w:r>
                </w:p>
              </w:tc>
              <w:tc>
                <w:tcPr>
                  <w:tcW w:w="2664"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ascii="Times New Roman" w:hAnsi="Times New Roman" w:eastAsia="宋体" w:cs="Times New Roman"/>
                      <w:spacing w:val="4"/>
                      <w:kern w:val="2"/>
                      <w:sz w:val="21"/>
                      <w:szCs w:val="21"/>
                      <w:u w:val="none"/>
                      <w:lang w:val="en-US" w:eastAsia="zh-CN" w:bidi="ar-SA"/>
                    </w:rPr>
                  </w:pPr>
                  <w:r>
                    <w:rPr>
                      <w:rFonts w:hint="eastAsia" w:ascii="Times New Roman" w:hAnsi="Times New Roman" w:eastAsia="宋体" w:cs="Times New Roman"/>
                      <w:spacing w:val="4"/>
                      <w:szCs w:val="21"/>
                      <w:u w:val="none"/>
                      <w:lang w:val="en-US" w:eastAsia="zh-CN"/>
                    </w:rPr>
                    <w:t>办理危废收集许可证，各种包装袋、收集桶，委托有资质单位收集等</w:t>
                  </w:r>
                </w:p>
              </w:tc>
              <w:tc>
                <w:tcPr>
                  <w:tcW w:w="609" w:type="pct"/>
                  <w:vMerge w:val="restart"/>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10</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75" w:type="pct"/>
                  <w:gridSpan w:val="3"/>
                  <w:vAlign w:val="center"/>
                </w:tcPr>
                <w:p>
                  <w:pPr>
                    <w:keepNext w:val="0"/>
                    <w:keepLines w:val="0"/>
                    <w:pageBreakBefore w:val="0"/>
                    <w:widowControl/>
                    <w:kinsoku/>
                    <w:wordWrap/>
                    <w:overflowPunct/>
                    <w:topLinePunct w:val="0"/>
                    <w:bidi w:val="0"/>
                    <w:snapToGrid w:val="0"/>
                    <w:spacing w:beforeAutospacing="0" w:afterAutospacing="0" w:line="360" w:lineRule="auto"/>
                    <w:ind w:left="0" w:leftChars="0"/>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szCs w:val="21"/>
                      <w:u w:val="none"/>
                      <w:lang w:eastAsia="zh-CN"/>
                    </w:rPr>
                    <w:t>危废运输</w:t>
                  </w:r>
                </w:p>
              </w:tc>
              <w:tc>
                <w:tcPr>
                  <w:tcW w:w="2664" w:type="pct"/>
                  <w:shd w:val="clear" w:color="auto" w:fill="auto"/>
                  <w:vAlign w:val="center"/>
                </w:tcPr>
                <w:p>
                  <w:pPr>
                    <w:keepNext w:val="0"/>
                    <w:keepLines w:val="0"/>
                    <w:pageBreakBefore w:val="0"/>
                    <w:kinsoku/>
                    <w:wordWrap/>
                    <w:overflowPunct/>
                    <w:topLinePunct w:val="0"/>
                    <w:bidi w:val="0"/>
                    <w:spacing w:beforeAutospacing="0" w:afterAutospacing="0" w:line="360" w:lineRule="auto"/>
                    <w:ind w:left="0" w:leftChars="0"/>
                    <w:jc w:val="center"/>
                    <w:rPr>
                      <w:rFonts w:hint="default" w:ascii="Times New Roman" w:hAnsi="Times New Roman" w:eastAsia="宋体" w:cs="Times New Roman"/>
                      <w:spacing w:val="4"/>
                      <w:kern w:val="2"/>
                      <w:sz w:val="21"/>
                      <w:szCs w:val="21"/>
                      <w:u w:val="none"/>
                      <w:lang w:val="en-US" w:eastAsia="zh-CN" w:bidi="ar-SA"/>
                    </w:rPr>
                  </w:pPr>
                  <w:r>
                    <w:rPr>
                      <w:rFonts w:hint="eastAsia" w:ascii="Times New Roman" w:hAnsi="Times New Roman" w:eastAsia="宋体" w:cs="Times New Roman"/>
                      <w:spacing w:val="4"/>
                      <w:szCs w:val="21"/>
                      <w:u w:val="none"/>
                      <w:lang w:val="en-US" w:eastAsia="zh-CN"/>
                    </w:rPr>
                    <w:t>配备与运输的危险货物性质相适应的安全防护、环境保护和消防设施设备</w:t>
                  </w:r>
                </w:p>
              </w:tc>
              <w:tc>
                <w:tcPr>
                  <w:tcW w:w="609" w:type="pct"/>
                  <w:vMerge w:val="continue"/>
                  <w:shd w:val="clear" w:color="auto" w:fill="auto"/>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eastAsia"/>
                    </w:rPr>
                  </w:pP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939" w:type="pct"/>
                  <w:gridSpan w:val="4"/>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r>
                    <w:t>合计</w:t>
                  </w:r>
                </w:p>
              </w:tc>
              <w:tc>
                <w:tcPr>
                  <w:tcW w:w="609"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rPr>
                      <w:rFonts w:hint="default" w:eastAsia="宋体"/>
                      <w:lang w:val="en-US" w:eastAsia="zh-CN"/>
                    </w:rPr>
                  </w:pPr>
                  <w:r>
                    <w:rPr>
                      <w:rFonts w:hint="eastAsia"/>
                      <w:lang w:val="en-US" w:eastAsia="zh-CN"/>
                    </w:rPr>
                    <w:t>69.4</w:t>
                  </w:r>
                </w:p>
              </w:tc>
              <w:tc>
                <w:tcPr>
                  <w:tcW w:w="450" w:type="pct"/>
                  <w:vAlign w:val="center"/>
                </w:tcPr>
                <w:p>
                  <w:pPr>
                    <w:pStyle w:val="49"/>
                    <w:keepNext w:val="0"/>
                    <w:keepLines w:val="0"/>
                    <w:pageBreakBefore w:val="0"/>
                    <w:kinsoku/>
                    <w:wordWrap/>
                    <w:overflowPunct/>
                    <w:topLinePunct w:val="0"/>
                    <w:bidi w:val="0"/>
                    <w:spacing w:before="0" w:beforeAutospacing="0" w:after="0" w:afterAutospacing="0" w:line="360" w:lineRule="auto"/>
                    <w:ind w:left="0" w:leftChars="0"/>
                    <w:jc w:val="center"/>
                  </w:pPr>
                </w:p>
              </w:tc>
            </w:tr>
          </w:tbl>
          <w:p>
            <w:pPr>
              <w:pStyle w:val="91"/>
              <w:keepNext w:val="0"/>
              <w:keepLines w:val="0"/>
              <w:pageBreakBefore w:val="0"/>
              <w:widowControl w:val="0"/>
              <w:kinsoku/>
              <w:wordWrap/>
              <w:overflowPunct/>
              <w:topLinePunct w:val="0"/>
              <w:autoSpaceDE/>
              <w:autoSpaceDN/>
              <w:bidi w:val="0"/>
              <w:adjustRightInd w:val="0"/>
              <w:snapToGrid w:val="0"/>
              <w:spacing w:beforeAutospacing="0" w:afterLines="0" w:afterAutospacing="0" w:line="360" w:lineRule="auto"/>
              <w:ind w:left="0" w:leftChars="0"/>
              <w:jc w:val="both"/>
              <w:textAlignment w:val="baseline"/>
            </w:pPr>
            <w:r>
              <w:rPr>
                <w:rFonts w:hint="eastAsia" w:ascii="Times New Roman" w:hAnsi="Times New Roman" w:eastAsia="宋体" w:cs="Times New Roman"/>
                <w:sz w:val="24"/>
                <w:szCs w:val="24"/>
                <w:u w:val="none"/>
                <w:lang w:val="en-US"/>
              </w:rPr>
              <w:t>项目各项环保工程投资约</w:t>
            </w:r>
            <w:r>
              <w:rPr>
                <w:rFonts w:hint="eastAsia" w:ascii="Times New Roman" w:hAnsi="Times New Roman" w:eastAsia="宋体" w:cs="Times New Roman"/>
                <w:sz w:val="24"/>
                <w:szCs w:val="24"/>
                <w:u w:val="none"/>
                <w:lang w:val="en-US" w:eastAsia="zh-CN"/>
              </w:rPr>
              <w:t>69.4</w:t>
            </w:r>
            <w:r>
              <w:rPr>
                <w:rFonts w:hint="eastAsia" w:ascii="Times New Roman" w:hAnsi="Times New Roman" w:eastAsia="宋体" w:cs="Times New Roman"/>
                <w:sz w:val="24"/>
                <w:szCs w:val="24"/>
                <w:u w:val="none"/>
                <w:lang w:val="en-US"/>
              </w:rPr>
              <w:t>万元，占项目总投资的</w:t>
            </w:r>
            <w:r>
              <w:rPr>
                <w:rFonts w:hint="eastAsia" w:eastAsia="宋体" w:cs="Times New Roman"/>
                <w:sz w:val="24"/>
                <w:szCs w:val="24"/>
                <w:u w:val="none"/>
                <w:lang w:val="en-US" w:eastAsia="zh-CN"/>
              </w:rPr>
              <w:t>13.9</w:t>
            </w:r>
            <w:r>
              <w:rPr>
                <w:rFonts w:hint="eastAsia" w:ascii="Times New Roman" w:hAnsi="Times New Roman" w:eastAsia="宋体" w:cs="Times New Roman"/>
                <w:sz w:val="24"/>
                <w:szCs w:val="24"/>
                <w:u w:val="none"/>
                <w:lang w:val="en-US"/>
              </w:rPr>
              <w:t>%，该部分环保投资的投入，可以实现项目各污染物的</w:t>
            </w:r>
            <w:r>
              <w:rPr>
                <w:rFonts w:hint="eastAsia" w:ascii="Times New Roman" w:hAnsi="Times New Roman" w:eastAsia="宋体" w:cs="Times New Roman"/>
                <w:sz w:val="24"/>
                <w:szCs w:val="24"/>
                <w:u w:val="none"/>
                <w:lang w:val="en-US" w:eastAsia="zh-CN"/>
              </w:rPr>
              <w:t>达标</w:t>
            </w:r>
            <w:r>
              <w:rPr>
                <w:rFonts w:hint="eastAsia" w:ascii="Times New Roman" w:hAnsi="Times New Roman" w:eastAsia="宋体" w:cs="Times New Roman"/>
                <w:sz w:val="24"/>
                <w:szCs w:val="24"/>
                <w:u w:val="none"/>
                <w:lang w:val="en-US"/>
              </w:rPr>
              <w:t>排放，并能有效的控制风险环境问题。</w:t>
            </w:r>
          </w:p>
        </w:tc>
      </w:tr>
    </w:tbl>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rPr>
      </w:pPr>
      <w:bookmarkStart w:id="5" w:name="_Toc75787040"/>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5"/>
      <w:bookmarkEnd w:id="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276"/>
        <w:gridCol w:w="1276"/>
        <w:gridCol w:w="2410"/>
        <w:gridCol w:w="2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tcBorders>
              <w:tl2br w:val="single" w:color="auto" w:sz="4" w:space="0"/>
            </w:tcBorders>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right"/>
              <w:rPr>
                <w:rFonts w:ascii="宋体" w:hAnsi="宋体" w:cs="宋体"/>
                <w:szCs w:val="21"/>
              </w:rPr>
            </w:pPr>
            <w:r>
              <w:rPr>
                <w:rFonts w:hint="eastAsia" w:ascii="宋体" w:hAnsi="宋体" w:cs="宋体"/>
                <w:szCs w:val="21"/>
              </w:rPr>
              <w:t>内容</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right"/>
              <w:rPr>
                <w:rFonts w:ascii="宋体" w:hAnsi="宋体" w:cs="宋体"/>
                <w:szCs w:val="21"/>
              </w:rPr>
            </w:pPr>
          </w:p>
          <w:p>
            <w:pPr>
              <w:keepNext w:val="0"/>
              <w:keepLines w:val="0"/>
              <w:pageBreakBefore w:val="0"/>
              <w:kinsoku/>
              <w:wordWrap/>
              <w:overflowPunct/>
              <w:topLinePunct w:val="0"/>
              <w:bidi w:val="0"/>
              <w:adjustRightInd w:val="0"/>
              <w:snapToGrid w:val="0"/>
              <w:spacing w:beforeAutospacing="0" w:afterAutospacing="0" w:line="360" w:lineRule="auto"/>
              <w:ind w:left="0" w:leftChars="0"/>
              <w:jc w:val="left"/>
              <w:rPr>
                <w:rFonts w:ascii="宋体" w:hAnsi="宋体" w:cs="宋体"/>
                <w:szCs w:val="21"/>
              </w:rPr>
            </w:pPr>
            <w:r>
              <w:rPr>
                <w:rFonts w:hint="eastAsia" w:ascii="宋体" w:hAnsi="宋体" w:cs="宋体"/>
                <w:szCs w:val="21"/>
              </w:rPr>
              <w:t>要素</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排放口(编号、名称)/污染源</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污染物项目</w:t>
            </w:r>
          </w:p>
        </w:tc>
        <w:tc>
          <w:tcPr>
            <w:tcW w:w="2410"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环境保护措施</w:t>
            </w:r>
          </w:p>
        </w:tc>
        <w:tc>
          <w:tcPr>
            <w:tcW w:w="271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大气环境</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ascii="宋体" w:hAnsi="宋体" w:cs="宋体"/>
                <w:szCs w:val="21"/>
              </w:rPr>
              <w:t>DA001</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hint="default" w:ascii="宋体" w:hAnsi="宋体" w:eastAsia="宋体" w:cs="宋体"/>
                <w:szCs w:val="21"/>
                <w:lang w:val="en-US" w:eastAsia="zh-CN"/>
              </w:rPr>
            </w:pPr>
            <w:r>
              <w:rPr>
                <w:rFonts w:ascii="宋体" w:hAnsi="宋体" w:cs="宋体"/>
                <w:szCs w:val="21"/>
              </w:rPr>
              <w:t>NMHC</w:t>
            </w:r>
          </w:p>
        </w:tc>
        <w:tc>
          <w:tcPr>
            <w:tcW w:w="2410"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负压收集+</w:t>
            </w:r>
            <w:r>
              <w:rPr>
                <w:rFonts w:hint="eastAsia" w:ascii="宋体" w:hAnsi="宋体" w:cs="宋体"/>
                <w:szCs w:val="21"/>
                <w:lang w:val="en-US" w:eastAsia="zh-CN"/>
              </w:rPr>
              <w:t>三级</w:t>
            </w:r>
            <w:r>
              <w:rPr>
                <w:rFonts w:hint="eastAsia" w:ascii="宋体" w:hAnsi="宋体" w:cs="宋体"/>
                <w:szCs w:val="21"/>
              </w:rPr>
              <w:t>活性炭+15</w:t>
            </w:r>
            <w:r>
              <w:rPr>
                <w:rFonts w:hint="eastAsia" w:ascii="宋体" w:hAnsi="宋体" w:cs="宋体"/>
                <w:szCs w:val="21"/>
                <w:lang w:val="en-US" w:eastAsia="zh-CN"/>
              </w:rPr>
              <w:t>m高</w:t>
            </w:r>
            <w:r>
              <w:rPr>
                <w:rFonts w:hint="eastAsia" w:ascii="宋体" w:hAnsi="宋体" w:cs="宋体"/>
                <w:szCs w:val="21"/>
              </w:rPr>
              <w:t>排气筒</w:t>
            </w:r>
          </w:p>
        </w:tc>
        <w:tc>
          <w:tcPr>
            <w:tcW w:w="271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《大气污染物综合排放标准》（GB16297-1996）二级标准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地表水环境</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ascii="宋体" w:hAnsi="宋体" w:cs="宋体"/>
                <w:szCs w:val="21"/>
              </w:rPr>
              <w:t>DW001</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COD、BOD</w:t>
            </w:r>
            <w:r>
              <w:rPr>
                <w:rFonts w:hint="eastAsia" w:ascii="宋体" w:hAnsi="宋体" w:cs="宋体"/>
                <w:szCs w:val="21"/>
                <w:vertAlign w:val="subscript"/>
              </w:rPr>
              <w:t>5</w:t>
            </w:r>
            <w:r>
              <w:rPr>
                <w:rFonts w:hint="eastAsia" w:ascii="宋体" w:hAnsi="宋体" w:cs="宋体"/>
                <w:szCs w:val="21"/>
              </w:rPr>
              <w:t>、SS、氨氮等</w:t>
            </w:r>
          </w:p>
        </w:tc>
        <w:tc>
          <w:tcPr>
            <w:tcW w:w="2410"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经化粪池处理后排入园区污水管网</w:t>
            </w:r>
          </w:p>
        </w:tc>
        <w:tc>
          <w:tcPr>
            <w:tcW w:w="271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声环境</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生产设备</w:t>
            </w:r>
          </w:p>
        </w:tc>
        <w:tc>
          <w:tcPr>
            <w:tcW w:w="1276"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噪声</w:t>
            </w:r>
          </w:p>
        </w:tc>
        <w:tc>
          <w:tcPr>
            <w:tcW w:w="2410"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消音减振、</w:t>
            </w:r>
            <w:r>
              <w:rPr>
                <w:rFonts w:ascii="宋体" w:hAnsi="宋体" w:cs="宋体"/>
                <w:szCs w:val="21"/>
              </w:rPr>
              <w:t>隔声降噪</w:t>
            </w:r>
            <w:r>
              <w:rPr>
                <w:rFonts w:hint="eastAsia" w:ascii="宋体" w:hAnsi="宋体" w:cs="宋体"/>
                <w:szCs w:val="21"/>
              </w:rPr>
              <w:t>、</w:t>
            </w:r>
            <w:r>
              <w:rPr>
                <w:rFonts w:ascii="宋体" w:hAnsi="宋体" w:cs="宋体"/>
                <w:szCs w:val="21"/>
              </w:rPr>
              <w:t>距离衰减</w:t>
            </w:r>
          </w:p>
        </w:tc>
        <w:tc>
          <w:tcPr>
            <w:tcW w:w="271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ascii="宋体" w:hAnsi="宋体" w:cs="宋体"/>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电磁辐射</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固体废物</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按照“减量化、资源化、无害化”的处理原则，落实各类固体废物的收集、处置和综合利用措施，实现固体废物零排放。生活垃圾由环卫部门处置，</w:t>
            </w:r>
            <w:r>
              <w:rPr>
                <w:rFonts w:hint="eastAsia" w:ascii="宋体" w:hAnsi="宋体" w:cs="宋体"/>
                <w:szCs w:val="21"/>
                <w:highlight w:val="none"/>
              </w:rPr>
              <w:t>项目自身不产生一般固废,</w:t>
            </w:r>
            <w:r>
              <w:rPr>
                <w:rFonts w:hint="eastAsia" w:ascii="宋体" w:hAnsi="宋体" w:cs="宋体"/>
                <w:szCs w:val="21"/>
              </w:rPr>
              <w:t>项目自产的危险废物打包好与收集的危险废物一并贮存，</w:t>
            </w:r>
            <w:r>
              <w:rPr>
                <w:rFonts w:hint="eastAsia" w:ascii="宋体" w:hAnsi="宋体" w:cs="宋体"/>
                <w:szCs w:val="21"/>
                <w:lang w:val="en-US" w:eastAsia="zh-CN"/>
              </w:rPr>
              <w:t>统一</w:t>
            </w:r>
            <w:r>
              <w:rPr>
                <w:rFonts w:hint="eastAsia" w:ascii="宋体" w:hAnsi="宋体" w:cs="宋体"/>
                <w:szCs w:val="21"/>
              </w:rPr>
              <w:t>交由有资质单位处理。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土壤及地下水污染防治措施</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按照《危险废物贮存污染控制标准》（GB18597-2001）要求，车间地面进行分区防渗并设置围堰、应急池和导流沟等防渗漏措施，提高管理水平等措施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生态保护措施</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pacing w:val="-8"/>
                <w:szCs w:val="21"/>
              </w:rPr>
            </w:pPr>
            <w:r>
              <w:rPr>
                <w:rFonts w:hint="eastAsia" w:ascii="宋体" w:hAnsi="宋体" w:cs="宋体"/>
                <w:spacing w:val="-8"/>
                <w:szCs w:val="21"/>
              </w:rPr>
              <w:t>环境风险</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pacing w:val="-8"/>
                <w:szCs w:val="21"/>
              </w:rPr>
            </w:pPr>
            <w:r>
              <w:rPr>
                <w:rFonts w:hint="eastAsia" w:ascii="宋体" w:hAnsi="宋体" w:cs="宋体"/>
                <w:spacing w:val="-8"/>
                <w:szCs w:val="21"/>
              </w:rPr>
              <w:t>防范措施</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①按要求配备灭火器、消防栓、消防沙等消防设施；</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②车间做好防渗措施，防渗等级为重点防渗；</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③不同类别危废均设置单独</w:t>
            </w:r>
            <w:r>
              <w:rPr>
                <w:rFonts w:hint="eastAsia" w:ascii="宋体" w:hAnsi="宋体" w:cs="宋体"/>
                <w:szCs w:val="21"/>
                <w:lang w:val="en-US" w:eastAsia="zh-CN"/>
              </w:rPr>
              <w:t>暂存</w:t>
            </w:r>
            <w:r>
              <w:rPr>
                <w:rFonts w:hint="eastAsia" w:ascii="宋体" w:hAnsi="宋体" w:cs="宋体"/>
                <w:szCs w:val="21"/>
              </w:rPr>
              <w:t>间</w:t>
            </w:r>
            <w:r>
              <w:rPr>
                <w:rFonts w:hint="eastAsia" w:ascii="宋体" w:hAnsi="宋体" w:cs="宋体"/>
                <w:szCs w:val="21"/>
                <w:lang w:val="en-US" w:eastAsia="zh-CN"/>
              </w:rPr>
              <w:t>用挡墙隔开</w:t>
            </w:r>
            <w:r>
              <w:rPr>
                <w:rFonts w:hint="eastAsia" w:ascii="宋体" w:hAnsi="宋体" w:cs="宋体"/>
                <w:szCs w:val="21"/>
              </w:rPr>
              <w:t>，</w:t>
            </w:r>
            <w:r>
              <w:rPr>
                <w:rFonts w:hint="eastAsia" w:ascii="宋体" w:hAnsi="宋体" w:cs="宋体"/>
                <w:szCs w:val="21"/>
                <w:lang w:val="en-US" w:eastAsia="zh-CN"/>
              </w:rPr>
              <w:t>各暂存</w:t>
            </w:r>
            <w:r>
              <w:rPr>
                <w:rFonts w:hint="eastAsia" w:ascii="宋体" w:hAnsi="宋体" w:cs="宋体"/>
                <w:szCs w:val="21"/>
              </w:rPr>
              <w:t>间均设置导流沟及收集池</w:t>
            </w:r>
            <w:r>
              <w:rPr>
                <w:rFonts w:hint="eastAsia" w:ascii="宋体" w:hAnsi="宋体" w:cs="宋体"/>
                <w:szCs w:val="21"/>
                <w:lang w:eastAsia="zh-CN"/>
              </w:rPr>
              <w:t>，</w:t>
            </w:r>
            <w:r>
              <w:rPr>
                <w:rFonts w:hint="eastAsia" w:ascii="宋体" w:hAnsi="宋体" w:cs="宋体"/>
                <w:szCs w:val="21"/>
              </w:rPr>
              <w:t>密闭间设置</w:t>
            </w:r>
            <w:r>
              <w:rPr>
                <w:rFonts w:hint="eastAsia" w:ascii="宋体" w:hAnsi="宋体" w:cs="宋体"/>
                <w:szCs w:val="21"/>
                <w:lang w:val="en-US" w:eastAsia="zh-CN"/>
              </w:rPr>
              <w:t>集气罩收集挥发性气体，送至废气处理系统处理后经15m高排气筒排放</w:t>
            </w:r>
            <w:r>
              <w:rPr>
                <w:rFonts w:hint="eastAsia" w:ascii="宋体" w:hAnsi="宋体" w:cs="宋体"/>
                <w:szCs w:val="21"/>
              </w:rPr>
              <w:t>；</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④</w:t>
            </w:r>
            <w:r>
              <w:rPr>
                <w:rFonts w:hint="eastAsia" w:ascii="宋体" w:hAnsi="宋体" w:cs="宋体"/>
                <w:szCs w:val="21"/>
                <w:lang w:val="en-US" w:eastAsia="zh-CN"/>
              </w:rPr>
              <w:t>各贮存区设置收集池，厂区</w:t>
            </w:r>
            <w:r>
              <w:rPr>
                <w:rFonts w:hint="eastAsia" w:ascii="宋体" w:hAnsi="宋体" w:cs="宋体"/>
                <w:szCs w:val="21"/>
              </w:rPr>
              <w:t>设置1个</w:t>
            </w:r>
            <w:r>
              <w:rPr>
                <w:rFonts w:hint="eastAsia" w:ascii="宋体" w:hAnsi="宋体" w:cs="宋体"/>
                <w:szCs w:val="21"/>
                <w:lang w:val="en-US" w:eastAsia="zh-CN"/>
              </w:rPr>
              <w:t>事故</w:t>
            </w:r>
            <w:r>
              <w:rPr>
                <w:rFonts w:hint="eastAsia" w:ascii="宋体" w:hAnsi="宋体" w:cs="宋体"/>
                <w:szCs w:val="21"/>
              </w:rPr>
              <w:t>应急池，用于收集泄露液体；</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hint="eastAsia" w:ascii="宋体" w:hAnsi="宋体" w:cs="宋体"/>
                <w:szCs w:val="21"/>
              </w:rPr>
            </w:pPr>
            <w:r>
              <w:rPr>
                <w:rFonts w:hint="eastAsia" w:ascii="宋体" w:hAnsi="宋体" w:cs="宋体"/>
                <w:szCs w:val="21"/>
              </w:rPr>
              <w:t>⑤仓库设置1套有机废气泄露报警装置及火灾报警装置；</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hint="default" w:ascii="宋体" w:hAnsi="宋体" w:cs="宋体"/>
                <w:szCs w:val="21"/>
                <w:lang w:val="en-US" w:eastAsia="zh-CN"/>
              </w:rPr>
            </w:pPr>
            <w:r>
              <w:rPr>
                <w:rFonts w:hint="eastAsia" w:ascii="宋体" w:hAnsi="宋体" w:cs="宋体"/>
                <w:szCs w:val="21"/>
              </w:rPr>
              <w:t>⑥</w:t>
            </w:r>
            <w:r>
              <w:rPr>
                <w:rFonts w:hint="eastAsia" w:ascii="宋体" w:hAnsi="宋体" w:cs="宋体"/>
                <w:szCs w:val="21"/>
                <w:lang w:val="en-US" w:eastAsia="zh-CN"/>
              </w:rPr>
              <w:t>易燃危险废物旁设置消防水池；</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lang w:val="en-US" w:eastAsia="zh-CN"/>
              </w:rPr>
              <w:t>⑦</w:t>
            </w:r>
            <w:r>
              <w:rPr>
                <w:rFonts w:hint="eastAsia" w:ascii="宋体" w:hAnsi="宋体" w:cs="宋体"/>
                <w:szCs w:val="21"/>
              </w:rPr>
              <w:t>竣工环保验收前需完成</w:t>
            </w:r>
            <w:r>
              <w:rPr>
                <w:rFonts w:hint="eastAsia" w:ascii="宋体" w:hAnsi="宋体" w:cs="宋体"/>
                <w:szCs w:val="21"/>
                <w:u w:val="none"/>
              </w:rPr>
              <w:t>安全</w:t>
            </w:r>
            <w:r>
              <w:rPr>
                <w:rFonts w:hint="eastAsia" w:ascii="宋体" w:hAnsi="宋体" w:cs="宋体"/>
                <w:szCs w:val="21"/>
                <w:u w:val="none"/>
                <w:lang w:val="en-US" w:eastAsia="zh-CN"/>
              </w:rPr>
              <w:t>评价报告</w:t>
            </w:r>
            <w:r>
              <w:rPr>
                <w:rFonts w:hint="eastAsia" w:ascii="宋体" w:hAnsi="宋体" w:cs="宋体"/>
                <w:szCs w:val="21"/>
                <w:u w:val="none"/>
              </w:rPr>
              <w:t>及突发环境事件应急预案</w:t>
            </w:r>
            <w:r>
              <w:rPr>
                <w:rFonts w:hint="eastAsia" w:ascii="宋体" w:hAnsi="宋体" w:cs="宋体"/>
                <w:szCs w:val="21"/>
              </w:rPr>
              <w:t>编制。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4" w:type="dxa"/>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pacing w:val="-8"/>
                <w:szCs w:val="21"/>
              </w:rPr>
            </w:pPr>
            <w:r>
              <w:rPr>
                <w:rFonts w:hint="eastAsia" w:ascii="宋体" w:hAnsi="宋体" w:cs="宋体"/>
                <w:spacing w:val="-8"/>
                <w:szCs w:val="21"/>
              </w:rPr>
              <w:t>其他环境</w:t>
            </w:r>
          </w:p>
          <w:p>
            <w:pPr>
              <w:keepNext w:val="0"/>
              <w:keepLines w:val="0"/>
              <w:pageBreakBefore w:val="0"/>
              <w:kinsoku/>
              <w:wordWrap/>
              <w:overflowPunct/>
              <w:topLinePunct w:val="0"/>
              <w:bidi w:val="0"/>
              <w:adjustRightInd w:val="0"/>
              <w:snapToGrid w:val="0"/>
              <w:spacing w:beforeAutospacing="0" w:afterAutospacing="0" w:line="360" w:lineRule="auto"/>
              <w:ind w:left="0" w:leftChars="0"/>
              <w:jc w:val="center"/>
              <w:rPr>
                <w:rFonts w:ascii="宋体" w:hAnsi="宋体" w:cs="宋体"/>
                <w:spacing w:val="-8"/>
                <w:szCs w:val="21"/>
              </w:rPr>
            </w:pPr>
            <w:r>
              <w:rPr>
                <w:rFonts w:hint="eastAsia" w:ascii="宋体" w:hAnsi="宋体" w:cs="宋体"/>
                <w:spacing w:val="-8"/>
                <w:szCs w:val="21"/>
              </w:rPr>
              <w:t>管理要求</w:t>
            </w:r>
          </w:p>
        </w:tc>
        <w:tc>
          <w:tcPr>
            <w:tcW w:w="7676" w:type="dxa"/>
            <w:gridSpan w:val="4"/>
            <w:vAlign w:val="center"/>
          </w:tcPr>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①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②根据《排污许可管理条例》（中华人民共和国国务院令 第 736 号）、《排污许可管理办法（试行）》（部令第48号）、</w:t>
            </w:r>
            <w:bookmarkStart w:id="8" w:name="_GoBack"/>
            <w:bookmarkEnd w:id="8"/>
            <w:r>
              <w:rPr>
                <w:rFonts w:hint="eastAsia" w:ascii="宋体" w:hAnsi="宋体" w:cs="宋体"/>
                <w:szCs w:val="21"/>
                <w:lang w:eastAsia="zh-CN"/>
              </w:rPr>
              <w:t>生态环境部</w:t>
            </w:r>
            <w:r>
              <w:rPr>
                <w:rFonts w:hint="eastAsia" w:ascii="宋体" w:hAnsi="宋体" w:cs="宋体"/>
                <w:szCs w:val="21"/>
              </w:rPr>
              <w:t>办公厅《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r>
              <w:rPr>
                <w:rFonts w:hint="eastAsia" w:ascii="宋体" w:hAnsi="宋体" w:cs="宋体"/>
                <w:szCs w:val="21"/>
                <w:lang w:eastAsia="zh-CN"/>
              </w:rPr>
              <w:t>生态环境部</w:t>
            </w:r>
            <w:r>
              <w:rPr>
                <w:rFonts w:hint="eastAsia" w:ascii="宋体" w:hAnsi="宋体" w:cs="宋体"/>
                <w:szCs w:val="21"/>
              </w:rPr>
              <w:t>门通过对企事业单位发放排污许可证并依证监管实施排污许可制。</w:t>
            </w:r>
          </w:p>
          <w:p>
            <w:pPr>
              <w:keepNext w:val="0"/>
              <w:keepLines w:val="0"/>
              <w:pageBreakBefore w:val="0"/>
              <w:kinsoku/>
              <w:wordWrap/>
              <w:overflowPunct/>
              <w:topLinePunct w:val="0"/>
              <w:bidi w:val="0"/>
              <w:adjustRightInd w:val="0"/>
              <w:snapToGrid w:val="0"/>
              <w:spacing w:beforeAutospacing="0" w:afterAutospacing="0" w:line="360" w:lineRule="auto"/>
              <w:ind w:left="0" w:leftChars="0"/>
              <w:rPr>
                <w:rFonts w:ascii="宋体" w:hAnsi="宋体" w:cs="宋体"/>
                <w:szCs w:val="21"/>
              </w:rPr>
            </w:pPr>
            <w:r>
              <w:rPr>
                <w:rFonts w:hint="eastAsia" w:ascii="宋体" w:hAnsi="宋体" w:cs="宋体"/>
                <w:szCs w:val="21"/>
              </w:rPr>
              <w:t>③根据《固定污染源排污许可分类管理名录（2019 年版）》，本项目竣工后在发生实际排污行为之前，建设单位应当按照国家环境保护相关法律法规以及排污许可证申请与核发技术规范要求登记内容。</w:t>
            </w:r>
          </w:p>
        </w:tc>
      </w:tr>
    </w:tbl>
    <w:p>
      <w:pPr>
        <w:pStyle w:val="18"/>
        <w:keepNext w:val="0"/>
        <w:keepLines w:val="0"/>
        <w:pageBreakBefore w:val="0"/>
        <w:kinsoku/>
        <w:wordWrap/>
        <w:overflowPunct/>
        <w:topLinePunct w:val="0"/>
        <w:bidi w:val="0"/>
        <w:spacing w:before="0" w:beforeAutospacing="0" w:after="0" w:afterAutospacing="0" w:line="360" w:lineRule="auto"/>
        <w:ind w:left="0" w:leftChars="0"/>
        <w:jc w:val="center"/>
        <w:outlineLvl w:val="0"/>
        <w:rPr>
          <w:rFonts w:ascii="黑体" w:hAnsi="黑体" w:eastAsia="黑体"/>
          <w:snapToGrid w:val="0"/>
          <w:sz w:val="30"/>
          <w:szCs w:val="30"/>
        </w:rPr>
      </w:pPr>
      <w:r>
        <w:rPr>
          <w:snapToGrid w:val="0"/>
        </w:rPr>
        <w:br w:type="page"/>
      </w:r>
      <w:bookmarkStart w:id="7" w:name="_Toc75787041"/>
      <w:r>
        <w:rPr>
          <w:rFonts w:hint="eastAsia" w:ascii="黑体" w:hAnsi="黑体" w:eastAsia="黑体"/>
          <w:snapToGrid w:val="0"/>
          <w:sz w:val="30"/>
          <w:szCs w:val="30"/>
        </w:rPr>
        <w:t>六、结论</w:t>
      </w:r>
      <w:bookmarkEnd w:id="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pageBreakBefore w:val="0"/>
              <w:kinsoku/>
              <w:wordWrap/>
              <w:overflowPunct/>
              <w:topLinePunct w:val="0"/>
              <w:bidi w:val="0"/>
              <w:spacing w:beforeAutospacing="0" w:afterAutospacing="0" w:line="360" w:lineRule="auto"/>
              <w:ind w:left="0" w:leftChars="0" w:firstLine="480" w:firstLineChars="200"/>
              <w:rPr>
                <w:rFonts w:ascii="宋体" w:cs="宋体"/>
                <w:sz w:val="24"/>
              </w:rPr>
            </w:pPr>
            <w:r>
              <w:rPr>
                <w:rFonts w:hint="eastAsia" w:ascii="宋体" w:cs="宋体"/>
                <w:sz w:val="24"/>
              </w:rPr>
              <w:t>综上所述，项目总体污染程度较低，项目符合国家和地方的相关产业政策，选址符合“三线一单”和当地规划，所采用的污染防治措施合理可行，可确保污染物稳定达标排放；项目污染物的排放量符合控制要求，处理达标后的各项污染物对周围环境的影响较小，不会改变当地的环境功能区划，项目的环境风险较小且可以接受。在落实本报告表提出的各项污染防治措施、严格执行“三同时” 制度的情况下，从环保角度分析，项目在拟建地的建设具备环境可行性。</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hAnsi="宋体"/>
          <w:snapToGrid w:val="0"/>
          <w:color w:val="000000"/>
          <w:spacing w:val="-6"/>
          <w:kern w:val="21"/>
          <w:szCs w:val="21"/>
          <w:lang w:val="en-US" w:eastAsia="zh-CN"/>
        </w:rPr>
      </w:pPr>
    </w:p>
    <w:sectPr>
      <w:footerReference r:id="rId6" w:type="default"/>
      <w:pgSz w:w="11906" w:h="16838"/>
      <w:pgMar w:top="720" w:right="720" w:bottom="720" w:left="72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layui-icon">
    <w:altName w:val="Segoe Print"/>
    <w:panose1 w:val="00000000000000000000"/>
    <w:charset w:val="00"/>
    <w:family w:val="auto"/>
    <w:pitch w:val="default"/>
    <w:sig w:usb0="00000000" w:usb1="00000000" w:usb2="00000000" w:usb3="00000000" w:csb0="00000000"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17</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18</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B07E15"/>
    <w:multiLevelType w:val="singleLevel"/>
    <w:tmpl w:val="94B07E15"/>
    <w:lvl w:ilvl="0" w:tentative="0">
      <w:start w:val="7"/>
      <w:numFmt w:val="decimal"/>
      <w:suff w:val="nothing"/>
      <w:lvlText w:val="%1、"/>
      <w:lvlJc w:val="left"/>
    </w:lvl>
  </w:abstractNum>
  <w:abstractNum w:abstractNumId="1">
    <w:nsid w:val="0DC91CEB"/>
    <w:multiLevelType w:val="multilevel"/>
    <w:tmpl w:val="0DC91CEB"/>
    <w:lvl w:ilvl="0" w:tentative="0">
      <w:start w:val="1"/>
      <w:numFmt w:val="chineseCountingThousand"/>
      <w:lvlText w:val="第%1章  "/>
      <w:lvlJc w:val="left"/>
      <w:pPr>
        <w:ind w:left="0" w:firstLine="0"/>
      </w:pPr>
      <w:rPr>
        <w:rFonts w:hint="default" w:ascii="Times New Roman" w:hAnsi="Times New Roman" w:eastAsia="宋体"/>
        <w:b/>
        <w:i w:val="0"/>
        <w:sz w:val="44"/>
      </w:rPr>
    </w:lvl>
    <w:lvl w:ilvl="1" w:tentative="0">
      <w:start w:val="1"/>
      <w:numFmt w:val="decimal"/>
      <w:isLgl/>
      <w:suff w:val="space"/>
      <w:lvlText w:val="%1.%2 "/>
      <w:lvlJc w:val="left"/>
      <w:pPr>
        <w:ind w:left="3970" w:firstLine="0"/>
      </w:pPr>
      <w:rPr>
        <w:rFonts w:hint="default" w:ascii="Times New Roman" w:hAnsi="Times New Roman" w:eastAsia="黑体"/>
        <w:b/>
        <w:i w:val="0"/>
        <w:sz w:val="36"/>
      </w:rPr>
    </w:lvl>
    <w:lvl w:ilvl="2" w:tentative="0">
      <w:start w:val="1"/>
      <w:numFmt w:val="decimal"/>
      <w:isLgl/>
      <w:suff w:val="space"/>
      <w:lvlText w:val="%1.%2.%3 "/>
      <w:lvlJc w:val="left"/>
      <w:pPr>
        <w:ind w:left="0" w:firstLine="0"/>
      </w:pPr>
      <w:rPr>
        <w:rFonts w:hint="default" w:ascii="Times New Roman" w:hAnsi="Times New Roman" w:eastAsia="黑体"/>
        <w:b/>
        <w:i w:val="0"/>
        <w:sz w:val="30"/>
      </w:rPr>
    </w:lvl>
    <w:lvl w:ilvl="3" w:tentative="0">
      <w:start w:val="1"/>
      <w:numFmt w:val="decimal"/>
      <w:isLgl/>
      <w:suff w:val="space"/>
      <w:lvlText w:val="%1.%2.%3.%4 "/>
      <w:lvlJc w:val="left"/>
      <w:pPr>
        <w:ind w:left="0" w:firstLine="0"/>
      </w:pPr>
      <w:rPr>
        <w:rFonts w:hint="default" w:ascii="Times New Roman" w:hAnsi="Times New Roman" w:eastAsia="黑体"/>
        <w:b/>
        <w:i w:val="0"/>
        <w:sz w:val="24"/>
      </w:rPr>
    </w:lvl>
    <w:lvl w:ilvl="4" w:tentative="0">
      <w:start w:val="1"/>
      <w:numFmt w:val="decimal"/>
      <w:lvlRestart w:val="2"/>
      <w:pStyle w:val="93"/>
      <w:isLgl/>
      <w:suff w:val="space"/>
      <w:lvlText w:val="表 %1.%2-%5  "/>
      <w:lvlJc w:val="left"/>
      <w:pPr>
        <w:ind w:left="4794" w:firstLine="0"/>
      </w:pPr>
      <w:rPr>
        <w:rFonts w:hint="default" w:ascii="Times New Roman" w:hAnsi="Times New Roman" w:eastAsia="宋体" w:cs="Times New Roman"/>
        <w:b/>
        <w:bCs w:val="0"/>
        <w:i w:val="0"/>
        <w:iCs w:val="0"/>
        <w:caps w:val="0"/>
        <w:strike w:val="0"/>
        <w:dstrike w:val="0"/>
        <w:vanish w:val="0"/>
        <w:spacing w:val="0"/>
        <w:position w:val="0"/>
        <w:sz w:val="21"/>
        <w:u w:val="none"/>
        <w:vertAlign w:val="baseline"/>
      </w:rPr>
    </w:lvl>
    <w:lvl w:ilvl="5" w:tentative="0">
      <w:start w:val="1"/>
      <w:numFmt w:val="decimal"/>
      <w:lvlRestart w:val="2"/>
      <w:isLgl/>
      <w:suff w:val="space"/>
      <w:lvlText w:val="图 %1.%2-%6  "/>
      <w:lvlJc w:val="left"/>
      <w:pPr>
        <w:ind w:left="3545" w:firstLine="0"/>
      </w:pPr>
      <w:rPr>
        <w:rFonts w:hint="default" w:ascii="Times New Roman" w:hAnsi="Times New Roman" w:eastAsia="宋体"/>
        <w:b/>
        <w:i w:val="0"/>
        <w:color w:val="auto"/>
        <w:sz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U0MGMxMzBlNWJhYzlmZDA0NjFkMTRiODlhYzQwYzQifQ=="/>
  </w:docVars>
  <w:rsids>
    <w:rsidRoot w:val="00A14947"/>
    <w:rsid w:val="000036F3"/>
    <w:rsid w:val="00004CC7"/>
    <w:rsid w:val="000060B3"/>
    <w:rsid w:val="000127E5"/>
    <w:rsid w:val="00020319"/>
    <w:rsid w:val="00020FDD"/>
    <w:rsid w:val="00021634"/>
    <w:rsid w:val="00022877"/>
    <w:rsid w:val="00032F69"/>
    <w:rsid w:val="00033608"/>
    <w:rsid w:val="00034BF5"/>
    <w:rsid w:val="00036AC9"/>
    <w:rsid w:val="00042E05"/>
    <w:rsid w:val="00042F39"/>
    <w:rsid w:val="0004364B"/>
    <w:rsid w:val="00043DD2"/>
    <w:rsid w:val="000478DA"/>
    <w:rsid w:val="00047D7B"/>
    <w:rsid w:val="00051EAD"/>
    <w:rsid w:val="00051F1E"/>
    <w:rsid w:val="00061B1F"/>
    <w:rsid w:val="000632EA"/>
    <w:rsid w:val="00064078"/>
    <w:rsid w:val="00064D90"/>
    <w:rsid w:val="000728C7"/>
    <w:rsid w:val="000733C4"/>
    <w:rsid w:val="00074783"/>
    <w:rsid w:val="00077F1E"/>
    <w:rsid w:val="000803D5"/>
    <w:rsid w:val="0008070B"/>
    <w:rsid w:val="000810AC"/>
    <w:rsid w:val="00081A02"/>
    <w:rsid w:val="00081CF5"/>
    <w:rsid w:val="00082231"/>
    <w:rsid w:val="00082629"/>
    <w:rsid w:val="00082997"/>
    <w:rsid w:val="000858DD"/>
    <w:rsid w:val="000909B0"/>
    <w:rsid w:val="00091103"/>
    <w:rsid w:val="00091709"/>
    <w:rsid w:val="00092D38"/>
    <w:rsid w:val="0009377B"/>
    <w:rsid w:val="0009537F"/>
    <w:rsid w:val="000A20C9"/>
    <w:rsid w:val="000A212C"/>
    <w:rsid w:val="000A39CD"/>
    <w:rsid w:val="000A531C"/>
    <w:rsid w:val="000B058F"/>
    <w:rsid w:val="000B0A93"/>
    <w:rsid w:val="000B4467"/>
    <w:rsid w:val="000B4DB9"/>
    <w:rsid w:val="000B7953"/>
    <w:rsid w:val="000C09AC"/>
    <w:rsid w:val="000C2AD2"/>
    <w:rsid w:val="000C5DA0"/>
    <w:rsid w:val="000C73BA"/>
    <w:rsid w:val="000C73EB"/>
    <w:rsid w:val="000C767F"/>
    <w:rsid w:val="000D04A2"/>
    <w:rsid w:val="000D0C37"/>
    <w:rsid w:val="000D5A44"/>
    <w:rsid w:val="000D666B"/>
    <w:rsid w:val="000E0558"/>
    <w:rsid w:val="000E1B52"/>
    <w:rsid w:val="000E3ED2"/>
    <w:rsid w:val="000E4E70"/>
    <w:rsid w:val="000E71B8"/>
    <w:rsid w:val="000F0FBA"/>
    <w:rsid w:val="000F14A2"/>
    <w:rsid w:val="000F2287"/>
    <w:rsid w:val="000F2F1E"/>
    <w:rsid w:val="000F4BB1"/>
    <w:rsid w:val="00101CF6"/>
    <w:rsid w:val="00102083"/>
    <w:rsid w:val="00102D5B"/>
    <w:rsid w:val="00103A8D"/>
    <w:rsid w:val="001040A7"/>
    <w:rsid w:val="00106842"/>
    <w:rsid w:val="00106A58"/>
    <w:rsid w:val="00110A9D"/>
    <w:rsid w:val="00121CCA"/>
    <w:rsid w:val="0012470C"/>
    <w:rsid w:val="00125093"/>
    <w:rsid w:val="00125246"/>
    <w:rsid w:val="00130448"/>
    <w:rsid w:val="00130D37"/>
    <w:rsid w:val="00131E94"/>
    <w:rsid w:val="00131F42"/>
    <w:rsid w:val="0013400F"/>
    <w:rsid w:val="001349C1"/>
    <w:rsid w:val="001357F1"/>
    <w:rsid w:val="0013596E"/>
    <w:rsid w:val="00140484"/>
    <w:rsid w:val="00140FA8"/>
    <w:rsid w:val="001416A3"/>
    <w:rsid w:val="00142FEB"/>
    <w:rsid w:val="001432AA"/>
    <w:rsid w:val="00143A2D"/>
    <w:rsid w:val="00145A41"/>
    <w:rsid w:val="00150A9F"/>
    <w:rsid w:val="00151675"/>
    <w:rsid w:val="0015201C"/>
    <w:rsid w:val="00152649"/>
    <w:rsid w:val="00157435"/>
    <w:rsid w:val="00161796"/>
    <w:rsid w:val="0016436A"/>
    <w:rsid w:val="001645D7"/>
    <w:rsid w:val="001646A6"/>
    <w:rsid w:val="00166A2D"/>
    <w:rsid w:val="00172015"/>
    <w:rsid w:val="00172EBD"/>
    <w:rsid w:val="0017504D"/>
    <w:rsid w:val="0017671A"/>
    <w:rsid w:val="00177422"/>
    <w:rsid w:val="00177A45"/>
    <w:rsid w:val="00181BBE"/>
    <w:rsid w:val="00183D63"/>
    <w:rsid w:val="00184590"/>
    <w:rsid w:val="001847A5"/>
    <w:rsid w:val="001858DB"/>
    <w:rsid w:val="001870D1"/>
    <w:rsid w:val="0018781E"/>
    <w:rsid w:val="0019262D"/>
    <w:rsid w:val="00195AB4"/>
    <w:rsid w:val="00195BF6"/>
    <w:rsid w:val="00196045"/>
    <w:rsid w:val="00196D31"/>
    <w:rsid w:val="0019700C"/>
    <w:rsid w:val="001A1159"/>
    <w:rsid w:val="001A1B35"/>
    <w:rsid w:val="001A3D19"/>
    <w:rsid w:val="001A48A2"/>
    <w:rsid w:val="001A60F7"/>
    <w:rsid w:val="001A6F61"/>
    <w:rsid w:val="001B6B31"/>
    <w:rsid w:val="001B6C3F"/>
    <w:rsid w:val="001B72B8"/>
    <w:rsid w:val="001C2E18"/>
    <w:rsid w:val="001C585A"/>
    <w:rsid w:val="001C69B3"/>
    <w:rsid w:val="001C72B7"/>
    <w:rsid w:val="001D19C2"/>
    <w:rsid w:val="001D3D65"/>
    <w:rsid w:val="001D432E"/>
    <w:rsid w:val="001D4A4C"/>
    <w:rsid w:val="001D5595"/>
    <w:rsid w:val="001D58A2"/>
    <w:rsid w:val="001D5AC0"/>
    <w:rsid w:val="001D6E9A"/>
    <w:rsid w:val="001D754D"/>
    <w:rsid w:val="001D7874"/>
    <w:rsid w:val="001D7F22"/>
    <w:rsid w:val="001E04B0"/>
    <w:rsid w:val="001E0C1A"/>
    <w:rsid w:val="001E362C"/>
    <w:rsid w:val="001E5FEC"/>
    <w:rsid w:val="001E676C"/>
    <w:rsid w:val="001E70D7"/>
    <w:rsid w:val="001E7154"/>
    <w:rsid w:val="001F0F17"/>
    <w:rsid w:val="001F103A"/>
    <w:rsid w:val="001F1EAB"/>
    <w:rsid w:val="001F3347"/>
    <w:rsid w:val="001F48E9"/>
    <w:rsid w:val="001F4DB7"/>
    <w:rsid w:val="001F5841"/>
    <w:rsid w:val="001F69E4"/>
    <w:rsid w:val="001F79EC"/>
    <w:rsid w:val="00203A1C"/>
    <w:rsid w:val="00203BEE"/>
    <w:rsid w:val="00204D25"/>
    <w:rsid w:val="00205350"/>
    <w:rsid w:val="00206D77"/>
    <w:rsid w:val="002125B4"/>
    <w:rsid w:val="00213620"/>
    <w:rsid w:val="0021470A"/>
    <w:rsid w:val="00214F80"/>
    <w:rsid w:val="002155B8"/>
    <w:rsid w:val="0022196D"/>
    <w:rsid w:val="00224839"/>
    <w:rsid w:val="002249B2"/>
    <w:rsid w:val="00225096"/>
    <w:rsid w:val="00226574"/>
    <w:rsid w:val="0022769B"/>
    <w:rsid w:val="002278EC"/>
    <w:rsid w:val="00231EC7"/>
    <w:rsid w:val="0023280E"/>
    <w:rsid w:val="002336D8"/>
    <w:rsid w:val="00235B19"/>
    <w:rsid w:val="00236778"/>
    <w:rsid w:val="002377D1"/>
    <w:rsid w:val="00242210"/>
    <w:rsid w:val="00242931"/>
    <w:rsid w:val="002463C3"/>
    <w:rsid w:val="00246E75"/>
    <w:rsid w:val="002506BC"/>
    <w:rsid w:val="00252AE3"/>
    <w:rsid w:val="0025398C"/>
    <w:rsid w:val="00254345"/>
    <w:rsid w:val="0025581F"/>
    <w:rsid w:val="002614AF"/>
    <w:rsid w:val="00263992"/>
    <w:rsid w:val="00264557"/>
    <w:rsid w:val="00265109"/>
    <w:rsid w:val="002653BB"/>
    <w:rsid w:val="00265424"/>
    <w:rsid w:val="00265EB9"/>
    <w:rsid w:val="00267C73"/>
    <w:rsid w:val="0027017B"/>
    <w:rsid w:val="00270683"/>
    <w:rsid w:val="002717F0"/>
    <w:rsid w:val="0027184C"/>
    <w:rsid w:val="002742FB"/>
    <w:rsid w:val="00277906"/>
    <w:rsid w:val="002805AB"/>
    <w:rsid w:val="002831F9"/>
    <w:rsid w:val="00284204"/>
    <w:rsid w:val="0028640F"/>
    <w:rsid w:val="00286DB2"/>
    <w:rsid w:val="00290501"/>
    <w:rsid w:val="002909E7"/>
    <w:rsid w:val="00290D1D"/>
    <w:rsid w:val="00291773"/>
    <w:rsid w:val="002920C3"/>
    <w:rsid w:val="0029317A"/>
    <w:rsid w:val="002956AB"/>
    <w:rsid w:val="002A168C"/>
    <w:rsid w:val="002A2C10"/>
    <w:rsid w:val="002A3DC7"/>
    <w:rsid w:val="002A558C"/>
    <w:rsid w:val="002A74FD"/>
    <w:rsid w:val="002A7A94"/>
    <w:rsid w:val="002A7D40"/>
    <w:rsid w:val="002B2162"/>
    <w:rsid w:val="002B2930"/>
    <w:rsid w:val="002B49E2"/>
    <w:rsid w:val="002B5960"/>
    <w:rsid w:val="002B6FBA"/>
    <w:rsid w:val="002B70DA"/>
    <w:rsid w:val="002B7B00"/>
    <w:rsid w:val="002B7C44"/>
    <w:rsid w:val="002B7F11"/>
    <w:rsid w:val="002C2568"/>
    <w:rsid w:val="002C25C2"/>
    <w:rsid w:val="002C29EA"/>
    <w:rsid w:val="002C2B17"/>
    <w:rsid w:val="002C5A27"/>
    <w:rsid w:val="002C7633"/>
    <w:rsid w:val="002D0663"/>
    <w:rsid w:val="002D1FB9"/>
    <w:rsid w:val="002D3DD0"/>
    <w:rsid w:val="002D436F"/>
    <w:rsid w:val="002D4A2A"/>
    <w:rsid w:val="002D4E42"/>
    <w:rsid w:val="002D5314"/>
    <w:rsid w:val="002E1F3A"/>
    <w:rsid w:val="002E298A"/>
    <w:rsid w:val="002E4851"/>
    <w:rsid w:val="002E5BF6"/>
    <w:rsid w:val="002E7A0E"/>
    <w:rsid w:val="002F04B6"/>
    <w:rsid w:val="002F21EF"/>
    <w:rsid w:val="002F39D8"/>
    <w:rsid w:val="002F464D"/>
    <w:rsid w:val="002F60E4"/>
    <w:rsid w:val="00300B35"/>
    <w:rsid w:val="00301978"/>
    <w:rsid w:val="00301D15"/>
    <w:rsid w:val="00302860"/>
    <w:rsid w:val="0030332C"/>
    <w:rsid w:val="003051C2"/>
    <w:rsid w:val="003062B2"/>
    <w:rsid w:val="00311B24"/>
    <w:rsid w:val="00311F72"/>
    <w:rsid w:val="0031203B"/>
    <w:rsid w:val="00312296"/>
    <w:rsid w:val="003126DE"/>
    <w:rsid w:val="00314F0E"/>
    <w:rsid w:val="0032036B"/>
    <w:rsid w:val="00320A92"/>
    <w:rsid w:val="00321D8E"/>
    <w:rsid w:val="003225B2"/>
    <w:rsid w:val="003231C4"/>
    <w:rsid w:val="00325928"/>
    <w:rsid w:val="00325C75"/>
    <w:rsid w:val="00326105"/>
    <w:rsid w:val="00332863"/>
    <w:rsid w:val="00334236"/>
    <w:rsid w:val="0033684D"/>
    <w:rsid w:val="00336CCD"/>
    <w:rsid w:val="00337B42"/>
    <w:rsid w:val="00341B42"/>
    <w:rsid w:val="0034348F"/>
    <w:rsid w:val="003518AF"/>
    <w:rsid w:val="0035525A"/>
    <w:rsid w:val="003555F6"/>
    <w:rsid w:val="00356653"/>
    <w:rsid w:val="0035743F"/>
    <w:rsid w:val="00357BE2"/>
    <w:rsid w:val="0036170C"/>
    <w:rsid w:val="00366E0F"/>
    <w:rsid w:val="00371C52"/>
    <w:rsid w:val="00373B19"/>
    <w:rsid w:val="00380A36"/>
    <w:rsid w:val="00380DA6"/>
    <w:rsid w:val="00381A72"/>
    <w:rsid w:val="00384676"/>
    <w:rsid w:val="00386B16"/>
    <w:rsid w:val="00390857"/>
    <w:rsid w:val="0039257E"/>
    <w:rsid w:val="003932A4"/>
    <w:rsid w:val="0039342A"/>
    <w:rsid w:val="00395DCC"/>
    <w:rsid w:val="0039625D"/>
    <w:rsid w:val="00397F37"/>
    <w:rsid w:val="003A48E4"/>
    <w:rsid w:val="003A4BF3"/>
    <w:rsid w:val="003A59A6"/>
    <w:rsid w:val="003A7DD0"/>
    <w:rsid w:val="003B0D55"/>
    <w:rsid w:val="003B2D0D"/>
    <w:rsid w:val="003B420D"/>
    <w:rsid w:val="003B59B9"/>
    <w:rsid w:val="003C23C6"/>
    <w:rsid w:val="003C6C16"/>
    <w:rsid w:val="003D1BFF"/>
    <w:rsid w:val="003D27EB"/>
    <w:rsid w:val="003D4AF5"/>
    <w:rsid w:val="003D757C"/>
    <w:rsid w:val="003D794D"/>
    <w:rsid w:val="003E0331"/>
    <w:rsid w:val="003E18FB"/>
    <w:rsid w:val="003E2E39"/>
    <w:rsid w:val="003E3058"/>
    <w:rsid w:val="003E45E9"/>
    <w:rsid w:val="003E6504"/>
    <w:rsid w:val="003E76A9"/>
    <w:rsid w:val="003E7D64"/>
    <w:rsid w:val="003E7FB0"/>
    <w:rsid w:val="003F0494"/>
    <w:rsid w:val="003F0809"/>
    <w:rsid w:val="003F10AA"/>
    <w:rsid w:val="003F1FBB"/>
    <w:rsid w:val="003F425A"/>
    <w:rsid w:val="003F448A"/>
    <w:rsid w:val="003F61FB"/>
    <w:rsid w:val="003F6757"/>
    <w:rsid w:val="003F6A8C"/>
    <w:rsid w:val="003F755C"/>
    <w:rsid w:val="003F76DD"/>
    <w:rsid w:val="00400BFA"/>
    <w:rsid w:val="004068C5"/>
    <w:rsid w:val="00406F01"/>
    <w:rsid w:val="004134B6"/>
    <w:rsid w:val="004139E9"/>
    <w:rsid w:val="00413A02"/>
    <w:rsid w:val="00415F12"/>
    <w:rsid w:val="004167A2"/>
    <w:rsid w:val="00416D50"/>
    <w:rsid w:val="00416FD5"/>
    <w:rsid w:val="00417772"/>
    <w:rsid w:val="00420E6A"/>
    <w:rsid w:val="0042157A"/>
    <w:rsid w:val="004222B0"/>
    <w:rsid w:val="00425A9E"/>
    <w:rsid w:val="00426D6B"/>
    <w:rsid w:val="0043051D"/>
    <w:rsid w:val="00431E6C"/>
    <w:rsid w:val="00433CE7"/>
    <w:rsid w:val="004355B1"/>
    <w:rsid w:val="004359CA"/>
    <w:rsid w:val="0044049A"/>
    <w:rsid w:val="00440E47"/>
    <w:rsid w:val="00441F70"/>
    <w:rsid w:val="00443D7B"/>
    <w:rsid w:val="004459F2"/>
    <w:rsid w:val="004466DF"/>
    <w:rsid w:val="004478AD"/>
    <w:rsid w:val="004526CC"/>
    <w:rsid w:val="00452738"/>
    <w:rsid w:val="00452EF3"/>
    <w:rsid w:val="00454D38"/>
    <w:rsid w:val="00454FCC"/>
    <w:rsid w:val="00456091"/>
    <w:rsid w:val="00464283"/>
    <w:rsid w:val="00465FAB"/>
    <w:rsid w:val="00466321"/>
    <w:rsid w:val="00466EAB"/>
    <w:rsid w:val="00470CD8"/>
    <w:rsid w:val="00474F35"/>
    <w:rsid w:val="0047653B"/>
    <w:rsid w:val="004807D2"/>
    <w:rsid w:val="00482163"/>
    <w:rsid w:val="004832F4"/>
    <w:rsid w:val="0048488B"/>
    <w:rsid w:val="00484B9B"/>
    <w:rsid w:val="004855F6"/>
    <w:rsid w:val="0048661E"/>
    <w:rsid w:val="004903EC"/>
    <w:rsid w:val="0049415B"/>
    <w:rsid w:val="004941BA"/>
    <w:rsid w:val="00494670"/>
    <w:rsid w:val="00494F3F"/>
    <w:rsid w:val="004A2A29"/>
    <w:rsid w:val="004A3823"/>
    <w:rsid w:val="004A43F4"/>
    <w:rsid w:val="004A5E45"/>
    <w:rsid w:val="004A7B3F"/>
    <w:rsid w:val="004B598D"/>
    <w:rsid w:val="004B6164"/>
    <w:rsid w:val="004C243D"/>
    <w:rsid w:val="004C2487"/>
    <w:rsid w:val="004C2687"/>
    <w:rsid w:val="004C370B"/>
    <w:rsid w:val="004C3EC5"/>
    <w:rsid w:val="004C4A72"/>
    <w:rsid w:val="004C4E6F"/>
    <w:rsid w:val="004C5D15"/>
    <w:rsid w:val="004D1AB0"/>
    <w:rsid w:val="004D7B10"/>
    <w:rsid w:val="004D7EF2"/>
    <w:rsid w:val="004E202F"/>
    <w:rsid w:val="004E4D79"/>
    <w:rsid w:val="004E5523"/>
    <w:rsid w:val="004E6946"/>
    <w:rsid w:val="004F01D7"/>
    <w:rsid w:val="004F0C51"/>
    <w:rsid w:val="004F1AD8"/>
    <w:rsid w:val="004F4618"/>
    <w:rsid w:val="004F6D8B"/>
    <w:rsid w:val="00500AC8"/>
    <w:rsid w:val="005039CB"/>
    <w:rsid w:val="00504C94"/>
    <w:rsid w:val="0050558F"/>
    <w:rsid w:val="00506286"/>
    <w:rsid w:val="00507DCF"/>
    <w:rsid w:val="00510813"/>
    <w:rsid w:val="0051092D"/>
    <w:rsid w:val="00511990"/>
    <w:rsid w:val="00511DE0"/>
    <w:rsid w:val="005120C9"/>
    <w:rsid w:val="00514870"/>
    <w:rsid w:val="00514B9B"/>
    <w:rsid w:val="00516351"/>
    <w:rsid w:val="005177FB"/>
    <w:rsid w:val="00517F02"/>
    <w:rsid w:val="00521FF3"/>
    <w:rsid w:val="00524303"/>
    <w:rsid w:val="005258A2"/>
    <w:rsid w:val="00530D7E"/>
    <w:rsid w:val="0053439E"/>
    <w:rsid w:val="005355A0"/>
    <w:rsid w:val="00537773"/>
    <w:rsid w:val="005401AE"/>
    <w:rsid w:val="00542E07"/>
    <w:rsid w:val="00543361"/>
    <w:rsid w:val="00545424"/>
    <w:rsid w:val="00547776"/>
    <w:rsid w:val="0055065D"/>
    <w:rsid w:val="005529F0"/>
    <w:rsid w:val="0055338A"/>
    <w:rsid w:val="00554A7B"/>
    <w:rsid w:val="0055572C"/>
    <w:rsid w:val="00560CC2"/>
    <w:rsid w:val="0056106A"/>
    <w:rsid w:val="00564677"/>
    <w:rsid w:val="00566F7A"/>
    <w:rsid w:val="00571FC3"/>
    <w:rsid w:val="005720AE"/>
    <w:rsid w:val="00572BF2"/>
    <w:rsid w:val="0057437A"/>
    <w:rsid w:val="00574C4B"/>
    <w:rsid w:val="00575A18"/>
    <w:rsid w:val="00576ABB"/>
    <w:rsid w:val="00577224"/>
    <w:rsid w:val="0057798D"/>
    <w:rsid w:val="00580796"/>
    <w:rsid w:val="00580CE4"/>
    <w:rsid w:val="005860B8"/>
    <w:rsid w:val="005872E0"/>
    <w:rsid w:val="0058770E"/>
    <w:rsid w:val="00587E69"/>
    <w:rsid w:val="00590EDE"/>
    <w:rsid w:val="00593509"/>
    <w:rsid w:val="005943F4"/>
    <w:rsid w:val="00594D77"/>
    <w:rsid w:val="005969E4"/>
    <w:rsid w:val="00596A63"/>
    <w:rsid w:val="005A06B7"/>
    <w:rsid w:val="005A1759"/>
    <w:rsid w:val="005A32EB"/>
    <w:rsid w:val="005A3728"/>
    <w:rsid w:val="005A68A7"/>
    <w:rsid w:val="005A7854"/>
    <w:rsid w:val="005A79E5"/>
    <w:rsid w:val="005A7CD8"/>
    <w:rsid w:val="005B2743"/>
    <w:rsid w:val="005B383F"/>
    <w:rsid w:val="005B4E74"/>
    <w:rsid w:val="005C07BB"/>
    <w:rsid w:val="005C1B77"/>
    <w:rsid w:val="005C29FD"/>
    <w:rsid w:val="005C3C8F"/>
    <w:rsid w:val="005D36AB"/>
    <w:rsid w:val="005D4297"/>
    <w:rsid w:val="005D5CDD"/>
    <w:rsid w:val="005E13EE"/>
    <w:rsid w:val="005E5FEF"/>
    <w:rsid w:val="005E727A"/>
    <w:rsid w:val="005F11CF"/>
    <w:rsid w:val="005F1797"/>
    <w:rsid w:val="005F4006"/>
    <w:rsid w:val="005F63CC"/>
    <w:rsid w:val="005F6942"/>
    <w:rsid w:val="006034CC"/>
    <w:rsid w:val="0060461B"/>
    <w:rsid w:val="00605CE8"/>
    <w:rsid w:val="00607661"/>
    <w:rsid w:val="00607AD8"/>
    <w:rsid w:val="00612544"/>
    <w:rsid w:val="00612BAE"/>
    <w:rsid w:val="00612EF0"/>
    <w:rsid w:val="006162FD"/>
    <w:rsid w:val="00617CC3"/>
    <w:rsid w:val="00620E67"/>
    <w:rsid w:val="006238AF"/>
    <w:rsid w:val="00623986"/>
    <w:rsid w:val="0062510C"/>
    <w:rsid w:val="00626B4D"/>
    <w:rsid w:val="006307E2"/>
    <w:rsid w:val="00633BB6"/>
    <w:rsid w:val="00633DA8"/>
    <w:rsid w:val="00635C73"/>
    <w:rsid w:val="00636E21"/>
    <w:rsid w:val="006377A6"/>
    <w:rsid w:val="00637A3D"/>
    <w:rsid w:val="006411EF"/>
    <w:rsid w:val="006417CE"/>
    <w:rsid w:val="006418A6"/>
    <w:rsid w:val="00642E2B"/>
    <w:rsid w:val="00645F72"/>
    <w:rsid w:val="00647764"/>
    <w:rsid w:val="006518C5"/>
    <w:rsid w:val="00651A3A"/>
    <w:rsid w:val="00651BDB"/>
    <w:rsid w:val="006560F6"/>
    <w:rsid w:val="006569FD"/>
    <w:rsid w:val="00671F7E"/>
    <w:rsid w:val="00673C22"/>
    <w:rsid w:val="0067423F"/>
    <w:rsid w:val="006748B8"/>
    <w:rsid w:val="006775C3"/>
    <w:rsid w:val="00680832"/>
    <w:rsid w:val="00680DD0"/>
    <w:rsid w:val="006842BA"/>
    <w:rsid w:val="006856FF"/>
    <w:rsid w:val="0069290A"/>
    <w:rsid w:val="00692DFC"/>
    <w:rsid w:val="0069775A"/>
    <w:rsid w:val="00697813"/>
    <w:rsid w:val="006A0A80"/>
    <w:rsid w:val="006A29D7"/>
    <w:rsid w:val="006A3EE8"/>
    <w:rsid w:val="006A6211"/>
    <w:rsid w:val="006A72BF"/>
    <w:rsid w:val="006A7497"/>
    <w:rsid w:val="006B03F2"/>
    <w:rsid w:val="006B09A5"/>
    <w:rsid w:val="006B1858"/>
    <w:rsid w:val="006B1DDD"/>
    <w:rsid w:val="006B37DC"/>
    <w:rsid w:val="006B3B6A"/>
    <w:rsid w:val="006B4F68"/>
    <w:rsid w:val="006B6845"/>
    <w:rsid w:val="006C0592"/>
    <w:rsid w:val="006C1C64"/>
    <w:rsid w:val="006C2311"/>
    <w:rsid w:val="006C272E"/>
    <w:rsid w:val="006C3164"/>
    <w:rsid w:val="006C45B3"/>
    <w:rsid w:val="006C514E"/>
    <w:rsid w:val="006C5479"/>
    <w:rsid w:val="006C6DE8"/>
    <w:rsid w:val="006C738A"/>
    <w:rsid w:val="006C74BC"/>
    <w:rsid w:val="006D001B"/>
    <w:rsid w:val="006D13B5"/>
    <w:rsid w:val="006D171E"/>
    <w:rsid w:val="006D1826"/>
    <w:rsid w:val="006D3356"/>
    <w:rsid w:val="006D5CB3"/>
    <w:rsid w:val="006D75F5"/>
    <w:rsid w:val="006E0B73"/>
    <w:rsid w:val="006E0D05"/>
    <w:rsid w:val="006E12FF"/>
    <w:rsid w:val="006E22A9"/>
    <w:rsid w:val="006E451E"/>
    <w:rsid w:val="006E607E"/>
    <w:rsid w:val="006E71F1"/>
    <w:rsid w:val="006F00D1"/>
    <w:rsid w:val="006F11F5"/>
    <w:rsid w:val="006F72FD"/>
    <w:rsid w:val="00705EB2"/>
    <w:rsid w:val="00706C5D"/>
    <w:rsid w:val="0071450B"/>
    <w:rsid w:val="00714E5E"/>
    <w:rsid w:val="00715261"/>
    <w:rsid w:val="00716907"/>
    <w:rsid w:val="00726141"/>
    <w:rsid w:val="00732922"/>
    <w:rsid w:val="00734CCD"/>
    <w:rsid w:val="007352E5"/>
    <w:rsid w:val="00736F1C"/>
    <w:rsid w:val="00742F0D"/>
    <w:rsid w:val="007430ED"/>
    <w:rsid w:val="007435C0"/>
    <w:rsid w:val="0075162E"/>
    <w:rsid w:val="00754034"/>
    <w:rsid w:val="007554CA"/>
    <w:rsid w:val="00756556"/>
    <w:rsid w:val="007618C4"/>
    <w:rsid w:val="00762C65"/>
    <w:rsid w:val="00762FDB"/>
    <w:rsid w:val="00763AEB"/>
    <w:rsid w:val="00766C9E"/>
    <w:rsid w:val="00767980"/>
    <w:rsid w:val="00770B19"/>
    <w:rsid w:val="00772714"/>
    <w:rsid w:val="007733DE"/>
    <w:rsid w:val="0077463F"/>
    <w:rsid w:val="007751FA"/>
    <w:rsid w:val="00780D85"/>
    <w:rsid w:val="007836EA"/>
    <w:rsid w:val="00784CDA"/>
    <w:rsid w:val="007906C4"/>
    <w:rsid w:val="00791FCB"/>
    <w:rsid w:val="007940EA"/>
    <w:rsid w:val="0079581E"/>
    <w:rsid w:val="00795AE8"/>
    <w:rsid w:val="007967E8"/>
    <w:rsid w:val="0079687A"/>
    <w:rsid w:val="007A2170"/>
    <w:rsid w:val="007A22BF"/>
    <w:rsid w:val="007A3323"/>
    <w:rsid w:val="007A351C"/>
    <w:rsid w:val="007A35D9"/>
    <w:rsid w:val="007A3680"/>
    <w:rsid w:val="007A3C71"/>
    <w:rsid w:val="007A5B47"/>
    <w:rsid w:val="007B0B95"/>
    <w:rsid w:val="007B1FC4"/>
    <w:rsid w:val="007B4193"/>
    <w:rsid w:val="007B4798"/>
    <w:rsid w:val="007B72B8"/>
    <w:rsid w:val="007B7A58"/>
    <w:rsid w:val="007C21B5"/>
    <w:rsid w:val="007C2939"/>
    <w:rsid w:val="007C5012"/>
    <w:rsid w:val="007D5A60"/>
    <w:rsid w:val="007D6045"/>
    <w:rsid w:val="007E106C"/>
    <w:rsid w:val="007E231A"/>
    <w:rsid w:val="007E4BD2"/>
    <w:rsid w:val="007E520F"/>
    <w:rsid w:val="007F1429"/>
    <w:rsid w:val="007F40AB"/>
    <w:rsid w:val="007F7723"/>
    <w:rsid w:val="00800655"/>
    <w:rsid w:val="00800D97"/>
    <w:rsid w:val="00801393"/>
    <w:rsid w:val="00802F88"/>
    <w:rsid w:val="00804285"/>
    <w:rsid w:val="00805B08"/>
    <w:rsid w:val="00810C43"/>
    <w:rsid w:val="0081293E"/>
    <w:rsid w:val="00815465"/>
    <w:rsid w:val="00817CE7"/>
    <w:rsid w:val="00817E9A"/>
    <w:rsid w:val="0082221A"/>
    <w:rsid w:val="00823041"/>
    <w:rsid w:val="0082371B"/>
    <w:rsid w:val="0082377C"/>
    <w:rsid w:val="00825B5C"/>
    <w:rsid w:val="00825C8F"/>
    <w:rsid w:val="008306BD"/>
    <w:rsid w:val="00831A80"/>
    <w:rsid w:val="00831E49"/>
    <w:rsid w:val="0083241F"/>
    <w:rsid w:val="00833743"/>
    <w:rsid w:val="008340A4"/>
    <w:rsid w:val="0084382B"/>
    <w:rsid w:val="008501C3"/>
    <w:rsid w:val="00850845"/>
    <w:rsid w:val="008513CB"/>
    <w:rsid w:val="00854C6B"/>
    <w:rsid w:val="00861BD5"/>
    <w:rsid w:val="00861FAA"/>
    <w:rsid w:val="0086242C"/>
    <w:rsid w:val="00863D96"/>
    <w:rsid w:val="00863FE1"/>
    <w:rsid w:val="00865C67"/>
    <w:rsid w:val="008670A0"/>
    <w:rsid w:val="008673D7"/>
    <w:rsid w:val="00870F82"/>
    <w:rsid w:val="0087135F"/>
    <w:rsid w:val="00871AC2"/>
    <w:rsid w:val="00872D94"/>
    <w:rsid w:val="0087378F"/>
    <w:rsid w:val="00874040"/>
    <w:rsid w:val="008746B9"/>
    <w:rsid w:val="00874CAA"/>
    <w:rsid w:val="00875819"/>
    <w:rsid w:val="00880364"/>
    <w:rsid w:val="008804C5"/>
    <w:rsid w:val="00882D75"/>
    <w:rsid w:val="008846A5"/>
    <w:rsid w:val="00884BD2"/>
    <w:rsid w:val="00891592"/>
    <w:rsid w:val="00891E9E"/>
    <w:rsid w:val="0089247F"/>
    <w:rsid w:val="00892807"/>
    <w:rsid w:val="0089751D"/>
    <w:rsid w:val="008A2F68"/>
    <w:rsid w:val="008A527E"/>
    <w:rsid w:val="008B0940"/>
    <w:rsid w:val="008B104B"/>
    <w:rsid w:val="008B1433"/>
    <w:rsid w:val="008B2CF4"/>
    <w:rsid w:val="008B4FA6"/>
    <w:rsid w:val="008B5282"/>
    <w:rsid w:val="008B7C17"/>
    <w:rsid w:val="008B7CA3"/>
    <w:rsid w:val="008C042D"/>
    <w:rsid w:val="008C1103"/>
    <w:rsid w:val="008C271C"/>
    <w:rsid w:val="008C2D01"/>
    <w:rsid w:val="008C40E6"/>
    <w:rsid w:val="008C568E"/>
    <w:rsid w:val="008C5EB1"/>
    <w:rsid w:val="008C60FA"/>
    <w:rsid w:val="008D0EC7"/>
    <w:rsid w:val="008D0F7A"/>
    <w:rsid w:val="008D3B9A"/>
    <w:rsid w:val="008D68E4"/>
    <w:rsid w:val="008E0506"/>
    <w:rsid w:val="008E0CFF"/>
    <w:rsid w:val="008E2B4A"/>
    <w:rsid w:val="008E4357"/>
    <w:rsid w:val="008E4B84"/>
    <w:rsid w:val="008E5C32"/>
    <w:rsid w:val="008E5D6B"/>
    <w:rsid w:val="008E76F0"/>
    <w:rsid w:val="008E7A78"/>
    <w:rsid w:val="008F053F"/>
    <w:rsid w:val="008F0DDC"/>
    <w:rsid w:val="008F15FE"/>
    <w:rsid w:val="008F1B10"/>
    <w:rsid w:val="008F2D29"/>
    <w:rsid w:val="008F5187"/>
    <w:rsid w:val="008F60D8"/>
    <w:rsid w:val="008F79F8"/>
    <w:rsid w:val="008F7F09"/>
    <w:rsid w:val="00901141"/>
    <w:rsid w:val="00902727"/>
    <w:rsid w:val="00902B1F"/>
    <w:rsid w:val="0090312B"/>
    <w:rsid w:val="009038F4"/>
    <w:rsid w:val="00912F16"/>
    <w:rsid w:val="0091515F"/>
    <w:rsid w:val="0091613A"/>
    <w:rsid w:val="0091736D"/>
    <w:rsid w:val="009173F2"/>
    <w:rsid w:val="0092167A"/>
    <w:rsid w:val="00921BA8"/>
    <w:rsid w:val="00924BAE"/>
    <w:rsid w:val="009259A6"/>
    <w:rsid w:val="0093037A"/>
    <w:rsid w:val="009402E7"/>
    <w:rsid w:val="0094154D"/>
    <w:rsid w:val="0094397A"/>
    <w:rsid w:val="0095155F"/>
    <w:rsid w:val="00952353"/>
    <w:rsid w:val="009534C6"/>
    <w:rsid w:val="0095358F"/>
    <w:rsid w:val="00954429"/>
    <w:rsid w:val="009545D1"/>
    <w:rsid w:val="009559B9"/>
    <w:rsid w:val="009563CE"/>
    <w:rsid w:val="00956D27"/>
    <w:rsid w:val="00966EC9"/>
    <w:rsid w:val="009726D6"/>
    <w:rsid w:val="00973583"/>
    <w:rsid w:val="00976328"/>
    <w:rsid w:val="0097680D"/>
    <w:rsid w:val="00977BA8"/>
    <w:rsid w:val="00980079"/>
    <w:rsid w:val="009809A2"/>
    <w:rsid w:val="00981246"/>
    <w:rsid w:val="00982438"/>
    <w:rsid w:val="00983C01"/>
    <w:rsid w:val="00983F07"/>
    <w:rsid w:val="0098404C"/>
    <w:rsid w:val="0098412A"/>
    <w:rsid w:val="00985283"/>
    <w:rsid w:val="009903F0"/>
    <w:rsid w:val="0099579F"/>
    <w:rsid w:val="00995992"/>
    <w:rsid w:val="009964F8"/>
    <w:rsid w:val="00996E60"/>
    <w:rsid w:val="009A03E5"/>
    <w:rsid w:val="009A0CD3"/>
    <w:rsid w:val="009A0F3B"/>
    <w:rsid w:val="009A0F8D"/>
    <w:rsid w:val="009A1ACA"/>
    <w:rsid w:val="009A1BB4"/>
    <w:rsid w:val="009A2628"/>
    <w:rsid w:val="009A3200"/>
    <w:rsid w:val="009A3C2B"/>
    <w:rsid w:val="009B0897"/>
    <w:rsid w:val="009B2048"/>
    <w:rsid w:val="009B2606"/>
    <w:rsid w:val="009B7BD9"/>
    <w:rsid w:val="009C37A4"/>
    <w:rsid w:val="009C6FC0"/>
    <w:rsid w:val="009C7DD5"/>
    <w:rsid w:val="009D27EF"/>
    <w:rsid w:val="009D6A46"/>
    <w:rsid w:val="009E227D"/>
    <w:rsid w:val="009E258D"/>
    <w:rsid w:val="009E5019"/>
    <w:rsid w:val="009E5297"/>
    <w:rsid w:val="009E694E"/>
    <w:rsid w:val="009E7B88"/>
    <w:rsid w:val="009F131D"/>
    <w:rsid w:val="009F1416"/>
    <w:rsid w:val="009F6811"/>
    <w:rsid w:val="00A024E6"/>
    <w:rsid w:val="00A03530"/>
    <w:rsid w:val="00A039BF"/>
    <w:rsid w:val="00A04F1B"/>
    <w:rsid w:val="00A0501B"/>
    <w:rsid w:val="00A07CB6"/>
    <w:rsid w:val="00A1339D"/>
    <w:rsid w:val="00A13B2D"/>
    <w:rsid w:val="00A1486F"/>
    <w:rsid w:val="00A14947"/>
    <w:rsid w:val="00A153CF"/>
    <w:rsid w:val="00A20082"/>
    <w:rsid w:val="00A216FC"/>
    <w:rsid w:val="00A22ED5"/>
    <w:rsid w:val="00A25F70"/>
    <w:rsid w:val="00A26776"/>
    <w:rsid w:val="00A26F91"/>
    <w:rsid w:val="00A32A83"/>
    <w:rsid w:val="00A34678"/>
    <w:rsid w:val="00A368DB"/>
    <w:rsid w:val="00A402B0"/>
    <w:rsid w:val="00A41247"/>
    <w:rsid w:val="00A423AA"/>
    <w:rsid w:val="00A42FC5"/>
    <w:rsid w:val="00A52D85"/>
    <w:rsid w:val="00A53EC6"/>
    <w:rsid w:val="00A55C0F"/>
    <w:rsid w:val="00A56582"/>
    <w:rsid w:val="00A572AB"/>
    <w:rsid w:val="00A6115E"/>
    <w:rsid w:val="00A6226A"/>
    <w:rsid w:val="00A6354F"/>
    <w:rsid w:val="00A63EBA"/>
    <w:rsid w:val="00A645DE"/>
    <w:rsid w:val="00A66504"/>
    <w:rsid w:val="00A66A7D"/>
    <w:rsid w:val="00A66E54"/>
    <w:rsid w:val="00A676BC"/>
    <w:rsid w:val="00A73F9D"/>
    <w:rsid w:val="00A76E1C"/>
    <w:rsid w:val="00A80C71"/>
    <w:rsid w:val="00A80DAD"/>
    <w:rsid w:val="00A85DBC"/>
    <w:rsid w:val="00A86E43"/>
    <w:rsid w:val="00A8713F"/>
    <w:rsid w:val="00A87246"/>
    <w:rsid w:val="00A9076A"/>
    <w:rsid w:val="00A90BA1"/>
    <w:rsid w:val="00A91466"/>
    <w:rsid w:val="00A96E51"/>
    <w:rsid w:val="00A97A9A"/>
    <w:rsid w:val="00AA0671"/>
    <w:rsid w:val="00AA2531"/>
    <w:rsid w:val="00AA56A7"/>
    <w:rsid w:val="00AA5881"/>
    <w:rsid w:val="00AA6076"/>
    <w:rsid w:val="00AB19F8"/>
    <w:rsid w:val="00AB1DD2"/>
    <w:rsid w:val="00AB1E09"/>
    <w:rsid w:val="00AB3D7D"/>
    <w:rsid w:val="00AB3E88"/>
    <w:rsid w:val="00AB5330"/>
    <w:rsid w:val="00AB6F11"/>
    <w:rsid w:val="00AB7747"/>
    <w:rsid w:val="00AC0405"/>
    <w:rsid w:val="00AC06FA"/>
    <w:rsid w:val="00AC14CE"/>
    <w:rsid w:val="00AC1E2A"/>
    <w:rsid w:val="00AC2A56"/>
    <w:rsid w:val="00AC7BF1"/>
    <w:rsid w:val="00AC7F49"/>
    <w:rsid w:val="00AD055E"/>
    <w:rsid w:val="00AD168A"/>
    <w:rsid w:val="00AD34A3"/>
    <w:rsid w:val="00AD47A7"/>
    <w:rsid w:val="00AD67D3"/>
    <w:rsid w:val="00AD68E9"/>
    <w:rsid w:val="00AD760E"/>
    <w:rsid w:val="00AD77B0"/>
    <w:rsid w:val="00AE33AA"/>
    <w:rsid w:val="00AE3F65"/>
    <w:rsid w:val="00AE5490"/>
    <w:rsid w:val="00AF01F5"/>
    <w:rsid w:val="00AF0CBF"/>
    <w:rsid w:val="00AF257F"/>
    <w:rsid w:val="00AF33CF"/>
    <w:rsid w:val="00AF4D50"/>
    <w:rsid w:val="00AF6179"/>
    <w:rsid w:val="00B00395"/>
    <w:rsid w:val="00B020A8"/>
    <w:rsid w:val="00B07325"/>
    <w:rsid w:val="00B11981"/>
    <w:rsid w:val="00B1295A"/>
    <w:rsid w:val="00B14FF5"/>
    <w:rsid w:val="00B16601"/>
    <w:rsid w:val="00B16831"/>
    <w:rsid w:val="00B17104"/>
    <w:rsid w:val="00B20A45"/>
    <w:rsid w:val="00B22C5C"/>
    <w:rsid w:val="00B24F30"/>
    <w:rsid w:val="00B31ABF"/>
    <w:rsid w:val="00B33BE3"/>
    <w:rsid w:val="00B360B0"/>
    <w:rsid w:val="00B41F68"/>
    <w:rsid w:val="00B42E6D"/>
    <w:rsid w:val="00B4420F"/>
    <w:rsid w:val="00B4443D"/>
    <w:rsid w:val="00B45D09"/>
    <w:rsid w:val="00B46994"/>
    <w:rsid w:val="00B533C2"/>
    <w:rsid w:val="00B53B5D"/>
    <w:rsid w:val="00B56F6F"/>
    <w:rsid w:val="00B57326"/>
    <w:rsid w:val="00B57DB0"/>
    <w:rsid w:val="00B6055E"/>
    <w:rsid w:val="00B61871"/>
    <w:rsid w:val="00B61E43"/>
    <w:rsid w:val="00B62A3A"/>
    <w:rsid w:val="00B6317D"/>
    <w:rsid w:val="00B63EE2"/>
    <w:rsid w:val="00B74D8D"/>
    <w:rsid w:val="00B7723F"/>
    <w:rsid w:val="00B803BC"/>
    <w:rsid w:val="00B80534"/>
    <w:rsid w:val="00B811A1"/>
    <w:rsid w:val="00B8141E"/>
    <w:rsid w:val="00B841D7"/>
    <w:rsid w:val="00B8433C"/>
    <w:rsid w:val="00B87491"/>
    <w:rsid w:val="00B9002D"/>
    <w:rsid w:val="00B909DF"/>
    <w:rsid w:val="00B91B37"/>
    <w:rsid w:val="00B91D19"/>
    <w:rsid w:val="00B93868"/>
    <w:rsid w:val="00BA29E9"/>
    <w:rsid w:val="00BA5E35"/>
    <w:rsid w:val="00BA7142"/>
    <w:rsid w:val="00BB237C"/>
    <w:rsid w:val="00BB27BA"/>
    <w:rsid w:val="00BB349A"/>
    <w:rsid w:val="00BB41A3"/>
    <w:rsid w:val="00BB59CB"/>
    <w:rsid w:val="00BB738F"/>
    <w:rsid w:val="00BB788D"/>
    <w:rsid w:val="00BC0357"/>
    <w:rsid w:val="00BC32DC"/>
    <w:rsid w:val="00BC35B6"/>
    <w:rsid w:val="00BC4E43"/>
    <w:rsid w:val="00BD1B51"/>
    <w:rsid w:val="00BD4596"/>
    <w:rsid w:val="00BD4B11"/>
    <w:rsid w:val="00BE1405"/>
    <w:rsid w:val="00BE312D"/>
    <w:rsid w:val="00BE4C07"/>
    <w:rsid w:val="00BE5C22"/>
    <w:rsid w:val="00BE7F97"/>
    <w:rsid w:val="00BF1C20"/>
    <w:rsid w:val="00BF3C7D"/>
    <w:rsid w:val="00BF7F20"/>
    <w:rsid w:val="00C05F46"/>
    <w:rsid w:val="00C06949"/>
    <w:rsid w:val="00C10578"/>
    <w:rsid w:val="00C11451"/>
    <w:rsid w:val="00C135BC"/>
    <w:rsid w:val="00C13CA7"/>
    <w:rsid w:val="00C15C95"/>
    <w:rsid w:val="00C165F4"/>
    <w:rsid w:val="00C1691A"/>
    <w:rsid w:val="00C205DD"/>
    <w:rsid w:val="00C20EFA"/>
    <w:rsid w:val="00C212B7"/>
    <w:rsid w:val="00C23932"/>
    <w:rsid w:val="00C24E58"/>
    <w:rsid w:val="00C2596A"/>
    <w:rsid w:val="00C25A03"/>
    <w:rsid w:val="00C2691B"/>
    <w:rsid w:val="00C26BCA"/>
    <w:rsid w:val="00C27537"/>
    <w:rsid w:val="00C27C4B"/>
    <w:rsid w:val="00C30FC4"/>
    <w:rsid w:val="00C3210D"/>
    <w:rsid w:val="00C328FE"/>
    <w:rsid w:val="00C33507"/>
    <w:rsid w:val="00C37F5E"/>
    <w:rsid w:val="00C4150F"/>
    <w:rsid w:val="00C4409D"/>
    <w:rsid w:val="00C44E72"/>
    <w:rsid w:val="00C4577B"/>
    <w:rsid w:val="00C45A06"/>
    <w:rsid w:val="00C47E5B"/>
    <w:rsid w:val="00C5295C"/>
    <w:rsid w:val="00C5604A"/>
    <w:rsid w:val="00C57869"/>
    <w:rsid w:val="00C61E4B"/>
    <w:rsid w:val="00C64BFF"/>
    <w:rsid w:val="00C64C6D"/>
    <w:rsid w:val="00C65535"/>
    <w:rsid w:val="00C704E9"/>
    <w:rsid w:val="00C71C15"/>
    <w:rsid w:val="00C7358C"/>
    <w:rsid w:val="00C73BDE"/>
    <w:rsid w:val="00C763C9"/>
    <w:rsid w:val="00C80057"/>
    <w:rsid w:val="00C8196A"/>
    <w:rsid w:val="00C81AC5"/>
    <w:rsid w:val="00C81C8A"/>
    <w:rsid w:val="00C82232"/>
    <w:rsid w:val="00C82570"/>
    <w:rsid w:val="00C82913"/>
    <w:rsid w:val="00C83044"/>
    <w:rsid w:val="00C91712"/>
    <w:rsid w:val="00C946CA"/>
    <w:rsid w:val="00C96E8E"/>
    <w:rsid w:val="00C972B1"/>
    <w:rsid w:val="00C97B2C"/>
    <w:rsid w:val="00CA03E4"/>
    <w:rsid w:val="00CA2CCE"/>
    <w:rsid w:val="00CA43FD"/>
    <w:rsid w:val="00CA5B67"/>
    <w:rsid w:val="00CA6AB7"/>
    <w:rsid w:val="00CA7EF8"/>
    <w:rsid w:val="00CB52E4"/>
    <w:rsid w:val="00CB637F"/>
    <w:rsid w:val="00CC1DDA"/>
    <w:rsid w:val="00CC489B"/>
    <w:rsid w:val="00CD063C"/>
    <w:rsid w:val="00CD0C70"/>
    <w:rsid w:val="00CD27EB"/>
    <w:rsid w:val="00CD2BCD"/>
    <w:rsid w:val="00CD2D32"/>
    <w:rsid w:val="00CD3A4C"/>
    <w:rsid w:val="00CD5705"/>
    <w:rsid w:val="00CE10E9"/>
    <w:rsid w:val="00CE2910"/>
    <w:rsid w:val="00CE421A"/>
    <w:rsid w:val="00CE5393"/>
    <w:rsid w:val="00CE6811"/>
    <w:rsid w:val="00CF36BE"/>
    <w:rsid w:val="00CF36C4"/>
    <w:rsid w:val="00CF3EDE"/>
    <w:rsid w:val="00CF6000"/>
    <w:rsid w:val="00CF6CBE"/>
    <w:rsid w:val="00CF7E22"/>
    <w:rsid w:val="00D003F3"/>
    <w:rsid w:val="00D0364F"/>
    <w:rsid w:val="00D06834"/>
    <w:rsid w:val="00D12D44"/>
    <w:rsid w:val="00D20B17"/>
    <w:rsid w:val="00D21FA6"/>
    <w:rsid w:val="00D264BD"/>
    <w:rsid w:val="00D2699B"/>
    <w:rsid w:val="00D27C13"/>
    <w:rsid w:val="00D308ED"/>
    <w:rsid w:val="00D342BD"/>
    <w:rsid w:val="00D34A75"/>
    <w:rsid w:val="00D367A0"/>
    <w:rsid w:val="00D36D86"/>
    <w:rsid w:val="00D428AA"/>
    <w:rsid w:val="00D43304"/>
    <w:rsid w:val="00D451D7"/>
    <w:rsid w:val="00D45982"/>
    <w:rsid w:val="00D46337"/>
    <w:rsid w:val="00D46938"/>
    <w:rsid w:val="00D50A34"/>
    <w:rsid w:val="00D53EFA"/>
    <w:rsid w:val="00D55729"/>
    <w:rsid w:val="00D60944"/>
    <w:rsid w:val="00D62416"/>
    <w:rsid w:val="00D626CE"/>
    <w:rsid w:val="00D62936"/>
    <w:rsid w:val="00D64269"/>
    <w:rsid w:val="00D64627"/>
    <w:rsid w:val="00D64995"/>
    <w:rsid w:val="00D64A1C"/>
    <w:rsid w:val="00D6500C"/>
    <w:rsid w:val="00D650C2"/>
    <w:rsid w:val="00D6510F"/>
    <w:rsid w:val="00D66BB0"/>
    <w:rsid w:val="00D67AAF"/>
    <w:rsid w:val="00D67E80"/>
    <w:rsid w:val="00D7118D"/>
    <w:rsid w:val="00D76C4E"/>
    <w:rsid w:val="00D77C03"/>
    <w:rsid w:val="00D8515B"/>
    <w:rsid w:val="00D87D3D"/>
    <w:rsid w:val="00D901B0"/>
    <w:rsid w:val="00D90287"/>
    <w:rsid w:val="00D90911"/>
    <w:rsid w:val="00D90C11"/>
    <w:rsid w:val="00D93D76"/>
    <w:rsid w:val="00D94A7C"/>
    <w:rsid w:val="00D95896"/>
    <w:rsid w:val="00DA0A48"/>
    <w:rsid w:val="00DA13E7"/>
    <w:rsid w:val="00DA1DF5"/>
    <w:rsid w:val="00DA54BD"/>
    <w:rsid w:val="00DA5F51"/>
    <w:rsid w:val="00DA6C40"/>
    <w:rsid w:val="00DB0527"/>
    <w:rsid w:val="00DB2983"/>
    <w:rsid w:val="00DB444A"/>
    <w:rsid w:val="00DB527B"/>
    <w:rsid w:val="00DC0E46"/>
    <w:rsid w:val="00DC1257"/>
    <w:rsid w:val="00DC3708"/>
    <w:rsid w:val="00DC3DC0"/>
    <w:rsid w:val="00DC5B2B"/>
    <w:rsid w:val="00DD0B85"/>
    <w:rsid w:val="00DD2C2B"/>
    <w:rsid w:val="00DD318D"/>
    <w:rsid w:val="00DD353B"/>
    <w:rsid w:val="00DD4A3B"/>
    <w:rsid w:val="00DE0BCC"/>
    <w:rsid w:val="00DE25B6"/>
    <w:rsid w:val="00DE267D"/>
    <w:rsid w:val="00DE3CA0"/>
    <w:rsid w:val="00DE497E"/>
    <w:rsid w:val="00DE4BDE"/>
    <w:rsid w:val="00DE55B9"/>
    <w:rsid w:val="00DF0E6C"/>
    <w:rsid w:val="00DF2E12"/>
    <w:rsid w:val="00DF4DCD"/>
    <w:rsid w:val="00DF514A"/>
    <w:rsid w:val="00DF5A33"/>
    <w:rsid w:val="00DF6690"/>
    <w:rsid w:val="00DF6804"/>
    <w:rsid w:val="00E0358D"/>
    <w:rsid w:val="00E04323"/>
    <w:rsid w:val="00E070A2"/>
    <w:rsid w:val="00E07B4C"/>
    <w:rsid w:val="00E1162C"/>
    <w:rsid w:val="00E127E3"/>
    <w:rsid w:val="00E14BF8"/>
    <w:rsid w:val="00E1583C"/>
    <w:rsid w:val="00E17B46"/>
    <w:rsid w:val="00E17D16"/>
    <w:rsid w:val="00E2656A"/>
    <w:rsid w:val="00E30363"/>
    <w:rsid w:val="00E3239B"/>
    <w:rsid w:val="00E335E6"/>
    <w:rsid w:val="00E34641"/>
    <w:rsid w:val="00E3659B"/>
    <w:rsid w:val="00E3750A"/>
    <w:rsid w:val="00E37786"/>
    <w:rsid w:val="00E40001"/>
    <w:rsid w:val="00E40764"/>
    <w:rsid w:val="00E412D0"/>
    <w:rsid w:val="00E45A1C"/>
    <w:rsid w:val="00E50F32"/>
    <w:rsid w:val="00E52624"/>
    <w:rsid w:val="00E54851"/>
    <w:rsid w:val="00E549A3"/>
    <w:rsid w:val="00E56322"/>
    <w:rsid w:val="00E60982"/>
    <w:rsid w:val="00E62C62"/>
    <w:rsid w:val="00E638F6"/>
    <w:rsid w:val="00E649F9"/>
    <w:rsid w:val="00E652BA"/>
    <w:rsid w:val="00E654C1"/>
    <w:rsid w:val="00E65D97"/>
    <w:rsid w:val="00E72A48"/>
    <w:rsid w:val="00E72A5A"/>
    <w:rsid w:val="00E73354"/>
    <w:rsid w:val="00E77B08"/>
    <w:rsid w:val="00E83FDB"/>
    <w:rsid w:val="00E8534C"/>
    <w:rsid w:val="00E9242D"/>
    <w:rsid w:val="00E92BA4"/>
    <w:rsid w:val="00E92ECE"/>
    <w:rsid w:val="00E94F5B"/>
    <w:rsid w:val="00E9599E"/>
    <w:rsid w:val="00E97508"/>
    <w:rsid w:val="00E97DBD"/>
    <w:rsid w:val="00EA74CB"/>
    <w:rsid w:val="00EA78C7"/>
    <w:rsid w:val="00EA7A4A"/>
    <w:rsid w:val="00EB45E5"/>
    <w:rsid w:val="00EB49C0"/>
    <w:rsid w:val="00EB5255"/>
    <w:rsid w:val="00EB5BDF"/>
    <w:rsid w:val="00EB5C47"/>
    <w:rsid w:val="00EB6093"/>
    <w:rsid w:val="00EC1166"/>
    <w:rsid w:val="00EC191D"/>
    <w:rsid w:val="00EC239A"/>
    <w:rsid w:val="00EC40CC"/>
    <w:rsid w:val="00ED0639"/>
    <w:rsid w:val="00ED45A6"/>
    <w:rsid w:val="00ED5DA9"/>
    <w:rsid w:val="00ED779D"/>
    <w:rsid w:val="00EE13B2"/>
    <w:rsid w:val="00EE1451"/>
    <w:rsid w:val="00EE3266"/>
    <w:rsid w:val="00EE468A"/>
    <w:rsid w:val="00EE5202"/>
    <w:rsid w:val="00EF0106"/>
    <w:rsid w:val="00EF24E3"/>
    <w:rsid w:val="00EF4073"/>
    <w:rsid w:val="00EF4755"/>
    <w:rsid w:val="00EF6C9C"/>
    <w:rsid w:val="00EF6FD6"/>
    <w:rsid w:val="00EF7135"/>
    <w:rsid w:val="00F00FB9"/>
    <w:rsid w:val="00F027DB"/>
    <w:rsid w:val="00F02C12"/>
    <w:rsid w:val="00F11659"/>
    <w:rsid w:val="00F116F5"/>
    <w:rsid w:val="00F11F80"/>
    <w:rsid w:val="00F14A7A"/>
    <w:rsid w:val="00F16CCF"/>
    <w:rsid w:val="00F17510"/>
    <w:rsid w:val="00F2023C"/>
    <w:rsid w:val="00F20AE3"/>
    <w:rsid w:val="00F21902"/>
    <w:rsid w:val="00F221FF"/>
    <w:rsid w:val="00F22985"/>
    <w:rsid w:val="00F27BB0"/>
    <w:rsid w:val="00F322FB"/>
    <w:rsid w:val="00F3383E"/>
    <w:rsid w:val="00F3593B"/>
    <w:rsid w:val="00F37C53"/>
    <w:rsid w:val="00F41DFB"/>
    <w:rsid w:val="00F465A7"/>
    <w:rsid w:val="00F50B7C"/>
    <w:rsid w:val="00F53129"/>
    <w:rsid w:val="00F53907"/>
    <w:rsid w:val="00F54416"/>
    <w:rsid w:val="00F550E6"/>
    <w:rsid w:val="00F56596"/>
    <w:rsid w:val="00F57B09"/>
    <w:rsid w:val="00F627FC"/>
    <w:rsid w:val="00F71F0E"/>
    <w:rsid w:val="00F74345"/>
    <w:rsid w:val="00F74944"/>
    <w:rsid w:val="00F77BDC"/>
    <w:rsid w:val="00F80A0A"/>
    <w:rsid w:val="00F80D9F"/>
    <w:rsid w:val="00F82779"/>
    <w:rsid w:val="00F82B19"/>
    <w:rsid w:val="00F83429"/>
    <w:rsid w:val="00F878B0"/>
    <w:rsid w:val="00F912F4"/>
    <w:rsid w:val="00F9212D"/>
    <w:rsid w:val="00F9434C"/>
    <w:rsid w:val="00F965DA"/>
    <w:rsid w:val="00F96953"/>
    <w:rsid w:val="00F969C0"/>
    <w:rsid w:val="00F9707B"/>
    <w:rsid w:val="00F975AE"/>
    <w:rsid w:val="00FA2068"/>
    <w:rsid w:val="00FA3874"/>
    <w:rsid w:val="00FA406A"/>
    <w:rsid w:val="00FA748D"/>
    <w:rsid w:val="00FB1D32"/>
    <w:rsid w:val="00FB21E6"/>
    <w:rsid w:val="00FB3CEF"/>
    <w:rsid w:val="00FB503A"/>
    <w:rsid w:val="00FB516C"/>
    <w:rsid w:val="00FB5444"/>
    <w:rsid w:val="00FB5B1B"/>
    <w:rsid w:val="00FB722E"/>
    <w:rsid w:val="00FD0236"/>
    <w:rsid w:val="00FD18F4"/>
    <w:rsid w:val="00FD4D68"/>
    <w:rsid w:val="00FD54DB"/>
    <w:rsid w:val="00FD619F"/>
    <w:rsid w:val="00FD645F"/>
    <w:rsid w:val="00FD6FA1"/>
    <w:rsid w:val="00FD7356"/>
    <w:rsid w:val="00FD7E32"/>
    <w:rsid w:val="00FE1AE7"/>
    <w:rsid w:val="00FE2B92"/>
    <w:rsid w:val="00FE56F7"/>
    <w:rsid w:val="00FE68E3"/>
    <w:rsid w:val="00FE6B86"/>
    <w:rsid w:val="00FF1BD4"/>
    <w:rsid w:val="00FF6298"/>
    <w:rsid w:val="01290F7E"/>
    <w:rsid w:val="015D1E09"/>
    <w:rsid w:val="01867370"/>
    <w:rsid w:val="02697903"/>
    <w:rsid w:val="02F96569"/>
    <w:rsid w:val="03B56CA5"/>
    <w:rsid w:val="03EA7B21"/>
    <w:rsid w:val="047B2A41"/>
    <w:rsid w:val="049B4999"/>
    <w:rsid w:val="0509154F"/>
    <w:rsid w:val="05103A55"/>
    <w:rsid w:val="057F2116"/>
    <w:rsid w:val="05F83EAE"/>
    <w:rsid w:val="063E7D85"/>
    <w:rsid w:val="06537879"/>
    <w:rsid w:val="07293586"/>
    <w:rsid w:val="07295285"/>
    <w:rsid w:val="07636392"/>
    <w:rsid w:val="07770C56"/>
    <w:rsid w:val="08F4173F"/>
    <w:rsid w:val="092217DD"/>
    <w:rsid w:val="093A7294"/>
    <w:rsid w:val="097A7FC7"/>
    <w:rsid w:val="0A263993"/>
    <w:rsid w:val="0A2D3AC2"/>
    <w:rsid w:val="0A430D0D"/>
    <w:rsid w:val="0AA755DF"/>
    <w:rsid w:val="0B120D44"/>
    <w:rsid w:val="0BD27BF6"/>
    <w:rsid w:val="0C3B3C7D"/>
    <w:rsid w:val="0CAB2EAE"/>
    <w:rsid w:val="0CFF3D2B"/>
    <w:rsid w:val="0D621C7D"/>
    <w:rsid w:val="0E73034D"/>
    <w:rsid w:val="0F13775A"/>
    <w:rsid w:val="0F5F45FE"/>
    <w:rsid w:val="0F9A112B"/>
    <w:rsid w:val="0FC33AF9"/>
    <w:rsid w:val="10382C34"/>
    <w:rsid w:val="106D2F64"/>
    <w:rsid w:val="10B63710"/>
    <w:rsid w:val="10F10820"/>
    <w:rsid w:val="111C2F7A"/>
    <w:rsid w:val="11665CA1"/>
    <w:rsid w:val="11B22FF0"/>
    <w:rsid w:val="13135FA2"/>
    <w:rsid w:val="13951726"/>
    <w:rsid w:val="13D354C0"/>
    <w:rsid w:val="14396509"/>
    <w:rsid w:val="14CE63EA"/>
    <w:rsid w:val="14DD2C3C"/>
    <w:rsid w:val="16087E1D"/>
    <w:rsid w:val="1662549A"/>
    <w:rsid w:val="17496AFF"/>
    <w:rsid w:val="17701D14"/>
    <w:rsid w:val="17735226"/>
    <w:rsid w:val="18786643"/>
    <w:rsid w:val="188C5B5E"/>
    <w:rsid w:val="189F624C"/>
    <w:rsid w:val="19072398"/>
    <w:rsid w:val="1A1C66C0"/>
    <w:rsid w:val="1A42393B"/>
    <w:rsid w:val="1AAD45DE"/>
    <w:rsid w:val="1B046F80"/>
    <w:rsid w:val="1B3267B5"/>
    <w:rsid w:val="1B40161D"/>
    <w:rsid w:val="1B441859"/>
    <w:rsid w:val="1B6606B1"/>
    <w:rsid w:val="1C5E7925"/>
    <w:rsid w:val="1CFD070F"/>
    <w:rsid w:val="1D5F6196"/>
    <w:rsid w:val="1D6132A5"/>
    <w:rsid w:val="1D8E56D5"/>
    <w:rsid w:val="1DAD41BA"/>
    <w:rsid w:val="1DBE0581"/>
    <w:rsid w:val="1DC27412"/>
    <w:rsid w:val="1E7A43DA"/>
    <w:rsid w:val="1FE7539E"/>
    <w:rsid w:val="20593307"/>
    <w:rsid w:val="20671BE0"/>
    <w:rsid w:val="20963CB8"/>
    <w:rsid w:val="20A81A1B"/>
    <w:rsid w:val="20B07FB6"/>
    <w:rsid w:val="20B646FB"/>
    <w:rsid w:val="20DD1FCA"/>
    <w:rsid w:val="213B74B1"/>
    <w:rsid w:val="215A2310"/>
    <w:rsid w:val="21DE318A"/>
    <w:rsid w:val="21EF5B80"/>
    <w:rsid w:val="222A3BF7"/>
    <w:rsid w:val="22576990"/>
    <w:rsid w:val="227034E5"/>
    <w:rsid w:val="22A13552"/>
    <w:rsid w:val="22F47480"/>
    <w:rsid w:val="23DE1C48"/>
    <w:rsid w:val="240210CD"/>
    <w:rsid w:val="24BF09F7"/>
    <w:rsid w:val="252D53FE"/>
    <w:rsid w:val="25377553"/>
    <w:rsid w:val="25EC2D81"/>
    <w:rsid w:val="277057A2"/>
    <w:rsid w:val="29206EB8"/>
    <w:rsid w:val="29595666"/>
    <w:rsid w:val="29874881"/>
    <w:rsid w:val="29E325E0"/>
    <w:rsid w:val="2A452503"/>
    <w:rsid w:val="2B8F52C7"/>
    <w:rsid w:val="2BA936A8"/>
    <w:rsid w:val="2C315A5A"/>
    <w:rsid w:val="2C4B1C25"/>
    <w:rsid w:val="2D283D98"/>
    <w:rsid w:val="2D9E56F5"/>
    <w:rsid w:val="2E667F96"/>
    <w:rsid w:val="2E8226AB"/>
    <w:rsid w:val="2FD065E6"/>
    <w:rsid w:val="2FD96870"/>
    <w:rsid w:val="30580BC9"/>
    <w:rsid w:val="311E2ED7"/>
    <w:rsid w:val="315463DB"/>
    <w:rsid w:val="315619EE"/>
    <w:rsid w:val="315C449C"/>
    <w:rsid w:val="31B82709"/>
    <w:rsid w:val="31D05482"/>
    <w:rsid w:val="32400B34"/>
    <w:rsid w:val="329E6876"/>
    <w:rsid w:val="333015F2"/>
    <w:rsid w:val="334B6320"/>
    <w:rsid w:val="336B0809"/>
    <w:rsid w:val="33C375A6"/>
    <w:rsid w:val="33D934D4"/>
    <w:rsid w:val="33FE2F6A"/>
    <w:rsid w:val="340E07E5"/>
    <w:rsid w:val="34235BF7"/>
    <w:rsid w:val="358C5FA8"/>
    <w:rsid w:val="35C15DF1"/>
    <w:rsid w:val="36074A7F"/>
    <w:rsid w:val="36500AB8"/>
    <w:rsid w:val="36923549"/>
    <w:rsid w:val="36B75FBF"/>
    <w:rsid w:val="36BD0C45"/>
    <w:rsid w:val="37E00298"/>
    <w:rsid w:val="38B302F9"/>
    <w:rsid w:val="38F12CD3"/>
    <w:rsid w:val="38F94775"/>
    <w:rsid w:val="392971ED"/>
    <w:rsid w:val="39325651"/>
    <w:rsid w:val="39434FCC"/>
    <w:rsid w:val="3993687A"/>
    <w:rsid w:val="3A872856"/>
    <w:rsid w:val="3AC755B6"/>
    <w:rsid w:val="3B3763D1"/>
    <w:rsid w:val="3B8C4751"/>
    <w:rsid w:val="3C2F6E1E"/>
    <w:rsid w:val="3C4F64BA"/>
    <w:rsid w:val="3C5C3894"/>
    <w:rsid w:val="3CDA245A"/>
    <w:rsid w:val="3D1E06B7"/>
    <w:rsid w:val="3E0743F9"/>
    <w:rsid w:val="3E893D76"/>
    <w:rsid w:val="3E962581"/>
    <w:rsid w:val="3EDA0523"/>
    <w:rsid w:val="3EF328DB"/>
    <w:rsid w:val="3F6200A9"/>
    <w:rsid w:val="407A6407"/>
    <w:rsid w:val="40A7407F"/>
    <w:rsid w:val="41652D3C"/>
    <w:rsid w:val="4200449D"/>
    <w:rsid w:val="42182463"/>
    <w:rsid w:val="423A3BCC"/>
    <w:rsid w:val="424E57D2"/>
    <w:rsid w:val="42B26C49"/>
    <w:rsid w:val="433A6FE6"/>
    <w:rsid w:val="43480868"/>
    <w:rsid w:val="4350713C"/>
    <w:rsid w:val="436653E0"/>
    <w:rsid w:val="43C4431A"/>
    <w:rsid w:val="43DD1336"/>
    <w:rsid w:val="43FF5E96"/>
    <w:rsid w:val="44B951CC"/>
    <w:rsid w:val="44CD14E0"/>
    <w:rsid w:val="44F20B0B"/>
    <w:rsid w:val="452E5F4C"/>
    <w:rsid w:val="45612018"/>
    <w:rsid w:val="458946E9"/>
    <w:rsid w:val="45A47C0E"/>
    <w:rsid w:val="46577FD6"/>
    <w:rsid w:val="46BF03A0"/>
    <w:rsid w:val="46D811C7"/>
    <w:rsid w:val="46D955A7"/>
    <w:rsid w:val="46F6159C"/>
    <w:rsid w:val="47133957"/>
    <w:rsid w:val="47A07E0C"/>
    <w:rsid w:val="4870272E"/>
    <w:rsid w:val="491D4D48"/>
    <w:rsid w:val="49576D89"/>
    <w:rsid w:val="49DC7715"/>
    <w:rsid w:val="4A023139"/>
    <w:rsid w:val="4A7B576F"/>
    <w:rsid w:val="4AF561A9"/>
    <w:rsid w:val="4C4A0649"/>
    <w:rsid w:val="4C6C11AF"/>
    <w:rsid w:val="4C7E5ECA"/>
    <w:rsid w:val="4C876AA5"/>
    <w:rsid w:val="4D0E00FB"/>
    <w:rsid w:val="4D176606"/>
    <w:rsid w:val="4D4C6A08"/>
    <w:rsid w:val="4DEC4FB0"/>
    <w:rsid w:val="4E075D8A"/>
    <w:rsid w:val="4EC00FAD"/>
    <w:rsid w:val="4EF85E35"/>
    <w:rsid w:val="4F9843DC"/>
    <w:rsid w:val="4FC62A8C"/>
    <w:rsid w:val="4FE20F0D"/>
    <w:rsid w:val="4FE51552"/>
    <w:rsid w:val="50504C4B"/>
    <w:rsid w:val="509C6E7C"/>
    <w:rsid w:val="513C41AD"/>
    <w:rsid w:val="5162104E"/>
    <w:rsid w:val="51945B09"/>
    <w:rsid w:val="523A14F7"/>
    <w:rsid w:val="53A039CC"/>
    <w:rsid w:val="53A1505A"/>
    <w:rsid w:val="54063E08"/>
    <w:rsid w:val="543437E8"/>
    <w:rsid w:val="546569EF"/>
    <w:rsid w:val="54F73313"/>
    <w:rsid w:val="54F80955"/>
    <w:rsid w:val="555170A7"/>
    <w:rsid w:val="5587536D"/>
    <w:rsid w:val="559B174B"/>
    <w:rsid w:val="55A565CD"/>
    <w:rsid w:val="55CE0CF4"/>
    <w:rsid w:val="56267FF1"/>
    <w:rsid w:val="56881EFF"/>
    <w:rsid w:val="56B22A9C"/>
    <w:rsid w:val="57507A5D"/>
    <w:rsid w:val="57B72A76"/>
    <w:rsid w:val="57C3426C"/>
    <w:rsid w:val="57CE1F93"/>
    <w:rsid w:val="58472256"/>
    <w:rsid w:val="588743D1"/>
    <w:rsid w:val="5887701A"/>
    <w:rsid w:val="59C0439F"/>
    <w:rsid w:val="5ABE2233"/>
    <w:rsid w:val="5B703A60"/>
    <w:rsid w:val="5BB16518"/>
    <w:rsid w:val="5BBB3114"/>
    <w:rsid w:val="5BDF5D95"/>
    <w:rsid w:val="5BFE7528"/>
    <w:rsid w:val="5C87190E"/>
    <w:rsid w:val="5D001E33"/>
    <w:rsid w:val="5E2467F1"/>
    <w:rsid w:val="5F1A2B43"/>
    <w:rsid w:val="5FB837BB"/>
    <w:rsid w:val="6050107F"/>
    <w:rsid w:val="60CC405A"/>
    <w:rsid w:val="61E215D8"/>
    <w:rsid w:val="621B3775"/>
    <w:rsid w:val="62364782"/>
    <w:rsid w:val="6255468E"/>
    <w:rsid w:val="6394356A"/>
    <w:rsid w:val="63C61B2C"/>
    <w:rsid w:val="63D40BE9"/>
    <w:rsid w:val="64102431"/>
    <w:rsid w:val="644517D7"/>
    <w:rsid w:val="64A5243A"/>
    <w:rsid w:val="64F531DE"/>
    <w:rsid w:val="65373578"/>
    <w:rsid w:val="65BC3BB7"/>
    <w:rsid w:val="662B3B9E"/>
    <w:rsid w:val="667446B1"/>
    <w:rsid w:val="671F124A"/>
    <w:rsid w:val="677A33C6"/>
    <w:rsid w:val="67CE79C9"/>
    <w:rsid w:val="68013A25"/>
    <w:rsid w:val="681F6961"/>
    <w:rsid w:val="68610A2F"/>
    <w:rsid w:val="68805514"/>
    <w:rsid w:val="68BF5D7E"/>
    <w:rsid w:val="693131FA"/>
    <w:rsid w:val="69316E2F"/>
    <w:rsid w:val="694E2071"/>
    <w:rsid w:val="69766163"/>
    <w:rsid w:val="697A3B33"/>
    <w:rsid w:val="69AF427F"/>
    <w:rsid w:val="69D44760"/>
    <w:rsid w:val="6A520EC7"/>
    <w:rsid w:val="6AF87E20"/>
    <w:rsid w:val="6B322639"/>
    <w:rsid w:val="6BB0583A"/>
    <w:rsid w:val="6C636C38"/>
    <w:rsid w:val="6D552943"/>
    <w:rsid w:val="6DB34098"/>
    <w:rsid w:val="6DB545B6"/>
    <w:rsid w:val="6DE02FB4"/>
    <w:rsid w:val="6E0D3BA0"/>
    <w:rsid w:val="6E514CED"/>
    <w:rsid w:val="6EB563D5"/>
    <w:rsid w:val="6ED92677"/>
    <w:rsid w:val="6F225983"/>
    <w:rsid w:val="6F2E1C33"/>
    <w:rsid w:val="6F954782"/>
    <w:rsid w:val="6FFC5590"/>
    <w:rsid w:val="706D1DD0"/>
    <w:rsid w:val="70856B87"/>
    <w:rsid w:val="70D527EE"/>
    <w:rsid w:val="715B5300"/>
    <w:rsid w:val="71630A76"/>
    <w:rsid w:val="71A1745F"/>
    <w:rsid w:val="71D27F8A"/>
    <w:rsid w:val="72553024"/>
    <w:rsid w:val="73122968"/>
    <w:rsid w:val="731F5D5E"/>
    <w:rsid w:val="73C51AD5"/>
    <w:rsid w:val="741E793C"/>
    <w:rsid w:val="745E3944"/>
    <w:rsid w:val="74C66D2B"/>
    <w:rsid w:val="758C3B96"/>
    <w:rsid w:val="7635099D"/>
    <w:rsid w:val="77530A95"/>
    <w:rsid w:val="77762421"/>
    <w:rsid w:val="77B56B1F"/>
    <w:rsid w:val="780F09F4"/>
    <w:rsid w:val="782C4F56"/>
    <w:rsid w:val="78A90480"/>
    <w:rsid w:val="7A364017"/>
    <w:rsid w:val="7A5078A1"/>
    <w:rsid w:val="7A716556"/>
    <w:rsid w:val="7A8265E1"/>
    <w:rsid w:val="7B686D42"/>
    <w:rsid w:val="7B841746"/>
    <w:rsid w:val="7BF53B9D"/>
    <w:rsid w:val="7C3455C9"/>
    <w:rsid w:val="7C6C5AC7"/>
    <w:rsid w:val="7CC6544B"/>
    <w:rsid w:val="7D0239FF"/>
    <w:rsid w:val="7D5E40CD"/>
    <w:rsid w:val="7DCD56F2"/>
    <w:rsid w:val="7E0B6A3D"/>
    <w:rsid w:val="7F001CE7"/>
    <w:rsid w:val="7FDC70A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qFormat="1" w:uiPriority="39"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156" w:beforeLines="50" w:after="156" w:afterLines="50"/>
      <w:outlineLvl w:val="1"/>
    </w:pPr>
    <w:rPr>
      <w:b/>
      <w:bCs/>
      <w:sz w:val="32"/>
      <w:szCs w:val="32"/>
    </w:rPr>
  </w:style>
  <w:style w:type="paragraph" w:styleId="5">
    <w:name w:val="heading 5"/>
    <w:basedOn w:val="1"/>
    <w:next w:val="1"/>
    <w:unhideWhenUsed/>
    <w:qFormat/>
    <w:locked/>
    <w:uiPriority w:val="0"/>
    <w:pPr>
      <w:keepNext/>
      <w:keepLines/>
      <w:spacing w:before="280" w:after="290" w:line="376" w:lineRule="auto"/>
      <w:ind w:firstLine="0" w:firstLineChars="0"/>
      <w:outlineLvl w:val="4"/>
    </w:pPr>
    <w:rPr>
      <w:b/>
      <w:bCs/>
      <w:kern w:val="0"/>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6">
    <w:name w:val="Normal Indent"/>
    <w:basedOn w:val="1"/>
    <w:next w:val="1"/>
    <w:unhideWhenUsed/>
    <w:qFormat/>
    <w:locked/>
    <w:uiPriority w:val="99"/>
    <w:pPr>
      <w:ind w:firstLine="420"/>
    </w:pPr>
    <w:rPr>
      <w:szCs w:val="21"/>
    </w:rPr>
  </w:style>
  <w:style w:type="paragraph" w:styleId="7">
    <w:name w:val="caption"/>
    <w:basedOn w:val="1"/>
    <w:next w:val="8"/>
    <w:link w:val="52"/>
    <w:qFormat/>
    <w:locked/>
    <w:uiPriority w:val="99"/>
    <w:pPr>
      <w:widowControl/>
      <w:adjustRightInd w:val="0"/>
      <w:snapToGrid w:val="0"/>
      <w:jc w:val="center"/>
    </w:pPr>
    <w:rPr>
      <w:rFonts w:eastAsia="黑体"/>
      <w:kern w:val="0"/>
      <w:sz w:val="24"/>
      <w:szCs w:val="20"/>
      <w:lang w:val="zh-CN"/>
    </w:rPr>
  </w:style>
  <w:style w:type="paragraph" w:styleId="8">
    <w:name w:val="Body Text First Indent"/>
    <w:basedOn w:val="9"/>
    <w:link w:val="100"/>
    <w:qFormat/>
    <w:locked/>
    <w:uiPriority w:val="0"/>
    <w:pPr>
      <w:widowControl w:val="0"/>
      <w:snapToGrid/>
      <w:spacing w:before="0" w:after="120" w:line="240" w:lineRule="auto"/>
      <w:ind w:right="0" w:firstLine="420" w:firstLineChars="100"/>
    </w:pPr>
    <w:rPr>
      <w:kern w:val="2"/>
      <w:sz w:val="21"/>
      <w:szCs w:val="24"/>
    </w:rPr>
  </w:style>
  <w:style w:type="paragraph" w:styleId="9">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10">
    <w:name w:val="annotation text"/>
    <w:basedOn w:val="1"/>
    <w:link w:val="37"/>
    <w:semiHidden/>
    <w:qFormat/>
    <w:uiPriority w:val="0"/>
    <w:pPr>
      <w:jc w:val="left"/>
    </w:pPr>
    <w:rPr>
      <w:kern w:val="0"/>
      <w:sz w:val="24"/>
      <w:szCs w:val="20"/>
    </w:rPr>
  </w:style>
  <w:style w:type="paragraph" w:styleId="11">
    <w:name w:val="Body Text Indent"/>
    <w:basedOn w:val="1"/>
    <w:link w:val="45"/>
    <w:qFormat/>
    <w:uiPriority w:val="0"/>
    <w:pPr>
      <w:spacing w:after="120"/>
      <w:ind w:left="420" w:leftChars="200"/>
    </w:pPr>
    <w:rPr>
      <w:kern w:val="0"/>
      <w:sz w:val="24"/>
      <w:szCs w:val="20"/>
    </w:rPr>
  </w:style>
  <w:style w:type="paragraph" w:styleId="12">
    <w:name w:val="Date"/>
    <w:basedOn w:val="1"/>
    <w:next w:val="1"/>
    <w:link w:val="32"/>
    <w:qFormat/>
    <w:uiPriority w:val="0"/>
    <w:pPr>
      <w:ind w:left="100" w:leftChars="2500"/>
    </w:pPr>
    <w:rPr>
      <w:kern w:val="0"/>
      <w:sz w:val="24"/>
      <w:szCs w:val="20"/>
    </w:rPr>
  </w:style>
  <w:style w:type="paragraph" w:styleId="13">
    <w:name w:val="Balloon Text"/>
    <w:basedOn w:val="1"/>
    <w:link w:val="41"/>
    <w:semiHidden/>
    <w:qFormat/>
    <w:uiPriority w:val="0"/>
    <w:rPr>
      <w:kern w:val="0"/>
      <w:sz w:val="18"/>
      <w:szCs w:val="20"/>
    </w:rPr>
  </w:style>
  <w:style w:type="paragraph" w:styleId="14">
    <w:name w:val="footer"/>
    <w:basedOn w:val="1"/>
    <w:link w:val="31"/>
    <w:qFormat/>
    <w:uiPriority w:val="99"/>
    <w:pPr>
      <w:tabs>
        <w:tab w:val="center" w:pos="4153"/>
        <w:tab w:val="right" w:pos="8306"/>
      </w:tabs>
      <w:snapToGrid w:val="0"/>
      <w:jc w:val="left"/>
    </w:pPr>
    <w:rPr>
      <w:kern w:val="0"/>
      <w:sz w:val="18"/>
      <w:szCs w:val="20"/>
    </w:rPr>
  </w:style>
  <w:style w:type="paragraph" w:styleId="15">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39"/>
  </w:style>
  <w:style w:type="paragraph" w:styleId="17">
    <w:name w:val="toc 4"/>
    <w:basedOn w:val="1"/>
    <w:next w:val="1"/>
    <w:unhideWhenUsed/>
    <w:qFormat/>
    <w:locked/>
    <w:uiPriority w:val="39"/>
    <w:pPr>
      <w:ind w:left="1260" w:leftChars="600"/>
    </w:pPr>
  </w:style>
  <w:style w:type="paragraph" w:styleId="18">
    <w:name w:val="Normal (Web)"/>
    <w:basedOn w:val="1"/>
    <w:link w:val="34"/>
    <w:qFormat/>
    <w:uiPriority w:val="99"/>
    <w:pPr>
      <w:widowControl/>
      <w:spacing w:before="100" w:beforeAutospacing="1" w:after="100" w:afterAutospacing="1"/>
      <w:jc w:val="left"/>
    </w:pPr>
    <w:rPr>
      <w:rFonts w:ascii="宋体" w:hAnsi="宋体"/>
      <w:kern w:val="0"/>
      <w:sz w:val="24"/>
      <w:szCs w:val="20"/>
    </w:rPr>
  </w:style>
  <w:style w:type="paragraph" w:styleId="19">
    <w:name w:val="Title"/>
    <w:basedOn w:val="1"/>
    <w:next w:val="1"/>
    <w:qFormat/>
    <w:locked/>
    <w:uiPriority w:val="10"/>
    <w:pPr>
      <w:widowControl/>
      <w:adjustRightInd w:val="0"/>
      <w:snapToGrid w:val="0"/>
      <w:spacing w:before="240" w:after="60"/>
      <w:jc w:val="center"/>
      <w:outlineLvl w:val="0"/>
    </w:pPr>
    <w:rPr>
      <w:rFonts w:asciiTheme="majorHAnsi" w:hAnsiTheme="majorHAnsi" w:cstheme="majorBidi"/>
      <w:sz w:val="32"/>
      <w:szCs w:val="32"/>
    </w:rPr>
  </w:style>
  <w:style w:type="paragraph" w:styleId="20">
    <w:name w:val="annotation subject"/>
    <w:basedOn w:val="10"/>
    <w:next w:val="10"/>
    <w:link w:val="42"/>
    <w:semiHidden/>
    <w:qFormat/>
    <w:uiPriority w:val="0"/>
    <w:rPr>
      <w:b/>
    </w:rPr>
  </w:style>
  <w:style w:type="paragraph" w:styleId="21">
    <w:name w:val="Body Text First Indent 2"/>
    <w:basedOn w:val="11"/>
    <w:next w:val="1"/>
    <w:qFormat/>
    <w:locked/>
    <w:uiPriority w:val="0"/>
    <w:pPr>
      <w:tabs>
        <w:tab w:val="left" w:pos="540"/>
      </w:tabs>
      <w:ind w:firstLine="420" w:firstLineChars="200"/>
    </w:pPr>
    <w:rPr>
      <w:rFonts w:ascii="Times New Roman" w:hAnsi="Times New Roman" w:cs="Times New Roman"/>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FollowedHyperlink"/>
    <w:basedOn w:val="24"/>
    <w:locked/>
    <w:uiPriority w:val="0"/>
    <w:rPr>
      <w:color w:val="333333"/>
      <w:u w:val="none"/>
    </w:rPr>
  </w:style>
  <w:style w:type="character" w:styleId="27">
    <w:name w:val="Hyperlink"/>
    <w:basedOn w:val="24"/>
    <w:unhideWhenUsed/>
    <w:qFormat/>
    <w:locked/>
    <w:uiPriority w:val="99"/>
    <w:rPr>
      <w:color w:val="0000FF" w:themeColor="hyperlink"/>
      <w:u w:val="single"/>
      <w14:textFill>
        <w14:solidFill>
          <w14:schemeClr w14:val="hlink"/>
        </w14:solidFill>
      </w14:textFill>
    </w:rPr>
  </w:style>
  <w:style w:type="character" w:styleId="28">
    <w:name w:val="annotation reference"/>
    <w:semiHidden/>
    <w:qFormat/>
    <w:uiPriority w:val="0"/>
    <w:rPr>
      <w:sz w:val="21"/>
    </w:rPr>
  </w:style>
  <w:style w:type="paragraph" w:customStyle="1" w:styleId="29">
    <w:name w:val="Default"/>
    <w:basedOn w:val="30"/>
    <w:next w:val="21"/>
    <w:qFormat/>
    <w:uiPriority w:val="0"/>
    <w:pPr>
      <w:autoSpaceDE w:val="0"/>
      <w:autoSpaceDN w:val="0"/>
      <w:adjustRightInd w:val="0"/>
    </w:pPr>
    <w:rPr>
      <w:rFonts w:ascii="Calibri" w:hAnsi="Calibri" w:cs="Calibri"/>
      <w:color w:val="000000"/>
      <w:kern w:val="0"/>
      <w:sz w:val="24"/>
    </w:rPr>
  </w:style>
  <w:style w:type="paragraph" w:customStyle="1" w:styleId="30">
    <w:name w:val="纯文本1"/>
    <w:basedOn w:val="1"/>
    <w:qFormat/>
    <w:uiPriority w:val="0"/>
    <w:rPr>
      <w:rFonts w:ascii="宋体" w:hAnsi="Courier New"/>
    </w:rPr>
  </w:style>
  <w:style w:type="character" w:customStyle="1" w:styleId="31">
    <w:name w:val="页脚 字符1"/>
    <w:link w:val="14"/>
    <w:qFormat/>
    <w:locked/>
    <w:uiPriority w:val="99"/>
    <w:rPr>
      <w:sz w:val="18"/>
    </w:rPr>
  </w:style>
  <w:style w:type="character" w:customStyle="1" w:styleId="32">
    <w:name w:val="日期 字符1"/>
    <w:link w:val="12"/>
    <w:qFormat/>
    <w:locked/>
    <w:uiPriority w:val="0"/>
    <w:rPr>
      <w:rFonts w:ascii="Times New Roman" w:hAnsi="Times New Roman" w:eastAsia="宋体"/>
      <w:sz w:val="24"/>
    </w:rPr>
  </w:style>
  <w:style w:type="character" w:customStyle="1" w:styleId="33">
    <w:name w:val="页脚 字符"/>
    <w:basedOn w:val="24"/>
    <w:qFormat/>
    <w:uiPriority w:val="99"/>
  </w:style>
  <w:style w:type="character" w:customStyle="1" w:styleId="34">
    <w:name w:val="普通(网站) 字符"/>
    <w:link w:val="18"/>
    <w:qFormat/>
    <w:locked/>
    <w:uiPriority w:val="0"/>
    <w:rPr>
      <w:rFonts w:ascii="宋体" w:hAnsi="宋体" w:eastAsia="宋体"/>
      <w:sz w:val="24"/>
    </w:rPr>
  </w:style>
  <w:style w:type="character" w:customStyle="1" w:styleId="35">
    <w:name w:val="正文文本 字符1"/>
    <w:semiHidden/>
    <w:qFormat/>
    <w:uiPriority w:val="0"/>
    <w:rPr>
      <w:rFonts w:ascii="Times New Roman" w:hAnsi="Times New Roman" w:eastAsia="宋体"/>
      <w:sz w:val="24"/>
    </w:rPr>
  </w:style>
  <w:style w:type="character" w:customStyle="1" w:styleId="36">
    <w:name w:val="正文文本 字符"/>
    <w:link w:val="9"/>
    <w:qFormat/>
    <w:locked/>
    <w:uiPriority w:val="0"/>
    <w:rPr>
      <w:sz w:val="18"/>
    </w:rPr>
  </w:style>
  <w:style w:type="character" w:customStyle="1" w:styleId="37">
    <w:name w:val="批注文字 字符"/>
    <w:link w:val="10"/>
    <w:qFormat/>
    <w:locked/>
    <w:uiPriority w:val="0"/>
    <w:rPr>
      <w:rFonts w:ascii="Times New Roman" w:hAnsi="Times New Roman" w:eastAsia="宋体"/>
      <w:sz w:val="24"/>
    </w:rPr>
  </w:style>
  <w:style w:type="character" w:customStyle="1" w:styleId="38">
    <w:name w:val="表格 Char"/>
    <w:link w:val="39"/>
    <w:qFormat/>
    <w:locked/>
    <w:uiPriority w:val="0"/>
    <w:rPr>
      <w:rFonts w:ascii="宋体"/>
      <w:sz w:val="21"/>
    </w:rPr>
  </w:style>
  <w:style w:type="paragraph" w:customStyle="1" w:styleId="39">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40">
    <w:name w:val="日期 字符"/>
    <w:semiHidden/>
    <w:qFormat/>
    <w:uiPriority w:val="0"/>
    <w:rPr>
      <w:rFonts w:ascii="Times New Roman" w:hAnsi="Times New Roman" w:eastAsia="宋体"/>
      <w:sz w:val="24"/>
    </w:rPr>
  </w:style>
  <w:style w:type="character" w:customStyle="1" w:styleId="41">
    <w:name w:val="批注框文本 字符"/>
    <w:link w:val="13"/>
    <w:semiHidden/>
    <w:qFormat/>
    <w:locked/>
    <w:uiPriority w:val="0"/>
    <w:rPr>
      <w:rFonts w:ascii="Times New Roman" w:hAnsi="Times New Roman" w:eastAsia="宋体"/>
      <w:sz w:val="18"/>
    </w:rPr>
  </w:style>
  <w:style w:type="character" w:customStyle="1" w:styleId="42">
    <w:name w:val="批注主题 字符"/>
    <w:link w:val="20"/>
    <w:semiHidden/>
    <w:qFormat/>
    <w:locked/>
    <w:uiPriority w:val="0"/>
    <w:rPr>
      <w:rFonts w:ascii="Times New Roman" w:hAnsi="Times New Roman" w:eastAsia="宋体"/>
      <w:b/>
      <w:kern w:val="2"/>
      <w:sz w:val="24"/>
    </w:rPr>
  </w:style>
  <w:style w:type="character" w:customStyle="1" w:styleId="43">
    <w:name w:val="页眉 字符"/>
    <w:link w:val="15"/>
    <w:qFormat/>
    <w:locked/>
    <w:uiPriority w:val="0"/>
    <w:rPr>
      <w:sz w:val="18"/>
    </w:rPr>
  </w:style>
  <w:style w:type="character" w:customStyle="1" w:styleId="44">
    <w:name w:val="批注文字 字符1"/>
    <w:semiHidden/>
    <w:qFormat/>
    <w:uiPriority w:val="0"/>
    <w:rPr>
      <w:rFonts w:ascii="Times New Roman" w:hAnsi="Times New Roman" w:eastAsia="宋体"/>
      <w:sz w:val="24"/>
    </w:rPr>
  </w:style>
  <w:style w:type="character" w:customStyle="1" w:styleId="45">
    <w:name w:val="正文文本缩进 字符"/>
    <w:link w:val="11"/>
    <w:qFormat/>
    <w:locked/>
    <w:uiPriority w:val="0"/>
    <w:rPr>
      <w:rFonts w:ascii="Times New Roman" w:hAnsi="Times New Roman" w:eastAsia="宋体"/>
      <w:sz w:val="24"/>
    </w:rPr>
  </w:style>
  <w:style w:type="paragraph" w:customStyle="1" w:styleId="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8">
    <w:name w:val="正文文本首行缩进 字符"/>
    <w:basedOn w:val="36"/>
    <w:link w:val="8"/>
    <w:qFormat/>
    <w:uiPriority w:val="0"/>
    <w:rPr>
      <w:kern w:val="2"/>
      <w:sz w:val="21"/>
      <w:szCs w:val="24"/>
    </w:rPr>
  </w:style>
  <w:style w:type="paragraph" w:customStyle="1" w:styleId="49">
    <w:name w:val="表格文字"/>
    <w:basedOn w:val="8"/>
    <w:next w:val="50"/>
    <w:link w:val="51"/>
    <w:qFormat/>
    <w:uiPriority w:val="0"/>
    <w:pPr>
      <w:widowControl/>
      <w:adjustRightInd w:val="0"/>
      <w:snapToGrid w:val="0"/>
      <w:jc w:val="center"/>
    </w:pPr>
    <w:rPr>
      <w:kern w:val="0"/>
      <w:sz w:val="20"/>
      <w:szCs w:val="20"/>
      <w:lang w:val="zh-CN"/>
    </w:rPr>
  </w:style>
  <w:style w:type="paragraph" w:customStyle="1" w:styleId="50">
    <w:name w:val="样式 标题 2H2He + 首行缩进:  0.5 字符"/>
    <w:basedOn w:val="4"/>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eastAsia="宋体" w:cs="宋体"/>
      <w:bCs w:val="0"/>
      <w:color w:val="000000"/>
      <w:kern w:val="32"/>
      <w:szCs w:val="20"/>
    </w:rPr>
  </w:style>
  <w:style w:type="character" w:customStyle="1" w:styleId="51">
    <w:name w:val="表格文字 Char"/>
    <w:link w:val="49"/>
    <w:qFormat/>
    <w:uiPriority w:val="0"/>
    <w:rPr>
      <w:lang w:val="zh-CN" w:eastAsia="zh-CN"/>
    </w:rPr>
  </w:style>
  <w:style w:type="character" w:customStyle="1" w:styleId="52">
    <w:name w:val="题注 字符"/>
    <w:link w:val="7"/>
    <w:qFormat/>
    <w:uiPriority w:val="0"/>
    <w:rPr>
      <w:rFonts w:eastAsia="黑体"/>
      <w:sz w:val="24"/>
      <w:lang w:val="zh-CN" w:eastAsia="zh-CN"/>
    </w:rPr>
  </w:style>
  <w:style w:type="paragraph" w:customStyle="1" w:styleId="53">
    <w:name w:val="TOC 标题1"/>
    <w:basedOn w:val="3"/>
    <w:next w:val="1"/>
    <w:semiHidden/>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4">
    <w:name w:val="A-正文"/>
    <w:basedOn w:val="1"/>
    <w:qFormat/>
    <w:uiPriority w:val="0"/>
    <w:pPr>
      <w:spacing w:line="480" w:lineRule="exact"/>
      <w:ind w:firstLine="480" w:firstLineChars="200"/>
    </w:pPr>
    <w:rPr>
      <w:rFonts w:ascii="宋体" w:hAnsi="宋体" w:cs="宋体"/>
      <w:sz w:val="24"/>
    </w:rPr>
  </w:style>
  <w:style w:type="paragraph" w:customStyle="1" w:styleId="55">
    <w:name w:val="正文1"/>
    <w:qFormat/>
    <w:uiPriority w:val="0"/>
    <w:pPr>
      <w:jc w:val="both"/>
    </w:pPr>
    <w:rPr>
      <w:rFonts w:ascii="Calibri" w:hAnsi="Calibri" w:eastAsia="宋体" w:cs="Calibri"/>
      <w:kern w:val="2"/>
      <w:sz w:val="21"/>
      <w:szCs w:val="21"/>
      <w:lang w:val="en-US" w:eastAsia="zh-CN" w:bidi="ar-SA"/>
    </w:rPr>
  </w:style>
  <w:style w:type="paragraph" w:customStyle="1" w:styleId="56">
    <w:name w:val="B表头"/>
    <w:basedOn w:val="1"/>
    <w:qFormat/>
    <w:uiPriority w:val="0"/>
    <w:pPr>
      <w:spacing w:beforeLines="25" w:afterLines="25"/>
      <w:jc w:val="center"/>
    </w:pPr>
    <w:rPr>
      <w:rFonts w:ascii="Calibri" w:hAnsi="Calibri" w:cs="Calibri"/>
      <w:b/>
      <w:bCs/>
      <w:color w:val="000000"/>
      <w:sz w:val="24"/>
    </w:rPr>
  </w:style>
  <w:style w:type="paragraph" w:customStyle="1" w:styleId="57">
    <w:name w:val="标准正文"/>
    <w:basedOn w:val="1"/>
    <w:qFormat/>
    <w:uiPriority w:val="0"/>
    <w:pPr>
      <w:spacing w:line="360" w:lineRule="auto"/>
      <w:ind w:firstLine="480" w:firstLineChars="200"/>
      <w:jc w:val="left"/>
    </w:pPr>
    <w:rPr>
      <w:rFonts w:ascii="宋体" w:cs="宋体"/>
      <w:kern w:val="0"/>
      <w:sz w:val="24"/>
    </w:rPr>
  </w:style>
  <w:style w:type="paragraph" w:customStyle="1" w:styleId="58">
    <w:name w:val="A正文1"/>
    <w:basedOn w:val="1"/>
    <w:qFormat/>
    <w:uiPriority w:val="0"/>
    <w:pPr>
      <w:spacing w:line="360" w:lineRule="auto"/>
      <w:ind w:firstLine="200" w:firstLineChars="200"/>
    </w:pPr>
    <w:rPr>
      <w:sz w:val="24"/>
    </w:rPr>
  </w:style>
  <w:style w:type="paragraph" w:customStyle="1" w:styleId="59">
    <w:name w:val="正文首行缩进 21"/>
    <w:basedOn w:val="11"/>
    <w:next w:val="1"/>
    <w:qFormat/>
    <w:uiPriority w:val="0"/>
    <w:pPr>
      <w:spacing w:before="100" w:beforeAutospacing="1"/>
      <w:ind w:firstLine="420" w:firstLineChars="200"/>
    </w:pPr>
    <w:rPr>
      <w:szCs w:val="24"/>
    </w:rPr>
  </w:style>
  <w:style w:type="paragraph" w:customStyle="1" w:styleId="60">
    <w:name w:val="表中文字"/>
    <w:basedOn w:val="1"/>
    <w:qFormat/>
    <w:uiPriority w:val="0"/>
    <w:pPr>
      <w:adjustRightInd w:val="0"/>
      <w:spacing w:before="100" w:beforeAutospacing="1" w:after="100" w:afterAutospacing="1"/>
      <w:ind w:left="-2" w:leftChars="-1"/>
      <w:jc w:val="center"/>
    </w:pPr>
    <w:rPr>
      <w:rFonts w:ascii="Calibri" w:hAnsi="Calibri" w:cs="Calibri"/>
      <w:kern w:val="0"/>
      <w:szCs w:val="21"/>
    </w:rPr>
  </w:style>
  <w:style w:type="paragraph" w:customStyle="1" w:styleId="61">
    <w:name w:val="正文2"/>
    <w:qFormat/>
    <w:uiPriority w:val="0"/>
    <w:pPr>
      <w:jc w:val="both"/>
    </w:pPr>
    <w:rPr>
      <w:rFonts w:ascii="Calibri" w:hAnsi="Calibri" w:eastAsia="宋体" w:cs="Calibri"/>
      <w:kern w:val="2"/>
      <w:sz w:val="21"/>
      <w:szCs w:val="21"/>
      <w:lang w:val="en-US" w:eastAsia="zh-CN" w:bidi="ar-SA"/>
    </w:rPr>
  </w:style>
  <w:style w:type="paragraph" w:customStyle="1" w:styleId="62">
    <w:name w:val="样式 (符号) 宋体 小四 行距: 1.5 倍行距"/>
    <w:basedOn w:val="1"/>
    <w:qFormat/>
    <w:uiPriority w:val="0"/>
    <w:pPr>
      <w:adjustRightInd w:val="0"/>
      <w:snapToGrid w:val="0"/>
      <w:spacing w:before="100" w:beforeAutospacing="1" w:afterLines="20" w:line="360" w:lineRule="auto"/>
      <w:ind w:firstLine="480" w:firstLineChars="200"/>
      <w:jc w:val="left"/>
      <w:textAlignment w:val="baseline"/>
    </w:pPr>
    <w:rPr>
      <w:rFonts w:ascii="Calibri" w:hAnsi="宋体" w:cs="Calibri"/>
      <w:kern w:val="0"/>
      <w:sz w:val="24"/>
    </w:rPr>
  </w:style>
  <w:style w:type="paragraph" w:customStyle="1" w:styleId="63">
    <w:name w:val="表头2"/>
    <w:basedOn w:val="64"/>
    <w:qFormat/>
    <w:uiPriority w:val="0"/>
    <w:pPr>
      <w:spacing w:beforeLines="50" w:afterLines="50"/>
      <w:jc w:val="center"/>
    </w:pPr>
    <w:rPr>
      <w:b/>
      <w:bCs/>
      <w:szCs w:val="21"/>
    </w:rPr>
  </w:style>
  <w:style w:type="paragraph" w:customStyle="1" w:styleId="64">
    <w:name w:val="正文（用）"/>
    <w:basedOn w:val="1"/>
    <w:qFormat/>
    <w:uiPriority w:val="0"/>
    <w:pPr>
      <w:ind w:firstLine="480" w:firstLineChars="200"/>
      <w:jc w:val="left"/>
    </w:pPr>
    <w:rPr>
      <w:rFonts w:ascii="宋体" w:hAnsi="宋体" w:cs="宋体"/>
    </w:rPr>
  </w:style>
  <w:style w:type="paragraph" w:customStyle="1" w:styleId="65">
    <w:name w:val="正文首行缩进1"/>
    <w:basedOn w:val="9"/>
    <w:qFormat/>
    <w:uiPriority w:val="0"/>
    <w:pPr>
      <w:widowControl w:val="0"/>
      <w:snapToGrid/>
      <w:spacing w:before="0" w:after="120" w:line="240" w:lineRule="auto"/>
      <w:ind w:right="0" w:firstLine="420" w:firstLineChars="100"/>
    </w:pPr>
    <w:rPr>
      <w:kern w:val="2"/>
      <w:sz w:val="21"/>
      <w:szCs w:val="21"/>
    </w:rPr>
  </w:style>
  <w:style w:type="paragraph" w:customStyle="1" w:styleId="6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8">
    <w:name w:val="font1"/>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69">
    <w:name w:val="font2"/>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0">
    <w:name w:val="font3"/>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71">
    <w:name w:val="et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72">
    <w:name w:val="et3"/>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73">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74">
    <w:name w:val="font4"/>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5">
    <w:name w:val="font5"/>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76">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7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78">
    <w:name w:val="et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79">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80">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81">
    <w:name w:val="et1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8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character" w:customStyle="1" w:styleId="83">
    <w:name w:val="标题 1 字符"/>
    <w:basedOn w:val="24"/>
    <w:link w:val="3"/>
    <w:qFormat/>
    <w:uiPriority w:val="99"/>
    <w:rPr>
      <w:rFonts w:eastAsia="黑体"/>
      <w:b/>
      <w:bCs/>
      <w:color w:val="000000"/>
      <w:kern w:val="44"/>
      <w:sz w:val="30"/>
      <w:szCs w:val="30"/>
    </w:rPr>
  </w:style>
  <w:style w:type="paragraph" w:customStyle="1" w:styleId="84">
    <w:name w:val="报告正文"/>
    <w:basedOn w:val="1"/>
    <w:qFormat/>
    <w:uiPriority w:val="0"/>
    <w:pPr>
      <w:adjustRightInd w:val="0"/>
      <w:snapToGrid w:val="0"/>
      <w:spacing w:line="360" w:lineRule="auto"/>
      <w:ind w:firstLine="200" w:firstLineChars="200"/>
    </w:pPr>
    <w:rPr>
      <w:sz w:val="24"/>
    </w:rPr>
  </w:style>
  <w:style w:type="character" w:customStyle="1" w:styleId="85">
    <w:name w:val="15"/>
    <w:basedOn w:val="24"/>
    <w:qFormat/>
    <w:uiPriority w:val="0"/>
    <w:rPr>
      <w:rFonts w:hint="default" w:ascii="Calibri" w:hAnsi="Calibri" w:cs="Calibri"/>
      <w:sz w:val="21"/>
      <w:szCs w:val="21"/>
    </w:rPr>
  </w:style>
  <w:style w:type="paragraph" w:customStyle="1" w:styleId="86">
    <w:name w:val="Other|1"/>
    <w:basedOn w:val="1"/>
    <w:qFormat/>
    <w:uiPriority w:val="0"/>
    <w:pPr>
      <w:widowControl w:val="0"/>
      <w:shd w:val="clear" w:color="auto" w:fill="auto"/>
    </w:pPr>
    <w:rPr>
      <w:rFonts w:ascii="宋体" w:hAnsi="宋体" w:eastAsia="宋体" w:cs="宋体"/>
      <w:sz w:val="19"/>
      <w:szCs w:val="19"/>
      <w:u w:val="none"/>
      <w:shd w:val="clear" w:color="auto" w:fill="auto"/>
      <w:lang w:val="zh-TW" w:eastAsia="zh-TW" w:bidi="zh-TW"/>
    </w:rPr>
  </w:style>
  <w:style w:type="table" w:customStyle="1" w:styleId="87">
    <w:name w:val="Table Normal"/>
    <w:semiHidden/>
    <w:unhideWhenUsed/>
    <w:qFormat/>
    <w:uiPriority w:val="0"/>
    <w:tblPr>
      <w:tblCellMar>
        <w:top w:w="0" w:type="dxa"/>
        <w:left w:w="0" w:type="dxa"/>
        <w:bottom w:w="0" w:type="dxa"/>
        <w:right w:w="0" w:type="dxa"/>
      </w:tblCellMar>
    </w:tblPr>
  </w:style>
  <w:style w:type="character" w:customStyle="1" w:styleId="88">
    <w:name w:val="font01"/>
    <w:basedOn w:val="24"/>
    <w:qFormat/>
    <w:uiPriority w:val="0"/>
    <w:rPr>
      <w:rFonts w:hint="eastAsia" w:ascii="宋体" w:hAnsi="宋体" w:eastAsia="宋体" w:cs="宋体"/>
      <w:color w:val="000000"/>
      <w:sz w:val="21"/>
      <w:szCs w:val="21"/>
      <w:u w:val="none"/>
    </w:rPr>
  </w:style>
  <w:style w:type="character" w:customStyle="1" w:styleId="89">
    <w:name w:val="font21"/>
    <w:basedOn w:val="24"/>
    <w:qFormat/>
    <w:uiPriority w:val="0"/>
    <w:rPr>
      <w:rFonts w:hint="eastAsia" w:ascii="宋体" w:hAnsi="宋体" w:eastAsia="宋体" w:cs="宋体"/>
      <w:color w:val="000000"/>
      <w:sz w:val="21"/>
      <w:szCs w:val="21"/>
      <w:u w:val="none"/>
    </w:rPr>
  </w:style>
  <w:style w:type="character" w:customStyle="1" w:styleId="90">
    <w:name w:val="font11"/>
    <w:basedOn w:val="24"/>
    <w:qFormat/>
    <w:uiPriority w:val="0"/>
    <w:rPr>
      <w:rFonts w:hint="eastAsia" w:ascii="宋体" w:hAnsi="宋体" w:eastAsia="宋体" w:cs="宋体"/>
      <w:color w:val="000000"/>
      <w:sz w:val="21"/>
      <w:szCs w:val="21"/>
      <w:u w:val="none"/>
    </w:rPr>
  </w:style>
  <w:style w:type="paragraph" w:customStyle="1" w:styleId="91">
    <w:name w:val="表头文字"/>
    <w:basedOn w:val="17"/>
    <w:qFormat/>
    <w:uiPriority w:val="0"/>
    <w:pPr>
      <w:adjustRightInd w:val="0"/>
      <w:snapToGrid w:val="0"/>
      <w:spacing w:afterLines="20"/>
      <w:ind w:left="0" w:leftChars="0" w:firstLine="480" w:firstLineChars="200"/>
      <w:jc w:val="center"/>
      <w:textAlignment w:val="baseline"/>
    </w:pPr>
    <w:rPr>
      <w:rFonts w:eastAsia="黑体"/>
      <w:szCs w:val="21"/>
      <w:lang w:val="zh-CN"/>
    </w:rPr>
  </w:style>
  <w:style w:type="paragraph" w:customStyle="1" w:styleId="92">
    <w:name w:val="图表标题"/>
    <w:next w:val="1"/>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93">
    <w:name w:val="S表标题"/>
    <w:next w:val="94"/>
    <w:qFormat/>
    <w:uiPriority w:val="0"/>
    <w:pPr>
      <w:keepNext/>
      <w:keepLines/>
      <w:widowControl w:val="0"/>
      <w:numPr>
        <w:ilvl w:val="4"/>
        <w:numId w:val="1"/>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paragraph" w:customStyle="1" w:styleId="94">
    <w:name w:val="S正文"/>
    <w:basedOn w:val="1"/>
    <w:qFormat/>
    <w:uiPriority w:val="0"/>
  </w:style>
  <w:style w:type="paragraph" w:customStyle="1" w:styleId="95">
    <w:name w:val="S表正文"/>
    <w:basedOn w:val="19"/>
    <w:qFormat/>
    <w:uiPriority w:val="0"/>
    <w:pPr>
      <w:keepNext w:val="0"/>
      <w:keepLines w:val="0"/>
      <w:spacing w:before="0" w:beforeLines="0" w:after="0" w:afterLines="0"/>
    </w:pPr>
    <w:rPr>
      <w:sz w:val="21"/>
    </w:rPr>
  </w:style>
  <w:style w:type="character" w:customStyle="1" w:styleId="96">
    <w:name w:val="font41"/>
    <w:basedOn w:val="24"/>
    <w:qFormat/>
    <w:uiPriority w:val="0"/>
    <w:rPr>
      <w:rFonts w:hint="eastAsia" w:ascii="宋体" w:hAnsi="宋体" w:eastAsia="宋体" w:cs="宋体"/>
      <w:color w:val="000000"/>
      <w:sz w:val="19"/>
      <w:szCs w:val="19"/>
      <w:u w:val="none"/>
    </w:rPr>
  </w:style>
  <w:style w:type="character" w:customStyle="1" w:styleId="97">
    <w:name w:val="font61"/>
    <w:basedOn w:val="24"/>
    <w:qFormat/>
    <w:uiPriority w:val="0"/>
    <w:rPr>
      <w:rFonts w:hint="eastAsia" w:ascii="宋体" w:hAnsi="宋体" w:eastAsia="宋体" w:cs="宋体"/>
      <w:color w:val="000000"/>
      <w:sz w:val="20"/>
      <w:szCs w:val="20"/>
      <w:u w:val="none"/>
    </w:rPr>
  </w:style>
  <w:style w:type="paragraph" w:customStyle="1" w:styleId="98">
    <w:name w:val="1文章"/>
    <w:basedOn w:val="1"/>
    <w:qFormat/>
    <w:uiPriority w:val="0"/>
    <w:pPr>
      <w:snapToGrid w:val="0"/>
      <w:spacing w:line="360" w:lineRule="auto"/>
      <w:ind w:firstLine="573"/>
    </w:pPr>
    <w:rPr>
      <w:rFonts w:eastAsia="仿宋_GB2312"/>
      <w:sz w:val="28"/>
    </w:rPr>
  </w:style>
  <w:style w:type="paragraph" w:customStyle="1" w:styleId="99">
    <w:name w:val="az"/>
    <w:qFormat/>
    <w:uiPriority w:val="0"/>
    <w:pPr>
      <w:jc w:val="center"/>
    </w:pPr>
    <w:rPr>
      <w:rFonts w:ascii="Times New Roman" w:hAnsi="Times New Roman" w:eastAsia="宋体" w:cs="Times New Roman"/>
      <w:color w:val="000000"/>
      <w:sz w:val="21"/>
      <w:szCs w:val="21"/>
      <w:lang w:val="en-US" w:eastAsia="zh-CN" w:bidi="ar-SA"/>
    </w:rPr>
  </w:style>
  <w:style w:type="character" w:customStyle="1" w:styleId="100">
    <w:name w:val="正文首行缩进 Char"/>
    <w:link w:val="8"/>
    <w:qFormat/>
    <w:uiPriority w:val="99"/>
    <w:rPr>
      <w:rFonts w:ascii="Times New Roman" w:hAnsi="Times New Roman" w:eastAsia="宋体"/>
      <w:sz w:val="24"/>
    </w:rPr>
  </w:style>
  <w:style w:type="character" w:customStyle="1" w:styleId="101">
    <w:name w:val="layui-this"/>
    <w:basedOn w:val="24"/>
    <w:uiPriority w:val="0"/>
    <w:rPr>
      <w:bdr w:val="single" w:color="EEEEEE" w:sz="6" w:space="0"/>
      <w:shd w:val="clear" w:fill="FFFFFF"/>
    </w:rPr>
  </w:style>
  <w:style w:type="character" w:customStyle="1" w:styleId="102">
    <w:name w:val="after"/>
    <w:basedOn w:val="24"/>
    <w:uiPriority w:val="0"/>
  </w:style>
  <w:style w:type="character" w:customStyle="1" w:styleId="103">
    <w:name w:val="after1"/>
    <w:basedOn w:val="24"/>
    <w:uiPriority w:val="0"/>
  </w:style>
  <w:style w:type="character" w:customStyle="1" w:styleId="104">
    <w:name w:val="hover18"/>
    <w:basedOn w:val="24"/>
    <w:uiPriority w:val="0"/>
    <w:rPr>
      <w:color w:val="FFFFFF"/>
    </w:rPr>
  </w:style>
  <w:style w:type="character" w:customStyle="1" w:styleId="105">
    <w:name w:val="hover19"/>
    <w:basedOn w:val="24"/>
    <w:uiPriority w:val="0"/>
    <w:rPr>
      <w:color w:val="5FB878"/>
    </w:rPr>
  </w:style>
  <w:style w:type="character" w:customStyle="1" w:styleId="106">
    <w:name w:val="hover20"/>
    <w:basedOn w:val="24"/>
    <w:uiPriority w:val="0"/>
    <w:rPr>
      <w:color w:val="5FB878"/>
    </w:rPr>
  </w:style>
  <w:style w:type="character" w:customStyle="1" w:styleId="107">
    <w:name w:val="first-child"/>
    <w:basedOn w:val="24"/>
    <w:uiPriority w:val="0"/>
    <w:rPr>
      <w:bdr w:val="none" w:color="auto" w:sz="0" w:space="0"/>
    </w:rPr>
  </w:style>
  <w:style w:type="character" w:customStyle="1" w:styleId="108">
    <w:name w:val="t"/>
    <w:basedOn w:val="24"/>
    <w:uiPriority w:val="0"/>
  </w:style>
  <w:style w:type="character" w:customStyle="1" w:styleId="109">
    <w:name w:val="layui-laypage-curr"/>
    <w:basedOn w:val="24"/>
    <w:uiPriority w:val="0"/>
    <w:rPr>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594D7-D86C-483D-A3ED-16FEBC25C66F}">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86</Pages>
  <Words>39589</Words>
  <Characters>44962</Characters>
  <Lines>777</Lines>
  <Paragraphs>218</Paragraphs>
  <TotalTime>3</TotalTime>
  <ScaleCrop>false</ScaleCrop>
  <LinksUpToDate>false</LinksUpToDate>
  <CharactersWithSpaces>45460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2021-04-12T04:48:00Z</dcterms:created>
  <dc:creator>lhj</dc:creator>
  <cp:lastModifiedBy>Administrator</cp:lastModifiedBy>
  <cp:lastPrinted>2020-12-29T02:43:00Z</cp:lastPrinted>
  <dcterms:modified xsi:type="dcterms:W3CDTF">2022-07-04T01:47:19Z</dcterms:modified>
  <dc:title>附件2</dc:title>
  <cp:revision>1890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4731F2F03F66450C94B5645111C60958</vt:lpwstr>
  </property>
</Properties>
</file>