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方正大标宋简体" w:eastAsia="黑体"/>
          <w:sz w:val="32"/>
          <w:szCs w:val="32"/>
        </w:rPr>
      </w:pPr>
      <w:r>
        <w:rPr>
          <w:rFonts w:hint="eastAsia" w:ascii="黑体" w:hAnsi="方正大标宋简体" w:eastAsia="黑体"/>
          <w:sz w:val="32"/>
          <w:szCs w:val="32"/>
        </w:rPr>
        <w:t>附件</w:t>
      </w:r>
    </w:p>
    <w:p>
      <w:pPr>
        <w:spacing w:after="120" w:afterLines="50" w:line="600" w:lineRule="exact"/>
        <w:jc w:val="center"/>
        <w:rPr>
          <w:rFonts w:hint="eastAsia" w:ascii="方正小标宋简体" w:hAnsi="方正大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/>
          <w:sz w:val="44"/>
          <w:szCs w:val="44"/>
        </w:rPr>
        <w:t>202</w:t>
      </w:r>
      <w:r>
        <w:rPr>
          <w:rFonts w:hint="eastAsia" w:ascii="方正小标宋简体" w:hAnsi="方正大标宋简体" w:eastAsia="方正小标宋简体"/>
          <w:sz w:val="44"/>
          <w:szCs w:val="44"/>
          <w:lang w:val="en"/>
        </w:rPr>
        <w:t>2</w:t>
      </w:r>
      <w:r>
        <w:rPr>
          <w:rFonts w:hint="eastAsia" w:ascii="方正小标宋简体" w:hAnsi="方正大标宋简体" w:eastAsia="方正小标宋简体"/>
          <w:sz w:val="44"/>
          <w:szCs w:val="44"/>
        </w:rPr>
        <w:t>年祁东县重点民生实事项目考核指标及责任体系一览表</w:t>
      </w:r>
      <w:bookmarkEnd w:id="0"/>
    </w:p>
    <w:tbl>
      <w:tblPr>
        <w:tblStyle w:val="4"/>
        <w:tblW w:w="12792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042"/>
        <w:gridCol w:w="4009"/>
        <w:gridCol w:w="1635"/>
        <w:gridCol w:w="331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重点民生实事项目及考核指标任务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主要责任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单位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相关责任单位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数据评估认定单位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92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_GB2312" w:hAnsi="仿宋" w:eastAsia="楷体_GB2312" w:cs="仿宋"/>
                <w:b/>
                <w:sz w:val="24"/>
              </w:rPr>
            </w:pPr>
            <w:r>
              <w:rPr>
                <w:rFonts w:hint="eastAsia" w:ascii="楷体_GB2312" w:hAnsi="楷体" w:eastAsia="楷体_GB2312" w:cs="楷体"/>
                <w:b/>
                <w:kern w:val="0"/>
                <w:sz w:val="24"/>
                <w:lang w:bidi="ar"/>
              </w:rPr>
              <w:t>一、省定我县9件重点民生实事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增加公办义务教育学位21680个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县教育局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县发改局、县财政局、县自然资源局、县住建局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204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pacing w:val="-8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8"/>
                <w:kern w:val="0"/>
                <w:sz w:val="24"/>
                <w:lang w:bidi="ar"/>
              </w:rPr>
              <w:t>特殊群体健康保障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孕产妇免费产前筛查4100人次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县卫健局</w:t>
            </w:r>
          </w:p>
        </w:tc>
        <w:tc>
          <w:tcPr>
            <w:tcW w:w="3315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县财政局、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各乡镇（街道、管理处）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新生儿先天性心脏病免费筛查4100人次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农村适龄妇女和城镇低保适龄妇女“两癌”免费检查1万人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县妇联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县卫健局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县财政局、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各乡镇（街道、管理处）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1家定点医疗机构实现普通门诊医疗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费用</w:t>
            </w:r>
            <w:r>
              <w:rPr>
                <w:rFonts w:hint="eastAsia" w:ascii="仿宋_GB2312" w:hAnsi="仿宋" w:eastAsia="仿宋_GB2312" w:cs="仿宋"/>
                <w:sz w:val="24"/>
              </w:rPr>
              <w:t>跨省直接结算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县医保局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县卫健局、县财政局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康复救助残疾儿童45人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县残联</w:t>
            </w:r>
          </w:p>
        </w:tc>
        <w:tc>
          <w:tcPr>
            <w:tcW w:w="3315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县财政局、县民政局、县教育局、县卫健局、县医保局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、各乡镇（街道、管理处）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困难残疾人家庭无障碍改造120户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20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城乡低保和残疾人“两项补贴标准”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城市低保标准不低于600元/月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县民政局</w:t>
            </w:r>
          </w:p>
        </w:tc>
        <w:tc>
          <w:tcPr>
            <w:tcW w:w="3315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县财政局、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县残联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、各乡镇（街道、管理处）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农村低保标准不低于4800元/年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lang w:bidi="ar"/>
              </w:rPr>
              <w:t>困难残疾人生活补贴每月不低于75元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lang w:bidi="ar"/>
              </w:rPr>
              <w:t>重度残疾人护理补贴每月不低于75元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老年人服务保障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lang w:bidi="ar"/>
              </w:rPr>
              <w:t>完成50户困难老年人居家适老化改造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县民政局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县发改局、县财政局、县残联、县自然资源局、县住建局、相关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开工改造</w:t>
            </w:r>
            <w:r>
              <w:rPr>
                <w:rFonts w:ascii="仿宋_GB2312" w:hAnsi="仿宋" w:eastAsia="仿宋_GB2312" w:cs="仿宋"/>
                <w:kern w:val="0"/>
                <w:sz w:val="24"/>
                <w:lang w:val="en" w:bidi="ar"/>
              </w:rPr>
              <w:t>21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个城镇老旧小区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县住建局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县发改局、县财政局、县自然资源局、县城管执法局、国网祁东县供电分公司、相关街道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建设联网中小学幼儿园周边等重点部位安防设备700个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县公安局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1"/>
                <w:sz w:val="24"/>
              </w:rPr>
              <w:t>县委政法委、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spacing w:val="-11"/>
                <w:sz w:val="24"/>
              </w:rPr>
              <w:t>教育局、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spacing w:val="-11"/>
                <w:sz w:val="24"/>
              </w:rPr>
              <w:t>财政局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基础投、相关乡镇（街道、管理处）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lang w:val="en" w:bidi="ar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lang w:val="en" w:bidi="ar"/>
              </w:rPr>
              <w:t>18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  <w:t>个农村千人以上集中饮用水水源地突出问题整治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市生态环境局祁东分局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pacing w:val="-11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1"/>
                <w:sz w:val="24"/>
              </w:rPr>
              <w:t>县财政局、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spacing w:val="-11"/>
                <w:sz w:val="24"/>
              </w:rPr>
              <w:t>水利局、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spacing w:val="-11"/>
                <w:sz w:val="24"/>
              </w:rPr>
              <w:t>农业农村局、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相关乡镇（街道、管理处）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20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农村“三路”建设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完成农村旅游路、资源路、产业路提质改造96公里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县公路建设养护中心</w:t>
            </w:r>
          </w:p>
        </w:tc>
        <w:tc>
          <w:tcPr>
            <w:tcW w:w="3315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自然资源局、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林业局、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交通运输局、相关乡镇（街道、管理处）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建设农村公路安防设施159公里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20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农村水源保障及灌溉能力提升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新增蓄水能力20万方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县水利局</w:t>
            </w:r>
          </w:p>
        </w:tc>
        <w:tc>
          <w:tcPr>
            <w:tcW w:w="3315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县发改局、县农业农村局、县财政局、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相关乡镇（街道、管理处）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恢复和改善灌溉面积1万亩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92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_GB2312" w:hAnsi="仿宋" w:eastAsia="楷体_GB2312" w:cs="仿宋"/>
                <w:b/>
                <w:sz w:val="24"/>
              </w:rPr>
            </w:pPr>
            <w:r>
              <w:rPr>
                <w:rFonts w:hint="eastAsia" w:ascii="楷体_GB2312" w:hAnsi="楷体" w:eastAsia="楷体_GB2312" w:cs="楷体"/>
                <w:b/>
                <w:kern w:val="0"/>
                <w:sz w:val="24"/>
                <w:lang w:bidi="ar"/>
              </w:rPr>
              <w:t>二、市定我县4件重点民生实事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化解信访积案7件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县信访局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县委政法委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、相关乡镇（街道、管理处）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办好全县房地产遗留问题不动产登记证2000户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pacing w:val="-4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县自然资源局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县住建局、县财政局、县税务局、县行政审批服务局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完成既有住宅加装电梯15台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县住建局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县财政局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、相关街道、社区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</w:t>
            </w:r>
          </w:p>
        </w:tc>
        <w:tc>
          <w:tcPr>
            <w:tcW w:w="20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改（新）建农村户用和公用厕所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新建或改建无害化卫生厕所6130户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spacing w:val="-4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县乡村振兴局</w:t>
            </w:r>
          </w:p>
        </w:tc>
        <w:tc>
          <w:tcPr>
            <w:tcW w:w="3315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lang w:bidi="ar"/>
              </w:rPr>
              <w:t>县农业农村局、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县财政局、市生态环境局祁东分局、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卫健局、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自然资源局、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住建局、</w:t>
            </w:r>
            <w:r>
              <w:rPr>
                <w:rFonts w:hint="eastAsia" w:ascii="仿宋_GB2312" w:hAnsi="仿宋" w:eastAsia="仿宋_GB2312" w:cs="仿宋"/>
                <w:sz w:val="24"/>
              </w:rPr>
              <w:t>县市场监管局、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相关乡镇（街道、管理处）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升级改造农村公厕50座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3315" w:type="dxa"/>
            <w:vMerge w:val="continue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  <w:r>
              <w:rPr>
                <w:rFonts w:hint="eastAsia" w:ascii="楷体_GB2312" w:hAnsi="楷体" w:eastAsia="楷体_GB2312" w:cs="楷体"/>
                <w:b/>
                <w:kern w:val="0"/>
                <w:sz w:val="24"/>
                <w:lang w:bidi="ar"/>
              </w:rPr>
              <w:t>三、县政府确定</w:t>
            </w:r>
            <w:r>
              <w:rPr>
                <w:rFonts w:ascii="楷体_GB2312" w:hAnsi="楷体" w:eastAsia="楷体_GB2312" w:cs="楷体"/>
                <w:b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楷体_GB2312" w:hAnsi="楷体" w:eastAsia="楷体_GB2312" w:cs="楷体"/>
                <w:b/>
                <w:kern w:val="0"/>
                <w:sz w:val="24"/>
                <w:lang w:bidi="ar"/>
              </w:rPr>
              <w:t>件重点民生实事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  <w:lang w:val="en"/>
              </w:rPr>
            </w:pPr>
            <w:r>
              <w:rPr>
                <w:rFonts w:ascii="仿宋_GB2312" w:hAnsi="仿宋" w:eastAsia="仿宋_GB2312" w:cs="仿宋"/>
                <w:sz w:val="24"/>
                <w:lang w:val="en"/>
              </w:rPr>
              <w:t>14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  <w:t>圣云大道建设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完成</w:t>
            </w:r>
            <w:r>
              <w:rPr>
                <w:rFonts w:hint="eastAsia" w:ascii="仿宋_GB2312" w:hAnsi="仿宋" w:eastAsia="仿宋_GB2312" w:cs="仿宋"/>
                <w:sz w:val="24"/>
              </w:rPr>
              <w:t>全长约12KM，道路宽度100M，双向12车道沥青砼路面建设。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县基础投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县发改局、县财政局、县自然资源局、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相关街道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15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  <w:t>新城区道路提质改造工程（一期）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完成</w:t>
            </w:r>
            <w:r>
              <w:rPr>
                <w:rFonts w:hint="eastAsia" w:ascii="仿宋_GB2312" w:hAnsi="仿宋" w:eastAsia="仿宋_GB2312" w:cs="仿宋"/>
                <w:sz w:val="24"/>
              </w:rPr>
              <w:t>曙光路、民祥路、竹苑路、潇湘路、富民路、永安路、永和路7条道路提质改造。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经济开发区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县发改局、县财政局、县自然资源局、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相关街道和社区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16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  <w:t>祁东曲艺文化公园建设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完成</w:t>
            </w:r>
            <w:r>
              <w:rPr>
                <w:rFonts w:hint="eastAsia" w:ascii="仿宋_GB2312" w:hAnsi="仿宋" w:eastAsia="仿宋_GB2312" w:cs="仿宋"/>
                <w:sz w:val="24"/>
              </w:rPr>
              <w:t>祁东曲艺文化公园建筑主体工程建设。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经济开发区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县发改局、县财政局、县自然资源局、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玉合街道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17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val="en" w:bidi="ar"/>
              </w:rPr>
              <w:t>县城区排水防涝工程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完成</w:t>
            </w:r>
            <w:r>
              <w:rPr>
                <w:rFonts w:hint="eastAsia" w:ascii="仿宋_GB2312" w:hAnsi="仿宋" w:eastAsia="仿宋_GB2312" w:cs="仿宋"/>
                <w:sz w:val="24"/>
              </w:rPr>
              <w:t>石门渠、红旗渠(鼎龙路至城东工商所附近)、永昌大道与祁丰大道交叉口、湘桂铁路桥涵洞(车站北路段）4个易涝区域改造。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"/>
              </w:rPr>
              <w:t>县住建局</w:t>
            </w:r>
          </w:p>
        </w:tc>
        <w:tc>
          <w:tcPr>
            <w:tcW w:w="331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县发改局、县财政局、县自然资源局、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相关街道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FF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k5MWVkMzJjNDExNjU3MDFhOWVkNjIxYzJhZDAifQ=="/>
  </w:docVars>
  <w:rsids>
    <w:rsidRoot w:val="40463CE9"/>
    <w:rsid w:val="404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eastAsia="仿宋_GB2312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eastAsia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2022-11-18T08:31:00Z</dcterms:created>
  <dc:creator>遇见未来</dc:creator>
  <cp:lastModifiedBy>遇见未来</cp:lastModifiedBy>
  <dcterms:modified xsi:type="dcterms:W3CDTF">2022-11-18T08:32:17Z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92EE46F1907A409E881A6D6E9DFE8A43</vt:lpwstr>
  </property>
</Properties>
</file>