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附件2：</w:t>
      </w:r>
    </w:p>
    <w:p>
      <w:pPr>
        <w:jc w:val="center"/>
        <w:rPr>
          <w:rFonts w:hint="default" w:ascii="Times New Roman" w:hAnsi="Times New Roman" w:eastAsia="黑体" w:cs="Times New Roman"/>
          <w:sz w:val="24"/>
          <w:szCs w:val="24"/>
          <w:lang w:val="en-US" w:eastAsia="zh-CN"/>
        </w:rPr>
      </w:pPr>
      <w:r>
        <w:rPr>
          <w:rFonts w:hint="eastAsia" w:ascii="宋体" w:hAnsi="宋体" w:eastAsia="宋体" w:cs="宋体"/>
          <w:b/>
          <w:sz w:val="36"/>
          <w:szCs w:val="36"/>
          <w:lang w:eastAsia="zh-CN"/>
        </w:rPr>
        <w:t>祁东县农村公路服务所</w:t>
      </w:r>
    </w:p>
    <w:p>
      <w:pPr>
        <w:jc w:val="center"/>
        <w:rPr>
          <w:rFonts w:ascii="宋体" w:hAnsi="宋体" w:eastAsia="宋体" w:cs="宋体"/>
          <w:b/>
          <w:sz w:val="36"/>
          <w:szCs w:val="36"/>
        </w:rPr>
      </w:pPr>
      <w:bookmarkStart w:id="0" w:name="_GoBack"/>
      <w:r>
        <w:rPr>
          <w:rFonts w:hint="eastAsia" w:ascii="宋体" w:hAnsi="宋体" w:eastAsia="宋体" w:cs="宋体"/>
          <w:b/>
          <w:sz w:val="36"/>
          <w:szCs w:val="36"/>
          <w:lang w:val="en-US" w:eastAsia="zh-CN"/>
        </w:rPr>
        <w:t>2022年</w:t>
      </w:r>
      <w:r>
        <w:rPr>
          <w:rFonts w:hint="eastAsia" w:ascii="宋体" w:hAnsi="宋体" w:eastAsia="宋体" w:cs="宋体"/>
          <w:b/>
          <w:sz w:val="36"/>
          <w:szCs w:val="36"/>
        </w:rPr>
        <w:t>财政专项资金支出绩效自评报告</w:t>
      </w:r>
      <w:bookmarkEnd w:id="0"/>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一、项目基本情况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（一）项目概况</w:t>
      </w:r>
    </w:p>
    <w:p>
      <w:pPr>
        <w:keepNext w:val="0"/>
        <w:keepLines w:val="0"/>
        <w:widowControl w:val="0"/>
        <w:suppressLineNumbers w:val="0"/>
        <w:spacing w:before="0" w:beforeAutospacing="0" w:after="0" w:afterAutospacing="0"/>
        <w:ind w:left="0" w:right="0" w:firstLine="640" w:firstLineChars="200"/>
        <w:jc w:val="both"/>
      </w:pPr>
      <w:r>
        <w:rPr>
          <w:rFonts w:hint="eastAsia" w:ascii="仿宋" w:hAnsi="仿宋" w:eastAsia="仿宋" w:cs="仿宋"/>
          <w:color w:val="333333"/>
          <w:kern w:val="2"/>
          <w:sz w:val="32"/>
          <w:szCs w:val="32"/>
          <w:lang w:val="en-US" w:eastAsia="zh-CN" w:bidi="ar"/>
        </w:rPr>
        <w:t>2022年下达祁东县农村公路服务所农村公路养护工程转移支付及七星岭隧道电费及养护经费共计376万元，养护范围包括路基、路面、水沟、边坡、桥梁、涵洞、隧道等的日常保洁、小修保养、少量水修复、绿化修剪、安防设施维护、公路灾害防治及其它配套设施维护等。</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（二）项目绩效目标</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1、项目绩效总目标</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根据《中华人民共和国公路法》和《国务院办公厅关于印发农村公路管理养护体制改革方案的通知》精神，加强公路的管理和养护，为社会提供畅通安全的交通保障，更好地为干线公路经济社会发展服务。</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_GB2312" w:eastAsia="仿宋_GB2312" w:cs="仿宋_GB2312"/>
          <w:sz w:val="32"/>
          <w:szCs w:val="32"/>
          <w:shd w:val="clear" w:color="auto" w:fill="FFFFFF"/>
          <w:lang w:val="en-US"/>
        </w:rPr>
        <w:t>2</w:t>
      </w:r>
      <w:r>
        <w:rPr>
          <w:rFonts w:hint="eastAsia" w:ascii="仿宋_GB2312" w:eastAsia="仿宋_GB2312" w:cs="仿宋_GB2312"/>
          <w:sz w:val="32"/>
          <w:szCs w:val="32"/>
          <w:shd w:val="clear" w:color="auto" w:fill="FFFFFF"/>
          <w:lang w:eastAsia="zh-CN"/>
        </w:rPr>
        <w:t>、项目绩效阶段性目标</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Calibri"/>
          <w:color w:val="333333"/>
          <w:kern w:val="0"/>
          <w:sz w:val="32"/>
          <w:szCs w:val="32"/>
          <w:lang w:val="en-US"/>
        </w:rPr>
      </w:pPr>
      <w:r>
        <w:rPr>
          <w:rFonts w:hint="eastAsia" w:ascii="仿宋" w:hAnsi="仿宋" w:eastAsia="仿宋" w:cs="仿宋"/>
          <w:color w:val="333333"/>
          <w:kern w:val="0"/>
          <w:sz w:val="32"/>
          <w:szCs w:val="32"/>
          <w:shd w:val="clear" w:color="auto" w:fill="FFFFFF"/>
          <w:lang w:val="en-US" w:eastAsia="zh-CN" w:bidi="ar"/>
        </w:rPr>
        <w:t>完成养护里程47.037公里，确</w:t>
      </w:r>
      <w:r>
        <w:rPr>
          <w:rFonts w:hint="eastAsia" w:ascii="仿宋" w:hAnsi="仿宋" w:eastAsia="仿宋" w:cs="Calibri"/>
          <w:color w:val="333333"/>
          <w:kern w:val="0"/>
          <w:sz w:val="32"/>
          <w:szCs w:val="32"/>
          <w:lang w:val="en-US" w:eastAsia="zh-CN" w:bidi="ar"/>
        </w:rPr>
        <w:t>保好路率≧85%。</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二、项目单位绩效报告情况</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Calibri"/>
          <w:color w:val="333333"/>
          <w:kern w:val="0"/>
          <w:sz w:val="32"/>
          <w:szCs w:val="32"/>
          <w:lang w:val="en-US"/>
        </w:rPr>
      </w:pPr>
      <w:r>
        <w:rPr>
          <w:rFonts w:hint="eastAsia" w:ascii="仿宋" w:hAnsi="仿宋" w:eastAsia="仿宋" w:cs="Calibri"/>
          <w:color w:val="333333"/>
          <w:kern w:val="0"/>
          <w:sz w:val="32"/>
          <w:szCs w:val="32"/>
          <w:lang w:val="en-US" w:eastAsia="zh-CN" w:bidi="ar"/>
        </w:rPr>
        <w:t>项目立项程序规范，项目库按要求建设和执行，绩效目标设立合理明确，资金分配和使用合理合规，使用率达100%，对专项资金进行严格监管，按规定进行公示公告；项目实施方面，管理制度健全、执行有效；项目产出方面，项目完成率100%，产出质量达标，项目进度按申报资料计划时间完成，项目成本节约率100%；项目效果方面，项目实施对经济发展、社会发展、生态环境带来直接影响并形成可持续影响，公众社会公众满意度95%以上。综上，评价得分98分，评价等次为优。</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三、绩效评价工作情况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（一）绩效评价目的</w:t>
      </w:r>
    </w:p>
    <w:p>
      <w:pPr>
        <w:pStyle w:val="5"/>
        <w:widowControl/>
        <w:ind w:left="0" w:firstLine="640" w:firstLineChars="200"/>
      </w:pPr>
      <w:r>
        <w:rPr>
          <w:rFonts w:hint="eastAsia" w:ascii="仿宋" w:hAnsi="仿宋" w:eastAsia="仿宋" w:cs="仿宋"/>
          <w:color w:val="333333"/>
          <w:sz w:val="32"/>
          <w:szCs w:val="32"/>
          <w:lang w:eastAsia="zh-CN"/>
        </w:rPr>
        <w:t>通过开展县省道日常养护及农村公路建设工作经费项目资金财政支出绩效评价工作，确认项目资金的使用是否达到了预期目标；通过分析财政资金使用的效率与效益，评价对财政资金投入是否实现了应有的社会效应。</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（二）绩效评价原则、评价指标体系（附表说明）、评价方法</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1</w:t>
      </w:r>
      <w:r>
        <w:rPr>
          <w:rFonts w:hint="eastAsia" w:ascii="仿宋" w:hAnsi="仿宋" w:eastAsia="仿宋" w:cs="仿宋"/>
          <w:color w:val="333333"/>
          <w:sz w:val="32"/>
          <w:szCs w:val="32"/>
          <w:shd w:val="clear" w:color="auto" w:fill="FFFFFF"/>
          <w:lang w:eastAsia="zh-CN"/>
        </w:rPr>
        <w:t>、绩效评价原则</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坚持真实、科学、公正的原则；坚持定量分析与定性分析的原则。</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2</w:t>
      </w:r>
      <w:r>
        <w:rPr>
          <w:rFonts w:hint="eastAsia" w:ascii="仿宋" w:hAnsi="仿宋" w:eastAsia="仿宋" w:cs="仿宋"/>
          <w:color w:val="333333"/>
          <w:sz w:val="32"/>
          <w:szCs w:val="32"/>
          <w:shd w:val="clear" w:color="auto" w:fill="FFFFFF"/>
          <w:lang w:eastAsia="zh-CN"/>
        </w:rPr>
        <w:t>、绩效指标体系</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在参考</w:t>
      </w:r>
      <w:r>
        <w:rPr>
          <w:rFonts w:hint="eastAsia" w:ascii="仿宋" w:hAnsi="仿宋" w:eastAsia="仿宋" w:cs="仿宋"/>
          <w:color w:val="333333"/>
          <w:sz w:val="32"/>
          <w:szCs w:val="32"/>
          <w:shd w:val="clear" w:color="auto" w:fill="FFFFFF"/>
          <w:lang w:val="en-US" w:eastAsia="zh-CN"/>
        </w:rPr>
        <w:t>2022</w:t>
      </w:r>
      <w:r>
        <w:rPr>
          <w:rFonts w:hint="eastAsia" w:ascii="仿宋" w:hAnsi="仿宋" w:eastAsia="仿宋" w:cs="仿宋"/>
          <w:color w:val="333333"/>
          <w:sz w:val="32"/>
          <w:szCs w:val="32"/>
          <w:shd w:val="clear" w:color="auto" w:fill="FFFFFF"/>
          <w:lang w:eastAsia="zh-CN"/>
        </w:rPr>
        <w:t>年祁东县项目（专项）支出绩效目标表给出的绩效评价指标体系，充分考虑</w:t>
      </w:r>
      <w:r>
        <w:rPr>
          <w:rFonts w:hint="eastAsia" w:ascii="仿宋" w:hAnsi="仿宋" w:eastAsia="仿宋" w:cs="Times New Roman"/>
          <w:color w:val="333333"/>
          <w:sz w:val="32"/>
          <w:szCs w:val="32"/>
          <w:shd w:val="clear" w:color="auto" w:fill="FFFFFF"/>
          <w:lang w:eastAsia="zh-CN"/>
        </w:rPr>
        <w:t>县省道日常养护及</w:t>
      </w:r>
      <w:r>
        <w:rPr>
          <w:rFonts w:hint="eastAsia" w:ascii="仿宋" w:hAnsi="仿宋" w:eastAsia="仿宋" w:cs="仿宋"/>
          <w:color w:val="333333"/>
          <w:sz w:val="32"/>
          <w:szCs w:val="32"/>
          <w:shd w:val="clear" w:color="auto" w:fill="FFFFFF"/>
          <w:lang w:eastAsia="zh-CN"/>
        </w:rPr>
        <w:t>农村公路建设工作经费项目的目标要求，重点对“项目绩效”指标进行设计，其中“项目产出”“项目效果”尽量做到量化。</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3</w:t>
      </w:r>
      <w:r>
        <w:rPr>
          <w:rFonts w:hint="eastAsia" w:ascii="仿宋" w:hAnsi="仿宋" w:eastAsia="仿宋" w:cs="仿宋"/>
          <w:color w:val="333333"/>
          <w:sz w:val="32"/>
          <w:szCs w:val="32"/>
          <w:shd w:val="clear" w:color="auto" w:fill="FFFFFF"/>
          <w:lang w:eastAsia="zh-CN"/>
        </w:rPr>
        <w:t>、评价方法</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本次绩效评价采用定量与定性相结合、比较法、因素分析法、公众评议法等进行评价。</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（三）绩效评价工作过程</w:t>
      </w:r>
    </w:p>
    <w:p>
      <w:pPr>
        <w:pStyle w:val="2"/>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color w:val="333333"/>
          <w:sz w:val="32"/>
          <w:szCs w:val="32"/>
          <w:lang w:val="en-US"/>
        </w:rPr>
      </w:pPr>
      <w:r>
        <w:rPr>
          <w:rFonts w:hint="eastAsia" w:ascii="仿宋" w:hAnsi="仿宋" w:eastAsia="仿宋" w:cs="仿宋"/>
          <w:color w:val="333333"/>
          <w:sz w:val="32"/>
          <w:szCs w:val="32"/>
          <w:lang w:val="en-US"/>
        </w:rPr>
        <w:t>1</w:t>
      </w:r>
      <w:r>
        <w:rPr>
          <w:rFonts w:hint="eastAsia" w:ascii="仿宋" w:hAnsi="仿宋" w:eastAsia="仿宋" w:cs="仿宋"/>
          <w:color w:val="333333"/>
          <w:sz w:val="32"/>
          <w:szCs w:val="32"/>
          <w:lang w:eastAsia="zh-CN"/>
        </w:rPr>
        <w:t>、前期准备。按祁东县财政局相关文件要求，我所对涉及本项目的相关文件进行了学习与分析，并制定项目评价实施方案，设计绩效评价体系。</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2</w:t>
      </w:r>
      <w:r>
        <w:rPr>
          <w:rFonts w:hint="eastAsia" w:ascii="仿宋" w:hAnsi="仿宋" w:eastAsia="仿宋" w:cs="仿宋"/>
          <w:color w:val="333333"/>
          <w:sz w:val="32"/>
          <w:szCs w:val="32"/>
          <w:shd w:val="clear" w:color="auto" w:fill="FFFFFF"/>
          <w:lang w:eastAsia="zh-CN"/>
        </w:rPr>
        <w:t>、组织实施。以“全面规划，预防为主，科学管理，保障畅通“为总方针，内部实行合同化管理、目标责任制，强化责任考核制度，对社会采用公众电话、调查问卷填写等形式开展考评。</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3</w:t>
      </w:r>
      <w:r>
        <w:rPr>
          <w:rFonts w:hint="eastAsia" w:ascii="仿宋" w:hAnsi="仿宋" w:eastAsia="仿宋" w:cs="仿宋"/>
          <w:color w:val="333333"/>
          <w:sz w:val="32"/>
          <w:szCs w:val="32"/>
          <w:shd w:val="clear" w:color="auto" w:fill="FFFFFF"/>
          <w:lang w:eastAsia="zh-CN"/>
        </w:rPr>
        <w:t>、分析评价。根据收集资料和现场考评情况进行汇总分析，根据设定的绩效评价指标体系进行评分。</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四、绩效评价指标分析情况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（一）项目资金情况分析</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1</w:t>
      </w:r>
      <w:r>
        <w:rPr>
          <w:rFonts w:hint="eastAsia" w:ascii="仿宋" w:hAnsi="仿宋" w:eastAsia="仿宋" w:cs="仿宋"/>
          <w:color w:val="333333"/>
          <w:sz w:val="32"/>
          <w:szCs w:val="32"/>
          <w:shd w:val="clear" w:color="auto" w:fill="FFFFFF"/>
          <w:lang w:eastAsia="zh-CN"/>
        </w:rPr>
        <w:t>、资金到位情况分析</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祁东县财政局批准祁东县农村公路服务所</w:t>
      </w:r>
      <w:r>
        <w:rPr>
          <w:rFonts w:hint="eastAsia" w:ascii="仿宋" w:hAnsi="仿宋" w:eastAsia="仿宋" w:cs="Calibri"/>
          <w:color w:val="333333"/>
          <w:kern w:val="0"/>
          <w:sz w:val="32"/>
          <w:szCs w:val="32"/>
          <w:lang w:val="en-US" w:eastAsia="zh-CN" w:bidi="ar"/>
        </w:rPr>
        <w:t>农村公路养护工程转移支付366万元</w:t>
      </w: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lang w:val="en-US" w:eastAsia="zh-CN" w:bidi="ar"/>
        </w:rPr>
        <w:t>七星岭隧道电费及养护费10万元</w:t>
      </w:r>
      <w:r>
        <w:rPr>
          <w:rFonts w:hint="eastAsia" w:ascii="仿宋" w:hAnsi="仿宋" w:eastAsia="仿宋" w:cs="仿宋"/>
          <w:color w:val="333333"/>
          <w:sz w:val="32"/>
          <w:szCs w:val="32"/>
          <w:shd w:val="clear" w:color="auto" w:fill="FFFFFF"/>
          <w:lang w:eastAsia="zh-CN"/>
        </w:rPr>
        <w:t>，共计</w:t>
      </w:r>
      <w:r>
        <w:rPr>
          <w:rFonts w:hint="eastAsia" w:ascii="仿宋" w:hAnsi="仿宋" w:eastAsia="仿宋" w:cs="仿宋"/>
          <w:color w:val="333333"/>
          <w:sz w:val="32"/>
          <w:szCs w:val="32"/>
          <w:shd w:val="clear" w:color="auto" w:fill="FFFFFF"/>
          <w:lang w:val="en-US" w:eastAsia="zh-CN"/>
        </w:rPr>
        <w:t>376</w:t>
      </w:r>
      <w:r>
        <w:rPr>
          <w:rFonts w:hint="eastAsia" w:ascii="仿宋" w:hAnsi="仿宋" w:eastAsia="仿宋" w:cs="仿宋"/>
          <w:color w:val="333333"/>
          <w:sz w:val="32"/>
          <w:szCs w:val="32"/>
          <w:shd w:val="clear" w:color="auto" w:fill="FFFFFF"/>
          <w:lang w:eastAsia="zh-CN"/>
        </w:rPr>
        <w:t>万元，实际已到位资金</w:t>
      </w:r>
      <w:r>
        <w:rPr>
          <w:rFonts w:hint="eastAsia" w:ascii="仿宋" w:hAnsi="仿宋" w:eastAsia="仿宋" w:cs="仿宋"/>
          <w:color w:val="333333"/>
          <w:sz w:val="32"/>
          <w:szCs w:val="32"/>
          <w:shd w:val="clear" w:color="auto" w:fill="FFFFFF"/>
          <w:lang w:val="en-US" w:eastAsia="zh-CN"/>
        </w:rPr>
        <w:t>376</w:t>
      </w:r>
      <w:r>
        <w:rPr>
          <w:rFonts w:hint="eastAsia" w:ascii="仿宋" w:hAnsi="仿宋" w:eastAsia="仿宋" w:cs="仿宋"/>
          <w:color w:val="333333"/>
          <w:sz w:val="32"/>
          <w:szCs w:val="32"/>
          <w:shd w:val="clear" w:color="auto" w:fill="FFFFFF"/>
          <w:lang w:eastAsia="zh-CN"/>
        </w:rPr>
        <w:t>万元。</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2</w:t>
      </w:r>
      <w:r>
        <w:rPr>
          <w:rFonts w:hint="eastAsia" w:ascii="仿宋" w:hAnsi="仿宋" w:eastAsia="仿宋" w:cs="仿宋"/>
          <w:color w:val="333333"/>
          <w:sz w:val="32"/>
          <w:szCs w:val="32"/>
          <w:shd w:val="clear" w:color="auto" w:fill="FFFFFF"/>
          <w:lang w:eastAsia="zh-CN"/>
        </w:rPr>
        <w:t>、 资金使用情况分析</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仿宋" w:hAnsi="仿宋" w:eastAsia="仿宋" w:cs="Calibri"/>
          <w:color w:val="333333"/>
          <w:kern w:val="0"/>
          <w:sz w:val="32"/>
          <w:szCs w:val="32"/>
          <w:lang w:val="en-US" w:eastAsia="zh-CN" w:bidi="ar"/>
        </w:rPr>
      </w:pPr>
      <w:r>
        <w:rPr>
          <w:rFonts w:hint="eastAsia" w:ascii="仿宋" w:hAnsi="仿宋" w:eastAsia="仿宋" w:cs="Calibri"/>
          <w:color w:val="333333"/>
          <w:kern w:val="0"/>
          <w:sz w:val="32"/>
          <w:szCs w:val="32"/>
          <w:lang w:val="en-US" w:eastAsia="zh-CN" w:bidi="ar"/>
        </w:rPr>
        <w:t>农村公路养护工程转移支付366万元</w:t>
      </w:r>
      <w:r>
        <w:rPr>
          <w:rFonts w:hint="eastAsia" w:ascii="仿宋" w:hAnsi="仿宋" w:eastAsia="仿宋" w:cs="Times New Roman"/>
          <w:color w:val="333333"/>
          <w:sz w:val="32"/>
          <w:szCs w:val="32"/>
          <w:lang w:val="en-US" w:eastAsia="zh-CN" w:bidi="ar"/>
        </w:rPr>
        <w:t>，七星岭隧道电费及养护费10万元。</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3</w:t>
      </w:r>
      <w:r>
        <w:rPr>
          <w:rFonts w:hint="eastAsia" w:ascii="仿宋" w:hAnsi="仿宋" w:eastAsia="仿宋" w:cs="仿宋"/>
          <w:color w:val="333333"/>
          <w:sz w:val="32"/>
          <w:szCs w:val="32"/>
          <w:shd w:val="clear" w:color="auto" w:fill="FFFFFF"/>
          <w:lang w:eastAsia="zh-CN"/>
        </w:rPr>
        <w:t>、 资金管理情况分析</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祁东县农村公路服务所负责项目资金的管理及使用。制订了年度养护管理计划及各项小修工程计划，并分阶段实施，保证专项资金安全有效运行。</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综上分析，</w:t>
      </w:r>
      <w:r>
        <w:rPr>
          <w:rFonts w:hint="eastAsia" w:ascii="仿宋" w:hAnsi="仿宋" w:eastAsia="仿宋" w:cs="仿宋"/>
          <w:color w:val="333333"/>
          <w:sz w:val="32"/>
          <w:szCs w:val="32"/>
          <w:shd w:val="clear" w:color="auto" w:fill="FFFFFF"/>
          <w:lang w:val="en-US"/>
        </w:rPr>
        <w:t>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lang w:eastAsia="zh-CN"/>
        </w:rPr>
        <w:t>年项目资金的管理机构分工明确，工作流程实施合理，基本保证了项目资金的正确规范使用。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（二）项目实施情况分析</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1</w:t>
      </w:r>
      <w:r>
        <w:rPr>
          <w:rFonts w:hint="eastAsia" w:ascii="仿宋" w:hAnsi="仿宋" w:eastAsia="仿宋" w:cs="仿宋"/>
          <w:color w:val="333333"/>
          <w:sz w:val="32"/>
          <w:szCs w:val="32"/>
          <w:shd w:val="clear" w:color="auto" w:fill="FFFFFF"/>
          <w:lang w:eastAsia="zh-CN"/>
        </w:rPr>
        <w:t>、项目组织情况分析</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lang w:eastAsia="zh-CN"/>
        </w:rPr>
        <w:t>年祁东县</w:t>
      </w:r>
      <w:r>
        <w:rPr>
          <w:rFonts w:hint="eastAsia" w:ascii="仿宋" w:hAnsi="仿宋" w:eastAsia="仿宋" w:cs="Calibri"/>
          <w:color w:val="333333"/>
          <w:kern w:val="0"/>
          <w:sz w:val="32"/>
          <w:szCs w:val="32"/>
          <w:lang w:val="en-US" w:eastAsia="zh-CN" w:bidi="ar"/>
        </w:rPr>
        <w:t>农村公路养护工程转移支付</w:t>
      </w:r>
      <w:r>
        <w:rPr>
          <w:rFonts w:hint="eastAsia" w:ascii="仿宋" w:hAnsi="仿宋" w:eastAsia="仿宋" w:cs="Times New Roman"/>
          <w:color w:val="333333"/>
          <w:sz w:val="32"/>
          <w:szCs w:val="32"/>
          <w:shd w:val="clear" w:color="auto" w:fill="FFFFFF"/>
          <w:lang w:eastAsia="zh-CN"/>
        </w:rPr>
        <w:t>项目</w:t>
      </w:r>
      <w:r>
        <w:rPr>
          <w:rFonts w:hint="eastAsia" w:ascii="仿宋" w:hAnsi="仿宋" w:eastAsia="仿宋" w:cs="仿宋"/>
          <w:color w:val="333333"/>
          <w:sz w:val="32"/>
          <w:szCs w:val="32"/>
          <w:shd w:val="clear" w:color="auto" w:fill="FFFFFF"/>
          <w:lang w:eastAsia="zh-CN"/>
        </w:rPr>
        <w:t>责任主体是祁东县农村公路服务所。公路小修工程、预防性养护工程推行管养分离，养护人员无法完成的，由我所根据政府采购规定，采取承包劳务公司完成，由于本所养护工作人员严重老龄化，将来养护发展趋势应逐步实行养护市场化，采取招投标的方式，择优选择养护作业单位。</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val="en-US"/>
        </w:rPr>
        <w:t>2</w:t>
      </w:r>
      <w:r>
        <w:rPr>
          <w:rFonts w:hint="eastAsia" w:ascii="仿宋" w:hAnsi="仿宋" w:eastAsia="仿宋" w:cs="仿宋"/>
          <w:color w:val="333333"/>
          <w:sz w:val="32"/>
          <w:szCs w:val="32"/>
          <w:shd w:val="clear" w:color="auto" w:fill="FFFFFF"/>
          <w:lang w:eastAsia="zh-CN"/>
        </w:rPr>
        <w:t>、项目管理情况分析</w:t>
      </w:r>
    </w:p>
    <w:p>
      <w:pPr>
        <w:pStyle w:val="5"/>
        <w:widowControl/>
        <w:ind w:left="0" w:firstLine="640" w:firstLineChars="200"/>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为加强公路建设及养护管理，保障公路完好畅通，更好地为全县经济社会发展服务，我所严格按照上级相关文件精神落实管理。</w:t>
      </w:r>
    </w:p>
    <w:p>
      <w:pPr>
        <w:pStyle w:val="2"/>
        <w:keepNext w:val="0"/>
        <w:keepLines w:val="0"/>
        <w:widowControl/>
        <w:suppressLineNumbers w:val="0"/>
        <w:shd w:val="clear" w:color="auto" w:fill="FFFFFF"/>
        <w:spacing w:before="0" w:beforeAutospacing="0" w:after="0" w:afterAutospacing="0" w:line="240" w:lineRule="atLeast"/>
        <w:ind w:left="0" w:right="0" w:firstLine="42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公路建设养护管理应遵循“统一领导、分级负责、建养并重、协调发展、依法治路、保障畅通”的原则。</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333333"/>
          <w:sz w:val="32"/>
          <w:szCs w:val="32"/>
          <w:lang w:val="en-US"/>
        </w:rPr>
      </w:pPr>
      <w:r>
        <w:rPr>
          <w:rFonts w:hint="eastAsia" w:ascii="仿宋" w:hAnsi="仿宋" w:eastAsia="仿宋" w:cs="仿宋"/>
          <w:color w:val="333333"/>
          <w:kern w:val="2"/>
          <w:sz w:val="32"/>
          <w:szCs w:val="32"/>
          <w:lang w:val="en-US" w:eastAsia="zh-CN" w:bidi="ar"/>
        </w:rPr>
        <w:t>县人民政府是全县公路管理养护的责任主体，县人民政府交通行政主管部门及授权的公路养护管理机构，负责全县公路管理养护的日常工作。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（三）项目绩效情况分析</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1、项目经济性分析</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预算控制率为0，项目成本节约率100%</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2、项目的效率性分析</w:t>
      </w:r>
    </w:p>
    <w:p>
      <w:pPr>
        <w:keepNext w:val="0"/>
        <w:keepLines w:val="0"/>
        <w:widowControl w:val="0"/>
        <w:suppressLineNumbers w:val="0"/>
        <w:spacing w:before="0" w:beforeAutospacing="0" w:after="0" w:afterAutospacing="0"/>
        <w:ind w:left="0" w:right="0" w:firstLine="480" w:firstLineChars="15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项目按申报资料的计划时间完成，完成率100%</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3、项目的效益性分析</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 w:hAnsi="仿宋" w:eastAsia="仿宋" w:cs="仿宋"/>
          <w:color w:val="333333"/>
          <w:kern w:val="2"/>
          <w:sz w:val="32"/>
          <w:szCs w:val="32"/>
          <w:lang w:val="en-US" w:eastAsia="zh-CN" w:bidi="ar"/>
        </w:rPr>
        <w:t>预期完成</w:t>
      </w:r>
      <w:r>
        <w:rPr>
          <w:rFonts w:hint="default" w:ascii="Times New Roman" w:hAnsi="Times New Roman" w:eastAsia="宋体" w:cs="Times New Roman"/>
          <w:color w:val="333333"/>
          <w:kern w:val="2"/>
          <w:sz w:val="32"/>
          <w:szCs w:val="32"/>
          <w:lang w:val="en-US" w:eastAsia="zh-CN" w:bidi="ar"/>
        </w:rPr>
        <w:t>202</w:t>
      </w:r>
      <w:r>
        <w:rPr>
          <w:rFonts w:hint="eastAsia" w:eastAsia="宋体" w:cs="Times New Roman"/>
          <w:color w:val="333333"/>
          <w:kern w:val="2"/>
          <w:sz w:val="32"/>
          <w:szCs w:val="32"/>
          <w:lang w:val="en-US" w:eastAsia="zh-CN" w:bidi="ar"/>
        </w:rPr>
        <w:t>2</w:t>
      </w:r>
      <w:r>
        <w:rPr>
          <w:rFonts w:hint="eastAsia" w:ascii="仿宋" w:hAnsi="仿宋" w:eastAsia="仿宋" w:cs="仿宋"/>
          <w:color w:val="333333"/>
          <w:kern w:val="2"/>
          <w:sz w:val="32"/>
          <w:szCs w:val="32"/>
          <w:lang w:val="en-US" w:eastAsia="zh-CN" w:bidi="ar"/>
        </w:rPr>
        <w:t>年初设定的所有工作任务，各项目得到有序开展。预期完工项目验收率达到</w:t>
      </w:r>
      <w:r>
        <w:rPr>
          <w:rFonts w:hint="default" w:ascii="Times New Roman" w:hAnsi="Times New Roman" w:eastAsia="宋体" w:cs="Times New Roman"/>
          <w:color w:val="333333"/>
          <w:kern w:val="2"/>
          <w:sz w:val="32"/>
          <w:szCs w:val="32"/>
          <w:lang w:val="en-US" w:eastAsia="zh-CN" w:bidi="ar"/>
        </w:rPr>
        <w:t>100%</w:t>
      </w:r>
      <w:r>
        <w:rPr>
          <w:rFonts w:hint="eastAsia" w:ascii="仿宋" w:hAnsi="仿宋" w:eastAsia="仿宋" w:cs="仿宋"/>
          <w:color w:val="333333"/>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333333"/>
          <w:sz w:val="32"/>
          <w:szCs w:val="32"/>
          <w:lang w:val="en-US"/>
        </w:rPr>
      </w:pPr>
      <w:r>
        <w:rPr>
          <w:rFonts w:hint="eastAsia" w:ascii="仿宋" w:hAnsi="仿宋" w:eastAsia="仿宋" w:cs="仿宋"/>
          <w:color w:val="333333"/>
          <w:kern w:val="2"/>
          <w:sz w:val="32"/>
          <w:szCs w:val="32"/>
          <w:lang w:val="en-US" w:eastAsia="zh-CN" w:bidi="ar"/>
        </w:rPr>
        <w:t>项目实施对经济和社会的影响：</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Calibri"/>
          <w:color w:val="333333"/>
          <w:kern w:val="0"/>
          <w:sz w:val="32"/>
          <w:szCs w:val="32"/>
          <w:lang w:val="en-US"/>
        </w:rPr>
      </w:pPr>
      <w:r>
        <w:rPr>
          <w:rFonts w:hint="eastAsia" w:ascii="仿宋" w:hAnsi="仿宋" w:eastAsia="仿宋" w:cs="Calibri"/>
          <w:color w:val="333333"/>
          <w:kern w:val="0"/>
          <w:sz w:val="32"/>
          <w:szCs w:val="32"/>
          <w:lang w:val="en-US" w:eastAsia="zh-CN" w:bidi="ar"/>
        </w:rPr>
        <w:t>推动全县农村交通运输网络的完善，农村路网结构的优化，使得道路利用率和运营效率大幅提高，极大改善百姓出行，推动农村产业化发展，促进农村人居环境整治工作。</w:t>
      </w:r>
    </w:p>
    <w:p>
      <w:pPr>
        <w:pStyle w:val="2"/>
        <w:keepNext w:val="0"/>
        <w:keepLines w:val="0"/>
        <w:widowControl/>
        <w:suppressLineNumbers w:val="0"/>
        <w:spacing w:before="0" w:beforeAutospacing="0" w:after="0" w:afterAutospacing="0" w:line="600" w:lineRule="atLeast"/>
        <w:ind w:left="640" w:right="0"/>
        <w:jc w:val="both"/>
        <w:rPr>
          <w:rFonts w:hint="default" w:ascii="Times New Roman" w:hAnsi="Times New Roman" w:cs="Calibri"/>
          <w:b/>
          <w:color w:val="333333"/>
          <w:sz w:val="32"/>
          <w:szCs w:val="32"/>
          <w:lang w:val="en-US"/>
        </w:rPr>
      </w:pPr>
      <w:r>
        <w:rPr>
          <w:rFonts w:hint="eastAsia" w:ascii="宋体" w:hAnsi="宋体" w:eastAsia="宋体" w:cs="宋体"/>
          <w:b/>
          <w:color w:val="333333"/>
          <w:sz w:val="32"/>
          <w:szCs w:val="32"/>
          <w:lang w:eastAsia="zh-CN"/>
        </w:rPr>
        <w:t>五、综合评价情况及评价结论</w:t>
      </w:r>
    </w:p>
    <w:p>
      <w:pPr>
        <w:pStyle w:val="2"/>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color w:val="333333"/>
          <w:sz w:val="32"/>
          <w:szCs w:val="32"/>
          <w:lang w:val="en-US"/>
        </w:rPr>
      </w:pPr>
      <w:r>
        <w:rPr>
          <w:rFonts w:hint="eastAsia" w:ascii="仿宋" w:hAnsi="仿宋" w:eastAsia="仿宋" w:cs="仿宋"/>
          <w:color w:val="333333"/>
          <w:sz w:val="32"/>
          <w:szCs w:val="32"/>
          <w:lang w:eastAsia="zh-CN"/>
        </w:rPr>
        <w:t>我所较好地完成了</w:t>
      </w:r>
      <w:r>
        <w:rPr>
          <w:rFonts w:hint="default" w:ascii="Times New Roman" w:hAnsi="Times New Roman" w:cs="Times New Roman"/>
          <w:color w:val="333333"/>
          <w:sz w:val="32"/>
          <w:szCs w:val="32"/>
          <w:lang w:val="en-US"/>
        </w:rPr>
        <w:t>20</w:t>
      </w:r>
      <w:r>
        <w:rPr>
          <w:rFonts w:hint="default" w:ascii="Times New Roman" w:hAnsi="Times New Roman" w:cs="Calibri"/>
          <w:color w:val="333333"/>
          <w:sz w:val="32"/>
          <w:szCs w:val="32"/>
          <w:lang w:val="en-US"/>
        </w:rPr>
        <w:t>2</w:t>
      </w:r>
      <w:r>
        <w:rPr>
          <w:rFonts w:hint="eastAsia" w:ascii="Times New Roman" w:hAnsi="Times New Roman" w:cs="Calibri"/>
          <w:color w:val="333333"/>
          <w:sz w:val="32"/>
          <w:szCs w:val="32"/>
          <w:lang w:val="en-US" w:eastAsia="zh-CN"/>
        </w:rPr>
        <w:t>2</w:t>
      </w:r>
      <w:r>
        <w:rPr>
          <w:rFonts w:hint="eastAsia" w:ascii="仿宋" w:hAnsi="仿宋" w:eastAsia="仿宋" w:cs="仿宋"/>
          <w:color w:val="333333"/>
          <w:sz w:val="32"/>
          <w:szCs w:val="32"/>
          <w:lang w:eastAsia="zh-CN"/>
        </w:rPr>
        <w:t>年初设定的工作任务，各项目得到有序开展，资金使用规范、效益明显、成效显著。</w:t>
      </w:r>
    </w:p>
    <w:p>
      <w:pPr>
        <w:pStyle w:val="2"/>
        <w:keepNext w:val="0"/>
        <w:keepLines w:val="0"/>
        <w:widowControl/>
        <w:suppressLineNumbers w:val="0"/>
        <w:spacing w:before="0" w:beforeAutospacing="0" w:after="0" w:afterAutospacing="0" w:line="600" w:lineRule="atLeast"/>
        <w:ind w:left="0" w:right="0" w:firstLine="643" w:firstLineChars="200"/>
        <w:jc w:val="both"/>
        <w:rPr>
          <w:rFonts w:hint="default" w:ascii="Times New Roman" w:hAnsi="Times New Roman" w:cs="Calibri"/>
          <w:b/>
          <w:color w:val="333333"/>
          <w:sz w:val="32"/>
          <w:szCs w:val="32"/>
          <w:lang w:val="en-US"/>
        </w:rPr>
      </w:pPr>
      <w:r>
        <w:rPr>
          <w:rFonts w:hint="eastAsia" w:ascii="宋体" w:hAnsi="宋体" w:eastAsia="宋体" w:cs="宋体"/>
          <w:b/>
          <w:color w:val="333333"/>
          <w:sz w:val="32"/>
          <w:szCs w:val="32"/>
          <w:lang w:eastAsia="zh-CN"/>
        </w:rPr>
        <w:t>六、绩效评价结果应用建议</w:t>
      </w:r>
    </w:p>
    <w:p>
      <w:pPr>
        <w:pStyle w:val="2"/>
        <w:keepNext w:val="0"/>
        <w:keepLines w:val="0"/>
        <w:widowControl/>
        <w:suppressLineNumbers w:val="0"/>
        <w:shd w:val="clear" w:color="auto" w:fill="FFFFFF"/>
        <w:spacing w:before="0" w:beforeAutospacing="0" w:after="0" w:afterAutospacing="0" w:line="240" w:lineRule="atLeast"/>
        <w:ind w:left="0" w:right="0" w:firstLine="640" w:firstLineChars="20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lang w:eastAsia="zh-CN"/>
        </w:rPr>
        <w:t xml:space="preserve">绩效评估结果与预算安排有机结合：对绩效评价结果为优良的，在安排下年度预算资金时优先支持，对绩效评价结果为中、差的，在安排下年度预算资金时从严考虑；优化绩效评估结果运用：对评价结果不同的项目，采用优先安排、适当安排、核减至不安排等方式，分类管理，分类施策。 </w:t>
      </w:r>
    </w:p>
    <w:p>
      <w:pPr>
        <w:pStyle w:val="2"/>
        <w:keepNext w:val="0"/>
        <w:keepLines w:val="0"/>
        <w:widowControl/>
        <w:suppressLineNumbers w:val="0"/>
        <w:spacing w:before="0" w:beforeAutospacing="0" w:after="0" w:afterAutospacing="0" w:line="600" w:lineRule="atLeast"/>
        <w:ind w:left="640" w:right="0"/>
        <w:jc w:val="both"/>
        <w:rPr>
          <w:rFonts w:hint="default" w:ascii="Times New Roman" w:hAnsi="Times New Roman" w:cs="Calibri"/>
          <w:b/>
          <w:color w:val="333333"/>
          <w:sz w:val="32"/>
          <w:szCs w:val="32"/>
          <w:lang w:val="en-US"/>
        </w:rPr>
      </w:pPr>
      <w:r>
        <w:rPr>
          <w:rFonts w:hint="eastAsia" w:ascii="宋体" w:hAnsi="宋体" w:eastAsia="宋体" w:cs="宋体"/>
          <w:b/>
          <w:color w:val="333333"/>
          <w:sz w:val="32"/>
          <w:szCs w:val="32"/>
          <w:lang w:eastAsia="zh-CN"/>
        </w:rPr>
        <w:t>七、主要经验及做法、存在的问题和建议</w:t>
      </w:r>
    </w:p>
    <w:p>
      <w:pPr>
        <w:pStyle w:val="2"/>
        <w:keepNext w:val="0"/>
        <w:keepLines w:val="0"/>
        <w:widowControl/>
        <w:suppressLineNumbers w:val="0"/>
        <w:spacing w:before="0" w:beforeAutospacing="0" w:after="0" w:afterAutospacing="0" w:line="600" w:lineRule="atLeast"/>
        <w:ind w:left="0" w:right="0" w:firstLine="640"/>
        <w:jc w:val="both"/>
        <w:rPr>
          <w:rFonts w:hint="eastAsia" w:ascii="仿宋" w:hAnsi="仿宋" w:eastAsia="仿宋" w:cs="仿宋"/>
          <w:b/>
          <w:bCs w:val="0"/>
          <w:color w:val="333333"/>
          <w:sz w:val="32"/>
          <w:szCs w:val="32"/>
          <w:lang w:val="en-US"/>
        </w:rPr>
      </w:pPr>
      <w:r>
        <w:rPr>
          <w:rFonts w:hint="eastAsia" w:ascii="仿宋" w:hAnsi="仿宋" w:eastAsia="仿宋" w:cs="仿宋"/>
          <w:b/>
          <w:bCs w:val="0"/>
          <w:color w:val="333333"/>
          <w:sz w:val="32"/>
          <w:szCs w:val="32"/>
          <w:lang w:eastAsia="zh-CN"/>
        </w:rPr>
        <w:t>存在的问题：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Calibri"/>
          <w:color w:val="333333"/>
          <w:kern w:val="0"/>
          <w:sz w:val="32"/>
          <w:szCs w:val="32"/>
          <w:lang w:val="en-US"/>
        </w:rPr>
      </w:pPr>
      <w:r>
        <w:rPr>
          <w:rFonts w:hint="eastAsia" w:ascii="仿宋" w:hAnsi="仿宋" w:eastAsia="仿宋" w:cs="Calibri"/>
          <w:color w:val="333333"/>
          <w:kern w:val="0"/>
          <w:sz w:val="32"/>
          <w:szCs w:val="32"/>
          <w:lang w:val="en-US" w:eastAsia="zh-CN" w:bidi="ar"/>
        </w:rPr>
        <w:t>1、项目中期管理有待加强。项目实施线长点多面广，项目日常管理存在一难度，资金中期支付审核与项目进度不协调，资金支付稍有滞后。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Calibri"/>
          <w:color w:val="333333"/>
          <w:kern w:val="0"/>
          <w:sz w:val="32"/>
          <w:szCs w:val="32"/>
          <w:lang w:val="en-US"/>
        </w:rPr>
      </w:pPr>
      <w:r>
        <w:rPr>
          <w:rFonts w:hint="eastAsia" w:ascii="仿宋" w:hAnsi="仿宋" w:eastAsia="仿宋" w:cs="Calibri"/>
          <w:color w:val="333333"/>
          <w:kern w:val="0"/>
          <w:sz w:val="32"/>
          <w:szCs w:val="32"/>
          <w:lang w:val="en-US" w:eastAsia="zh-CN" w:bidi="ar"/>
        </w:rPr>
        <w:t>2、未建立项目后续长效管理机制。项目在进行竣工验收后，未办理交接手续、明确管理主体、建立长效管护机制。</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Calibri"/>
          <w:b/>
          <w:bCs w:val="0"/>
          <w:color w:val="333333"/>
          <w:kern w:val="0"/>
          <w:sz w:val="32"/>
          <w:szCs w:val="32"/>
          <w:lang w:val="en-US"/>
        </w:rPr>
      </w:pPr>
      <w:r>
        <w:rPr>
          <w:rFonts w:hint="eastAsia" w:ascii="仿宋" w:hAnsi="仿宋" w:eastAsia="仿宋" w:cs="Calibri"/>
          <w:b/>
          <w:bCs w:val="0"/>
          <w:color w:val="333333"/>
          <w:kern w:val="0"/>
          <w:sz w:val="32"/>
          <w:szCs w:val="32"/>
          <w:lang w:val="en-US" w:eastAsia="zh-CN" w:bidi="ar"/>
        </w:rPr>
        <w:t>有关建议：</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仿宋" w:hAnsi="仿宋" w:eastAsia="仿宋" w:cs="Calibri"/>
          <w:color w:val="333333"/>
          <w:kern w:val="0"/>
          <w:sz w:val="32"/>
          <w:szCs w:val="32"/>
          <w:lang w:val="en-US"/>
        </w:rPr>
      </w:pPr>
      <w:r>
        <w:rPr>
          <w:rFonts w:hint="eastAsia" w:ascii="仿宋" w:hAnsi="仿宋" w:eastAsia="仿宋" w:cs="Calibri"/>
          <w:color w:val="333333"/>
          <w:kern w:val="0"/>
          <w:sz w:val="32"/>
          <w:szCs w:val="32"/>
          <w:lang w:val="en-US" w:eastAsia="zh-CN" w:bidi="ar"/>
        </w:rPr>
        <w:t>1、加强预算管理。注重预算编制的前瞻性，保证绩效目标要与年度的任务数和计划数相对应，与预算确定的资金量相匹配，按照政策规定及本单位的发展规划，结合上一年预算执行情况和本年度预算支出收支变化因素，科学、合理地编制本年预算，在预算执行中确需调剂预算的，按规定程序报经批准。</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 w:hAnsi="仿宋" w:eastAsia="仿宋" w:cs="Calibri"/>
          <w:color w:val="333333"/>
          <w:kern w:val="0"/>
          <w:sz w:val="32"/>
          <w:szCs w:val="32"/>
          <w:lang w:val="en-US" w:eastAsia="zh-CN" w:bidi="ar"/>
        </w:rPr>
      </w:pPr>
      <w:r>
        <w:rPr>
          <w:rFonts w:hint="eastAsia" w:ascii="仿宋" w:hAnsi="仿宋" w:eastAsia="仿宋" w:cs="Calibri"/>
          <w:color w:val="333333"/>
          <w:kern w:val="0"/>
          <w:sz w:val="32"/>
          <w:szCs w:val="32"/>
          <w:lang w:val="en-US" w:eastAsia="zh-CN" w:bidi="ar"/>
        </w:rPr>
        <w:t>2、加强项目管理。保证实施进度与支付进度相匹配，按计划完成项目资金支付；</w:t>
      </w:r>
      <w:r>
        <w:rPr>
          <w:rFonts w:hint="eastAsia" w:ascii="仿宋" w:hAnsi="仿宋" w:eastAsia="仿宋" w:cs="仿宋"/>
          <w:b w:val="0"/>
          <w:bCs w:val="0"/>
          <w:sz w:val="32"/>
          <w:szCs w:val="32"/>
          <w:lang w:val="en-US" w:eastAsia="zh-CN"/>
        </w:rPr>
        <w:t>明确项目实施过程设计单位之间、施工单位之间、设计与施工单位之间的衔接配合关系及其责任划分，确定管理原则与协调方式</w:t>
      </w:r>
      <w:r>
        <w:rPr>
          <w:rFonts w:hint="eastAsia" w:ascii="仿宋" w:hAnsi="仿宋" w:eastAsia="仿宋" w:cs="Calibri"/>
          <w:color w:val="333333"/>
          <w:kern w:val="0"/>
          <w:sz w:val="32"/>
          <w:szCs w:val="32"/>
          <w:lang w:val="en-US" w:eastAsia="zh-CN" w:bidi="ar"/>
        </w:rPr>
        <w:t>。</w:t>
      </w:r>
    </w:p>
    <w:p>
      <w:pPr>
        <w:ind w:firstLine="643" w:firstLineChars="200"/>
        <w:rPr>
          <w:b/>
          <w:sz w:val="28"/>
          <w:szCs w:val="28"/>
        </w:rPr>
      </w:pPr>
      <w:r>
        <w:rPr>
          <w:rFonts w:hint="eastAsia" w:ascii="仿宋_GB2312" w:hAnsi="仿宋_GB2312" w:eastAsia="仿宋_GB2312" w:cs="仿宋_GB2312"/>
          <w:b/>
          <w:sz w:val="32"/>
          <w:szCs w:val="32"/>
        </w:rPr>
        <w:t>八、其他需说明的问题</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仿宋" w:hAnsi="仿宋" w:eastAsia="仿宋" w:cs="Calibri"/>
          <w:color w:val="333333"/>
          <w:kern w:val="0"/>
          <w:sz w:val="32"/>
          <w:szCs w:val="32"/>
          <w:lang w:val="en-US" w:eastAsia="zh-CN" w:bidi="ar"/>
        </w:rPr>
      </w:pPr>
      <w:r>
        <w:rPr>
          <w:rFonts w:hint="eastAsia" w:ascii="仿宋" w:hAnsi="仿宋" w:eastAsia="仿宋" w:cs="Calibri"/>
          <w:color w:val="333333"/>
          <w:kern w:val="0"/>
          <w:sz w:val="32"/>
          <w:szCs w:val="32"/>
          <w:lang w:val="en-US" w:eastAsia="zh-CN" w:bidi="ar"/>
        </w:rPr>
        <w:t>无</w:t>
      </w:r>
    </w:p>
    <w:p>
      <w:pPr>
        <w:ind w:firstLine="562" w:firstLineChars="200"/>
        <w:rPr>
          <w:b/>
          <w:sz w:val="28"/>
          <w:szCs w:val="28"/>
        </w:rPr>
      </w:pPr>
    </w:p>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附表3：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年财政专项资金支出绩效评价评分表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附表4：</w:t>
      </w: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年度县级专项资金绩效目标自评表</w:t>
      </w:r>
    </w:p>
    <w:p/>
    <w:p>
      <w:pPr>
        <w:widowControl/>
        <w:jc w:val="left"/>
      </w:pPr>
      <w:r>
        <w:rPr>
          <w:rFonts w:hint="eastAsia" w:eastAsia="仿宋_GB2312"/>
          <w:kern w:val="0"/>
          <w:sz w:val="28"/>
          <w:szCs w:val="28"/>
          <w:lang w:val="en-US" w:eastAsia="zh-CN"/>
        </w:rPr>
        <w:t>附表3：</w:t>
      </w:r>
    </w:p>
    <w:p/>
    <w:tbl>
      <w:tblPr>
        <w:tblStyle w:val="3"/>
        <w:tblpPr w:leftFromText="180" w:rightFromText="180" w:vertAnchor="text" w:tblpXSpec="center" w:tblpY="1"/>
        <w:tblOverlap w:val="never"/>
        <w:tblW w:w="8329" w:type="dxa"/>
        <w:tblInd w:w="0" w:type="dxa"/>
        <w:tblLayout w:type="fixed"/>
        <w:tblCellMar>
          <w:top w:w="0" w:type="dxa"/>
          <w:left w:w="0" w:type="dxa"/>
          <w:bottom w:w="0" w:type="dxa"/>
          <w:right w:w="0" w:type="dxa"/>
        </w:tblCellMar>
      </w:tblPr>
      <w:tblGrid>
        <w:gridCol w:w="526"/>
        <w:gridCol w:w="622"/>
        <w:gridCol w:w="906"/>
        <w:gridCol w:w="596"/>
        <w:gridCol w:w="2780"/>
        <w:gridCol w:w="2224"/>
        <w:gridCol w:w="675"/>
      </w:tblGrid>
      <w:tr>
        <w:tblPrEx>
          <w:tblCellMar>
            <w:top w:w="0" w:type="dxa"/>
            <w:left w:w="0" w:type="dxa"/>
            <w:bottom w:w="0" w:type="dxa"/>
            <w:right w:w="0" w:type="dxa"/>
          </w:tblCellMar>
        </w:tblPrEx>
        <w:trPr>
          <w:trHeight w:val="444" w:hRule="atLeast"/>
        </w:trPr>
        <w:tc>
          <w:tcPr>
            <w:tcW w:w="8329" w:type="dxa"/>
            <w:gridSpan w:val="7"/>
            <w:tcBorders>
              <w:top w:val="nil"/>
              <w:left w:val="nil"/>
              <w:bottom w:val="nil"/>
              <w:right w:val="nil"/>
            </w:tcBorders>
            <w:noWrap w:val="0"/>
            <w:tcMar>
              <w:top w:w="12" w:type="dxa"/>
              <w:left w:w="12" w:type="dxa"/>
              <w:right w:w="12" w:type="dxa"/>
            </w:tcMar>
            <w:vAlign w:val="center"/>
          </w:tcPr>
          <w:p>
            <w:pPr>
              <w:widowControl/>
              <w:jc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宋体" w:eastAsia="方正小标宋_GBK" w:cs="宋体"/>
                <w:color w:val="000000"/>
                <w:kern w:val="0"/>
                <w:sz w:val="36"/>
                <w:szCs w:val="36"/>
                <w:lang w:val="en-US" w:eastAsia="zh-CN"/>
              </w:rPr>
              <w:t>2022年财政专项资金支出</w:t>
            </w:r>
            <w:r>
              <w:rPr>
                <w:rFonts w:hint="default" w:ascii="方正小标宋_GBK" w:hAnsi="宋体" w:eastAsia="方正小标宋_GBK" w:cs="宋体"/>
                <w:color w:val="000000"/>
                <w:kern w:val="0"/>
                <w:sz w:val="36"/>
                <w:szCs w:val="36"/>
                <w:lang w:val="en-US" w:eastAsia="zh-CN"/>
              </w:rPr>
              <w:t>绩效</w:t>
            </w:r>
            <w:r>
              <w:rPr>
                <w:rFonts w:hint="eastAsia" w:ascii="方正小标宋_GBK" w:hAnsi="宋体" w:eastAsia="方正小标宋_GBK" w:cs="宋体"/>
                <w:color w:val="000000"/>
                <w:kern w:val="0"/>
                <w:sz w:val="36"/>
                <w:szCs w:val="36"/>
                <w:lang w:val="en-US" w:eastAsia="zh-CN"/>
              </w:rPr>
              <w:t>评价</w:t>
            </w:r>
            <w:r>
              <w:rPr>
                <w:rFonts w:hint="default" w:ascii="方正小标宋_GBK" w:hAnsi="宋体" w:eastAsia="方正小标宋_GBK" w:cs="宋体"/>
                <w:color w:val="000000"/>
                <w:kern w:val="0"/>
                <w:sz w:val="36"/>
                <w:szCs w:val="36"/>
                <w:lang w:val="en-US" w:eastAsia="zh-CN"/>
              </w:rPr>
              <w:t>评</w:t>
            </w:r>
            <w:r>
              <w:rPr>
                <w:rFonts w:hint="eastAsia" w:ascii="方正小标宋_GBK" w:hAnsi="宋体" w:eastAsia="方正小标宋_GBK" w:cs="宋体"/>
                <w:color w:val="000000"/>
                <w:kern w:val="0"/>
                <w:sz w:val="36"/>
                <w:szCs w:val="36"/>
                <w:lang w:val="en-US" w:eastAsia="zh-CN"/>
              </w:rPr>
              <w:t>分表</w:t>
            </w:r>
          </w:p>
          <w:p>
            <w:pPr>
              <w:keepNext w:val="0"/>
              <w:keepLines w:val="0"/>
              <w:widowControl/>
              <w:suppressLineNumbers w:val="0"/>
              <w:jc w:val="both"/>
              <w:textAlignment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主管单位</w:t>
            </w:r>
            <w:r>
              <w:rPr>
                <w:rFonts w:hint="eastAsia" w:ascii="仿宋_GB2312" w:hAnsi="宋体" w:eastAsia="仿宋_GB2312" w:cs="仿宋_GB2312"/>
                <w:i w:val="0"/>
                <w:color w:val="000000"/>
                <w:kern w:val="0"/>
                <w:sz w:val="20"/>
                <w:szCs w:val="20"/>
                <w:u w:val="none"/>
                <w:lang w:val="en-US" w:eastAsia="zh-CN" w:bidi="ar"/>
              </w:rPr>
              <w:t xml:space="preserve">：祁东县农村公路服务所  </w:t>
            </w:r>
            <w:r>
              <w:rPr>
                <w:rFonts w:hint="eastAsia" w:eastAsia="仿宋_GB2312"/>
                <w:kern w:val="0"/>
                <w:sz w:val="24"/>
                <w:lang w:val="en-US" w:eastAsia="zh-CN"/>
              </w:rPr>
              <w:t xml:space="preserve">       填报人： 蒋涛   电话：</w:t>
            </w:r>
            <w:r>
              <w:rPr>
                <w:rFonts w:hint="eastAsia" w:ascii="仿宋_GB2312" w:hAnsi="宋体" w:eastAsia="仿宋_GB2312" w:cs="仿宋_GB2312"/>
                <w:i w:val="0"/>
                <w:color w:val="000000"/>
                <w:kern w:val="0"/>
                <w:sz w:val="20"/>
                <w:szCs w:val="20"/>
                <w:u w:val="none"/>
                <w:lang w:val="en-US" w:eastAsia="zh-CN" w:bidi="ar"/>
              </w:rPr>
              <w:t xml:space="preserve">13575286062 </w:t>
            </w:r>
          </w:p>
        </w:tc>
      </w:tr>
      <w:tr>
        <w:tblPrEx>
          <w:tblCellMar>
            <w:top w:w="0" w:type="dxa"/>
            <w:left w:w="0" w:type="dxa"/>
            <w:bottom w:w="0" w:type="dxa"/>
            <w:right w:w="0" w:type="dxa"/>
          </w:tblCellMar>
        </w:tblPrEx>
        <w:trPr>
          <w:trHeight w:val="708" w:hRule="atLeast"/>
        </w:trPr>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一级指标</w:t>
            </w:r>
          </w:p>
        </w:tc>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default" w:ascii="仿宋_GB2312" w:hAnsi="宋体" w:eastAsia="仿宋_GB2312" w:cs="仿宋_GB2312"/>
                <w:b/>
                <w:i w:val="0"/>
                <w:color w:val="000000"/>
                <w:kern w:val="0"/>
                <w:sz w:val="20"/>
                <w:szCs w:val="20"/>
                <w:u w:val="none"/>
                <w:lang w:val="en-US" w:eastAsia="zh-CN" w:bidi="ar"/>
              </w:rPr>
              <w:t>二级</w:t>
            </w:r>
          </w:p>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指标</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三级指标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分值</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具体指标</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评价标准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评分</w:t>
            </w:r>
          </w:p>
        </w:tc>
      </w:tr>
      <w:tr>
        <w:tblPrEx>
          <w:tblCellMar>
            <w:top w:w="0" w:type="dxa"/>
            <w:left w:w="0" w:type="dxa"/>
            <w:bottom w:w="0" w:type="dxa"/>
            <w:right w:w="0" w:type="dxa"/>
          </w:tblCellMar>
        </w:tblPrEx>
        <w:trPr>
          <w:trHeight w:val="90" w:hRule="atLeast"/>
        </w:trPr>
        <w:tc>
          <w:tcPr>
            <w:tcW w:w="52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项目决策</w:t>
            </w:r>
            <w:r>
              <w:rPr>
                <w:rFonts w:hint="default" w:ascii="仿宋_GB2312" w:hAnsi="宋体" w:eastAsia="仿宋_GB2312" w:cs="仿宋_GB2312"/>
                <w:b/>
                <w:i w:val="0"/>
                <w:color w:val="000000"/>
                <w:kern w:val="0"/>
                <w:sz w:val="20"/>
                <w:szCs w:val="20"/>
                <w:highlight w:val="none"/>
                <w:u w:val="none"/>
                <w:lang w:eastAsia="zh-CN" w:bidi="ar"/>
              </w:rPr>
              <w:t>（</w:t>
            </w:r>
            <w:r>
              <w:rPr>
                <w:rFonts w:hint="eastAsia" w:ascii="仿宋_GB2312" w:hAnsi="宋体" w:eastAsia="仿宋_GB2312" w:cs="仿宋_GB2312"/>
                <w:b/>
                <w:i w:val="0"/>
                <w:color w:val="000000"/>
                <w:kern w:val="0"/>
                <w:sz w:val="20"/>
                <w:szCs w:val="20"/>
                <w:highlight w:val="none"/>
                <w:u w:val="none"/>
                <w:lang w:val="en-US" w:eastAsia="zh-CN" w:bidi="ar"/>
              </w:rPr>
              <w:t>16分</w:t>
            </w:r>
            <w:r>
              <w:rPr>
                <w:rFonts w:hint="default" w:ascii="仿宋_GB2312" w:hAnsi="宋体" w:eastAsia="仿宋_GB2312" w:cs="仿宋_GB2312"/>
                <w:b/>
                <w:i w:val="0"/>
                <w:color w:val="000000"/>
                <w:kern w:val="0"/>
                <w:sz w:val="20"/>
                <w:szCs w:val="20"/>
                <w:highlight w:val="none"/>
                <w:u w:val="none"/>
                <w:lang w:eastAsia="zh-CN" w:bidi="ar"/>
              </w:rPr>
              <w:t>）</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项目立项</w:t>
            </w:r>
            <w:r>
              <w:rPr>
                <w:rFonts w:hint="default" w:ascii="仿宋_GB2312" w:hAnsi="宋体" w:eastAsia="仿宋_GB2312" w:cs="仿宋_GB2312"/>
                <w:b/>
                <w:i w:val="0"/>
                <w:color w:val="000000"/>
                <w:kern w:val="0"/>
                <w:sz w:val="20"/>
                <w:szCs w:val="20"/>
                <w:highlight w:val="none"/>
                <w:u w:val="none"/>
                <w:lang w:eastAsia="zh-CN" w:bidi="ar"/>
              </w:rPr>
              <w:t>（5）</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立项程序规范性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①项目是否按照规定的程序申请设立；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②审批文件、合同及材料是否符合相关要求；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③事前是否已经过必要的风险评估、绩效评估、集体决策。</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①按照规定的程序申请设立计1分，否则，酌情扣分；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②审批文件、合同及材料符合相关要求计1分,否则，酌情扣分；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③事前是否已经过必要的风险评估、绩效评估、集体决策计1分，否则，酌情扣分。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3</w:t>
            </w:r>
          </w:p>
        </w:tc>
      </w:tr>
      <w:tr>
        <w:tblPrEx>
          <w:tblCellMar>
            <w:top w:w="0" w:type="dxa"/>
            <w:left w:w="0" w:type="dxa"/>
            <w:bottom w:w="0" w:type="dxa"/>
            <w:right w:w="0" w:type="dxa"/>
          </w:tblCellMar>
        </w:tblPrEx>
        <w:trPr>
          <w:trHeight w:val="554"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项目库建设和执行</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是否按</w:t>
            </w:r>
            <w:r>
              <w:rPr>
                <w:rFonts w:hint="default" w:ascii="仿宋_GB2312" w:hAnsi="宋体" w:eastAsia="仿宋_GB2312" w:cs="仿宋_GB2312"/>
                <w:i w:val="0"/>
                <w:color w:val="000000"/>
                <w:kern w:val="0"/>
                <w:sz w:val="20"/>
                <w:szCs w:val="20"/>
                <w:u w:val="none"/>
                <w:lang w:val="en-US" w:eastAsia="zh-CN" w:bidi="ar"/>
              </w:rPr>
              <w:t>要求建设了项目库并得到执行</w:t>
            </w:r>
            <w:r>
              <w:rPr>
                <w:rFonts w:hint="default" w:ascii="仿宋_GB2312" w:hAnsi="宋体" w:eastAsia="仿宋_GB2312" w:cs="仿宋_GB2312"/>
                <w:i w:val="0"/>
                <w:color w:val="000000"/>
                <w:kern w:val="0"/>
                <w:sz w:val="20"/>
                <w:szCs w:val="20"/>
                <w:u w:val="none"/>
                <w:lang w:eastAsia="zh-CN" w:bidi="ar"/>
              </w:rPr>
              <w:t>。</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Ansi="宋体"/>
                <w:lang w:val="en-US" w:eastAsia="zh-CN" w:bidi="ar"/>
              </w:rPr>
              <w:t>按要求建立了项目库的得</w:t>
            </w:r>
            <w:r>
              <w:rPr>
                <w:rFonts w:hint="default" w:ascii="Times New Roman" w:hAnsi="Times New Roman" w:eastAsia="仿宋_GB2312" w:cs="Times New Roman"/>
                <w:i w:val="0"/>
                <w:color w:val="000000"/>
                <w:kern w:val="0"/>
                <w:sz w:val="20"/>
                <w:szCs w:val="20"/>
                <w:u w:val="none"/>
                <w:lang w:val="en-US" w:eastAsia="zh-CN" w:bidi="ar"/>
              </w:rPr>
              <w:t>1</w:t>
            </w:r>
            <w:r>
              <w:rPr>
                <w:rStyle w:val="6"/>
                <w:rFonts w:hAnsi="宋体"/>
                <w:lang w:val="en-US" w:eastAsia="zh-CN" w:bidi="ar"/>
              </w:rPr>
              <w:t>分，项目从项目库中选择的得</w:t>
            </w:r>
            <w:r>
              <w:rPr>
                <w:rFonts w:hint="default" w:ascii="Times New Roman" w:hAnsi="Times New Roman" w:eastAsia="仿宋_GB2312" w:cs="Times New Roman"/>
                <w:i w:val="0"/>
                <w:color w:val="000000"/>
                <w:kern w:val="0"/>
                <w:sz w:val="20"/>
                <w:szCs w:val="20"/>
                <w:u w:val="none"/>
                <w:lang w:val="en-US" w:eastAsia="zh-CN" w:bidi="ar"/>
              </w:rPr>
              <w:t>1</w:t>
            </w:r>
            <w:r>
              <w:rPr>
                <w:rStyle w:val="6"/>
                <w:rFonts w:hAnsi="宋体"/>
                <w:lang w:val="en-US" w:eastAsia="zh-CN" w:bidi="ar"/>
              </w:rPr>
              <w:t>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1976"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highlight w:val="none"/>
                <w:u w:val="none"/>
              </w:rPr>
            </w:pPr>
          </w:p>
        </w:tc>
        <w:tc>
          <w:tcPr>
            <w:tcW w:w="62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sz w:val="20"/>
                <w:szCs w:val="20"/>
                <w:highlight w:val="none"/>
                <w:u w:val="none"/>
              </w:rPr>
              <w:t>绩效目标（</w:t>
            </w:r>
            <w:r>
              <w:rPr>
                <w:rFonts w:hint="eastAsia" w:ascii="仿宋_GB2312" w:hAnsi="宋体" w:eastAsia="仿宋_GB2312" w:cs="仿宋_GB2312"/>
                <w:b/>
                <w:i w:val="0"/>
                <w:color w:val="000000"/>
                <w:sz w:val="20"/>
                <w:szCs w:val="20"/>
                <w:highlight w:val="none"/>
                <w:u w:val="none"/>
                <w:lang w:val="en-US" w:eastAsia="zh-CN"/>
              </w:rPr>
              <w:t>7</w:t>
            </w:r>
            <w:r>
              <w:rPr>
                <w:rFonts w:hint="default" w:ascii="仿宋_GB2312" w:hAnsi="宋体" w:eastAsia="仿宋_GB2312" w:cs="仿宋_GB2312"/>
                <w:b/>
                <w:i w:val="0"/>
                <w:color w:val="000000"/>
                <w:sz w:val="20"/>
                <w:szCs w:val="20"/>
                <w:highlight w:val="none"/>
                <w:u w:val="none"/>
              </w:rPr>
              <w:t>）</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绩效目标合理性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①、②、③、④、各1分，否则，酌情扣分。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2144"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highlight w:val="none"/>
                <w:u w:val="none"/>
              </w:rPr>
            </w:pPr>
          </w:p>
        </w:tc>
        <w:tc>
          <w:tcPr>
            <w:tcW w:w="62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kern w:val="0"/>
                <w:sz w:val="20"/>
                <w:szCs w:val="20"/>
                <w:highlight w:val="none"/>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绩效指标明确性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①是否将项目绩效目标细化分解为具体的绩效指标；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②是否通过清晰、可衡量的指标值予以体现；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③是否与项目目标任务数或计划数相对应。</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①项目绩效目标细化分解为具体的绩效指标得1分，否则酌情扣分，扣完为止；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②通过清晰、可衡量的指标值予以体现得1分，否则酌情扣分，扣完为止；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③与项目目标任务数或计划数相对应得1分，否则酌情扣分，扣完为止。</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3</w:t>
            </w:r>
          </w:p>
        </w:tc>
      </w:tr>
      <w:tr>
        <w:tblPrEx>
          <w:tblCellMar>
            <w:top w:w="0" w:type="dxa"/>
            <w:left w:w="0" w:type="dxa"/>
            <w:bottom w:w="0" w:type="dxa"/>
            <w:right w:w="0" w:type="dxa"/>
          </w:tblCellMar>
        </w:tblPrEx>
        <w:trPr>
          <w:trHeight w:val="722"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eastAsia="zh-CN" w:bidi="ar"/>
              </w:rPr>
              <w:t>资金投入（4）</w:t>
            </w:r>
          </w:p>
        </w:tc>
        <w:tc>
          <w:tcPr>
            <w:tcW w:w="90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资金分配规范性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①分配办法是否健全、规范；                          ②分配标准、因素选择是否全面、合理。</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①分配办法健全、规范，计1分；                        ②分配标准、因素选择全面、合理，计1分。否则，酌情扣分。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90" w:hRule="atLeast"/>
        </w:trPr>
        <w:tc>
          <w:tcPr>
            <w:tcW w:w="52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宋体" w:eastAsia="仿宋_GB2312" w:cs="仿宋_GB2312"/>
                <w:i w:val="0"/>
                <w:color w:val="000000"/>
                <w:kern w:val="0"/>
                <w:sz w:val="20"/>
                <w:szCs w:val="20"/>
                <w:u w:val="none"/>
                <w:lang w:val="en-US" w:eastAsia="zh-CN" w:bidi="ar"/>
              </w:rPr>
            </w:pP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实际分配是否符合办法要求，结果是否公平、合理。</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实际分配符合办法要求，结果公平、合理，计2分。否则，酌情扣分。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346" w:hRule="atLeast"/>
        </w:trPr>
        <w:tc>
          <w:tcPr>
            <w:tcW w:w="52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highlight w:val="none"/>
                <w:u w:val="none"/>
                <w:lang w:val="en-US" w:eastAsia="zh-CN"/>
              </w:rPr>
            </w:pPr>
            <w:r>
              <w:rPr>
                <w:rFonts w:hint="eastAsia" w:ascii="仿宋_GB2312" w:hAnsi="宋体" w:eastAsia="仿宋_GB2312" w:cs="仿宋_GB2312"/>
                <w:b/>
                <w:i w:val="0"/>
                <w:color w:val="000000"/>
                <w:sz w:val="20"/>
                <w:szCs w:val="20"/>
                <w:highlight w:val="none"/>
                <w:u w:val="none"/>
                <w:lang w:val="en-US" w:eastAsia="zh-CN"/>
              </w:rPr>
              <w:t>项目过程（24分）</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资金使用</w:t>
            </w:r>
            <w:r>
              <w:rPr>
                <w:rFonts w:hint="default" w:ascii="仿宋_GB2312" w:hAnsi="宋体" w:eastAsia="仿宋_GB2312" w:cs="仿宋_GB2312"/>
                <w:b/>
                <w:i w:val="0"/>
                <w:color w:val="000000"/>
                <w:kern w:val="0"/>
                <w:sz w:val="20"/>
                <w:szCs w:val="20"/>
                <w:highlight w:val="none"/>
                <w:u w:val="none"/>
                <w:lang w:eastAsia="zh-CN" w:bidi="ar"/>
              </w:rPr>
              <w:t>（11）</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资金使用合规性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①符合国家财经法规和财务管理制度以及各类专项资金管理办法的规定，资金的支付有完整的审批程序，计1分，1例不符合扣0.5分；                   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⑤违规情况特别严重的，重点绩效评价等级定为“差”。</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5</w:t>
            </w:r>
          </w:p>
        </w:tc>
      </w:tr>
      <w:tr>
        <w:tblPrEx>
          <w:tblCellMar>
            <w:top w:w="0" w:type="dxa"/>
            <w:left w:w="0" w:type="dxa"/>
            <w:bottom w:w="0" w:type="dxa"/>
            <w:right w:w="0" w:type="dxa"/>
          </w:tblCellMar>
        </w:tblPrEx>
        <w:trPr>
          <w:trHeight w:val="995"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资金进度</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6</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专项资金使用率</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Ansi="宋体"/>
                <w:lang w:val="en-US" w:eastAsia="zh-CN" w:bidi="ar"/>
              </w:rPr>
              <w:t>评价项目单位实际使用专项资金情况与专项资金指标下达数进行对比。计分原则如下：当年末项目单位使用专项资金未达到</w:t>
            </w:r>
            <w:r>
              <w:rPr>
                <w:rFonts w:hint="default" w:ascii="Times New Roman" w:hAnsi="Times New Roman" w:eastAsia="仿宋_GB2312" w:cs="Times New Roman"/>
                <w:i w:val="0"/>
                <w:color w:val="000000"/>
                <w:kern w:val="0"/>
                <w:sz w:val="20"/>
                <w:szCs w:val="20"/>
                <w:u w:val="none"/>
                <w:lang w:val="en-US" w:eastAsia="zh-CN" w:bidi="ar"/>
              </w:rPr>
              <w:t>90%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2</w:t>
            </w:r>
            <w:r>
              <w:rPr>
                <w:rStyle w:val="6"/>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80%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3</w:t>
            </w:r>
            <w:r>
              <w:rPr>
                <w:rStyle w:val="6"/>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70%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4</w:t>
            </w:r>
            <w:r>
              <w:rPr>
                <w:rStyle w:val="6"/>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60%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5</w:t>
            </w:r>
            <w:r>
              <w:rPr>
                <w:rStyle w:val="6"/>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50%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6</w:t>
            </w:r>
            <w:r>
              <w:rPr>
                <w:rStyle w:val="6"/>
                <w:rFonts w:hAnsi="宋体"/>
                <w:lang w:val="en-US" w:eastAsia="zh-CN" w:bidi="ar"/>
              </w:rPr>
              <w:t>分；次年</w:t>
            </w:r>
            <w:r>
              <w:rPr>
                <w:rStyle w:val="6"/>
                <w:rFonts w:hint="eastAsia"/>
                <w:lang w:val="en-US" w:eastAsia="zh-CN" w:bidi="ar"/>
              </w:rPr>
              <w:t>6</w:t>
            </w:r>
            <w:r>
              <w:rPr>
                <w:rStyle w:val="6"/>
                <w:rFonts w:hAnsi="宋体"/>
                <w:lang w:val="en-US" w:eastAsia="zh-CN" w:bidi="ar"/>
              </w:rPr>
              <w:t>月</w:t>
            </w:r>
            <w:r>
              <w:rPr>
                <w:rFonts w:hint="default" w:ascii="Times New Roman" w:hAnsi="Times New Roman" w:eastAsia="仿宋_GB2312" w:cs="Times New Roman"/>
                <w:i w:val="0"/>
                <w:color w:val="000000"/>
                <w:kern w:val="0"/>
                <w:sz w:val="20"/>
                <w:szCs w:val="20"/>
                <w:u w:val="none"/>
                <w:lang w:val="en-US" w:eastAsia="zh-CN" w:bidi="ar"/>
              </w:rPr>
              <w:t>30</w:t>
            </w:r>
            <w:r>
              <w:rPr>
                <w:rStyle w:val="6"/>
                <w:rFonts w:hAnsi="宋体"/>
                <w:lang w:val="en-US" w:eastAsia="zh-CN" w:bidi="ar"/>
              </w:rPr>
              <w:t>日未达到</w:t>
            </w:r>
            <w:r>
              <w:rPr>
                <w:rFonts w:hint="default" w:ascii="Times New Roman" w:hAnsi="Times New Roman" w:eastAsia="仿宋_GB2312" w:cs="Times New Roman"/>
                <w:i w:val="0"/>
                <w:color w:val="000000"/>
                <w:kern w:val="0"/>
                <w:sz w:val="20"/>
                <w:szCs w:val="20"/>
                <w:u w:val="none"/>
                <w:lang w:val="en-US" w:eastAsia="zh-CN" w:bidi="ar"/>
              </w:rPr>
              <w:t>70%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6</w:t>
            </w:r>
            <w:r>
              <w:rPr>
                <w:rStyle w:val="6"/>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80%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5</w:t>
            </w:r>
            <w:r>
              <w:rPr>
                <w:rStyle w:val="6"/>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90%</w:t>
            </w:r>
            <w:r>
              <w:rPr>
                <w:rStyle w:val="6"/>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4</w:t>
            </w:r>
            <w:r>
              <w:rPr>
                <w:rStyle w:val="6"/>
                <w:rFonts w:hAnsi="宋体"/>
                <w:lang w:val="en-US" w:eastAsia="zh-CN" w:bidi="ar"/>
              </w:rPr>
              <w:t>分。两项合计最多扣</w:t>
            </w:r>
            <w:r>
              <w:rPr>
                <w:rFonts w:hint="default" w:ascii="Times New Roman" w:hAnsi="Times New Roman" w:eastAsia="仿宋_GB2312" w:cs="Times New Roman"/>
                <w:i w:val="0"/>
                <w:color w:val="000000"/>
                <w:kern w:val="0"/>
                <w:sz w:val="20"/>
                <w:szCs w:val="20"/>
                <w:u w:val="none"/>
                <w:lang w:val="en-US" w:eastAsia="zh-CN" w:bidi="ar"/>
              </w:rPr>
              <w:t>6</w:t>
            </w:r>
            <w:r>
              <w:rPr>
                <w:rStyle w:val="6"/>
                <w:rFonts w:hAnsi="宋体"/>
                <w:lang w:val="en-US" w:eastAsia="zh-CN" w:bidi="ar"/>
              </w:rPr>
              <w:t>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6</w:t>
            </w:r>
          </w:p>
        </w:tc>
      </w:tr>
      <w:tr>
        <w:tblPrEx>
          <w:tblCellMar>
            <w:top w:w="0" w:type="dxa"/>
            <w:left w:w="0" w:type="dxa"/>
            <w:bottom w:w="0" w:type="dxa"/>
            <w:right w:w="0" w:type="dxa"/>
          </w:tblCellMar>
        </w:tblPrEx>
        <w:trPr>
          <w:trHeight w:val="528"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资金监管</w:t>
            </w:r>
            <w:r>
              <w:rPr>
                <w:rFonts w:hint="default" w:ascii="仿宋_GB2312" w:hAnsi="宋体" w:eastAsia="仿宋_GB2312" w:cs="仿宋_GB2312"/>
                <w:b/>
                <w:i w:val="0"/>
                <w:color w:val="000000"/>
                <w:kern w:val="0"/>
                <w:sz w:val="20"/>
                <w:szCs w:val="20"/>
                <w:u w:val="none"/>
                <w:lang w:eastAsia="zh-CN" w:bidi="ar"/>
              </w:rPr>
              <w:t>（2）</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资金监督</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专项监管一次以上且规范有效</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Ansi="宋体"/>
                <w:lang w:val="en-US" w:eastAsia="zh-CN" w:bidi="ar"/>
              </w:rPr>
              <w:t>符合计</w:t>
            </w:r>
            <w:r>
              <w:rPr>
                <w:rFonts w:hint="default" w:ascii="Times New Roman" w:hAnsi="Times New Roman" w:eastAsia="仿宋_GB2312" w:cs="Times New Roman"/>
                <w:i w:val="0"/>
                <w:color w:val="000000"/>
                <w:kern w:val="0"/>
                <w:sz w:val="20"/>
                <w:szCs w:val="20"/>
                <w:u w:val="none"/>
                <w:lang w:val="en-US" w:eastAsia="zh-CN" w:bidi="ar"/>
              </w:rPr>
              <w:t>2</w:t>
            </w:r>
            <w:r>
              <w:rPr>
                <w:rStyle w:val="6"/>
                <w:rFonts w:hAnsi="宋体"/>
                <w:lang w:val="en-US" w:eastAsia="zh-CN" w:bidi="ar"/>
              </w:rPr>
              <w:t>分；有一次但欠规范无实效计</w:t>
            </w:r>
            <w:r>
              <w:rPr>
                <w:rFonts w:hint="default" w:ascii="Times New Roman" w:hAnsi="Times New Roman" w:eastAsia="仿宋_GB2312" w:cs="Times New Roman"/>
                <w:i w:val="0"/>
                <w:color w:val="000000"/>
                <w:kern w:val="0"/>
                <w:sz w:val="20"/>
                <w:szCs w:val="20"/>
                <w:u w:val="none"/>
                <w:lang w:val="en-US" w:eastAsia="zh-CN" w:bidi="ar"/>
              </w:rPr>
              <w:t>1</w:t>
            </w:r>
            <w:r>
              <w:rPr>
                <w:rStyle w:val="6"/>
                <w:rFonts w:hAnsi="宋体"/>
                <w:lang w:val="en-US" w:eastAsia="zh-CN" w:bidi="ar"/>
              </w:rPr>
              <w:t>分；无监管计</w:t>
            </w:r>
            <w:r>
              <w:rPr>
                <w:rFonts w:hint="default" w:ascii="Times New Roman" w:hAnsi="Times New Roman" w:eastAsia="仿宋_GB2312" w:cs="Times New Roman"/>
                <w:i w:val="0"/>
                <w:color w:val="000000"/>
                <w:kern w:val="0"/>
                <w:sz w:val="20"/>
                <w:szCs w:val="20"/>
                <w:u w:val="none"/>
                <w:lang w:val="en-US" w:eastAsia="zh-CN" w:bidi="ar"/>
              </w:rPr>
              <w:t>0</w:t>
            </w:r>
            <w:r>
              <w:rPr>
                <w:rStyle w:val="6"/>
                <w:rFonts w:hAnsi="宋体"/>
                <w:lang w:val="en-US" w:eastAsia="zh-CN" w:bidi="ar"/>
              </w:rPr>
              <w:t>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1206"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kern w:val="2"/>
                <w:sz w:val="20"/>
                <w:szCs w:val="20"/>
                <w:u w:val="none"/>
                <w:lang w:val="en-US" w:eastAsia="zh-CN" w:bidi="ar-SA"/>
              </w:rPr>
            </w:pPr>
            <w:r>
              <w:rPr>
                <w:rFonts w:hint="default" w:ascii="仿宋_GB2312" w:hAnsi="宋体" w:eastAsia="仿宋_GB2312" w:cs="仿宋_GB2312"/>
                <w:b/>
                <w:i w:val="0"/>
                <w:color w:val="auto"/>
                <w:kern w:val="0"/>
                <w:sz w:val="20"/>
                <w:szCs w:val="20"/>
                <w:u w:val="none"/>
                <w:lang w:val="en-US" w:eastAsia="zh-CN" w:bidi="ar"/>
              </w:rPr>
              <w:t>公示公告</w:t>
            </w:r>
            <w:r>
              <w:rPr>
                <w:rFonts w:hint="default" w:ascii="仿宋_GB2312" w:hAnsi="宋体" w:eastAsia="仿宋_GB2312" w:cs="仿宋_GB2312"/>
                <w:b/>
                <w:i w:val="0"/>
                <w:color w:val="auto"/>
                <w:kern w:val="0"/>
                <w:sz w:val="20"/>
                <w:szCs w:val="20"/>
                <w:u w:val="none"/>
                <w:lang w:eastAsia="zh-CN" w:bidi="ar"/>
              </w:rPr>
              <w:t>（</w:t>
            </w:r>
            <w:r>
              <w:rPr>
                <w:rFonts w:hint="eastAsia" w:ascii="仿宋_GB2312" w:hAnsi="宋体" w:eastAsia="仿宋_GB2312" w:cs="仿宋_GB2312"/>
                <w:b/>
                <w:i w:val="0"/>
                <w:color w:val="auto"/>
                <w:kern w:val="0"/>
                <w:sz w:val="20"/>
                <w:szCs w:val="20"/>
                <w:highlight w:val="none"/>
                <w:u w:val="none"/>
                <w:lang w:val="en-US" w:eastAsia="zh-CN" w:bidi="ar"/>
              </w:rPr>
              <w:t>3</w:t>
            </w:r>
            <w:r>
              <w:rPr>
                <w:rFonts w:hint="default" w:ascii="仿宋_GB2312" w:hAnsi="宋体" w:eastAsia="仿宋_GB2312" w:cs="仿宋_GB2312"/>
                <w:b/>
                <w:i w:val="0"/>
                <w:color w:val="auto"/>
                <w:kern w:val="0"/>
                <w:sz w:val="20"/>
                <w:szCs w:val="20"/>
                <w:u w:val="none"/>
                <w:lang w:eastAsia="zh-CN" w:bidi="ar"/>
              </w:rPr>
              <w:t>）</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default" w:ascii="仿宋_GB2312" w:hAnsi="宋体" w:eastAsia="仿宋_GB2312" w:cs="仿宋_GB2312"/>
                <w:i w:val="0"/>
                <w:color w:val="auto"/>
                <w:kern w:val="0"/>
                <w:sz w:val="20"/>
                <w:szCs w:val="20"/>
                <w:u w:val="none"/>
                <w:lang w:val="en-US" w:eastAsia="zh-CN" w:bidi="ar"/>
              </w:rPr>
              <w:t>公示公告情况</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2"/>
                <w:sz w:val="20"/>
                <w:szCs w:val="20"/>
                <w:u w:val="none"/>
                <w:lang w:val="en-US" w:eastAsia="zh-CN" w:bidi="ar-SA"/>
              </w:rPr>
            </w:pPr>
            <w:r>
              <w:rPr>
                <w:rFonts w:hint="default" w:ascii="仿宋_GB2312" w:hAnsi="宋体" w:eastAsia="仿宋_GB2312" w:cs="仿宋_GB2312"/>
                <w:i w:val="0"/>
                <w:color w:val="000000"/>
                <w:kern w:val="0"/>
                <w:sz w:val="20"/>
                <w:szCs w:val="20"/>
                <w:u w:val="none"/>
                <w:lang w:val="en-US" w:eastAsia="zh-CN" w:bidi="ar"/>
              </w:rPr>
              <w:t>按照相关规定进行公示公告</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2"/>
                <w:sz w:val="20"/>
                <w:szCs w:val="20"/>
                <w:u w:val="none"/>
                <w:lang w:val="en-US" w:eastAsia="zh-CN" w:bidi="ar-SA"/>
              </w:rPr>
            </w:pPr>
            <w:r>
              <w:rPr>
                <w:rStyle w:val="6"/>
                <w:rFonts w:hAnsi="宋体"/>
                <w:highlight w:val="none"/>
                <w:lang w:val="en-US" w:eastAsia="zh-CN" w:bidi="ar"/>
              </w:rPr>
              <w:t>到村到户项目在所在行政村公告公示且公示公告时间不少于</w:t>
            </w:r>
            <w:r>
              <w:rPr>
                <w:rFonts w:hint="default" w:ascii="Times New Roman" w:hAnsi="Times New Roman" w:eastAsia="仿宋_GB2312" w:cs="Times New Roman"/>
                <w:i w:val="0"/>
                <w:color w:val="000000"/>
                <w:kern w:val="0"/>
                <w:sz w:val="20"/>
                <w:szCs w:val="20"/>
                <w:highlight w:val="none"/>
                <w:u w:val="none"/>
                <w:lang w:val="en-US" w:eastAsia="zh-CN" w:bidi="ar"/>
              </w:rPr>
              <w:t>10</w:t>
            </w:r>
            <w:r>
              <w:rPr>
                <w:rStyle w:val="6"/>
                <w:rFonts w:hAnsi="宋体"/>
                <w:highlight w:val="none"/>
                <w:lang w:val="en-US" w:eastAsia="zh-CN" w:bidi="ar"/>
              </w:rPr>
              <w:t>天，计</w:t>
            </w:r>
            <w:r>
              <w:rPr>
                <w:rFonts w:hint="eastAsia" w:ascii="Times New Roman" w:hAnsi="Times New Roman" w:eastAsia="仿宋_GB2312" w:cs="Times New Roman"/>
                <w:i w:val="0"/>
                <w:color w:val="000000"/>
                <w:kern w:val="0"/>
                <w:sz w:val="20"/>
                <w:szCs w:val="20"/>
                <w:highlight w:val="none"/>
                <w:u w:val="none"/>
                <w:lang w:val="en-US" w:eastAsia="zh-CN" w:bidi="ar"/>
              </w:rPr>
              <w:t>1</w:t>
            </w:r>
            <w:r>
              <w:rPr>
                <w:rStyle w:val="6"/>
                <w:rFonts w:hAnsi="宋体"/>
                <w:highlight w:val="none"/>
                <w:lang w:val="en-US" w:eastAsia="zh-CN" w:bidi="ar"/>
              </w:rPr>
              <w:t>分</w:t>
            </w:r>
            <w:r>
              <w:rPr>
                <w:rStyle w:val="6"/>
                <w:rFonts w:hint="eastAsia" w:hAnsi="宋体"/>
                <w:highlight w:val="none"/>
                <w:lang w:val="en-US" w:eastAsia="zh-CN" w:bidi="ar"/>
              </w:rPr>
              <w:t>；公示内容完整，计1分；事前事后公示，计1分。</w:t>
            </w:r>
            <w:r>
              <w:rPr>
                <w:rStyle w:val="6"/>
                <w:rFonts w:hAnsi="宋体"/>
                <w:highlight w:val="none"/>
                <w:lang w:val="en-US" w:eastAsia="zh-CN" w:bidi="ar"/>
              </w:rPr>
              <w:t>否则不得分。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3</w:t>
            </w:r>
          </w:p>
        </w:tc>
      </w:tr>
      <w:tr>
        <w:tblPrEx>
          <w:tblCellMar>
            <w:top w:w="0" w:type="dxa"/>
            <w:left w:w="0" w:type="dxa"/>
            <w:bottom w:w="0" w:type="dxa"/>
            <w:right w:w="0" w:type="dxa"/>
          </w:tblCellMar>
        </w:tblPrEx>
        <w:trPr>
          <w:trHeight w:val="2302"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项目实施</w:t>
            </w:r>
            <w:r>
              <w:rPr>
                <w:rFonts w:hint="default" w:ascii="仿宋_GB2312" w:hAnsi="宋体" w:eastAsia="仿宋_GB2312" w:cs="仿宋_GB2312"/>
                <w:b/>
                <w:i w:val="0"/>
                <w:color w:val="000000"/>
                <w:kern w:val="0"/>
                <w:sz w:val="20"/>
                <w:szCs w:val="20"/>
                <w:u w:val="none"/>
                <w:lang w:eastAsia="zh-CN" w:bidi="ar"/>
              </w:rPr>
              <w:t>（</w:t>
            </w:r>
            <w:r>
              <w:rPr>
                <w:rFonts w:hint="eastAsia" w:ascii="仿宋_GB2312" w:hAnsi="宋体" w:eastAsia="仿宋_GB2312" w:cs="仿宋_GB2312"/>
                <w:b/>
                <w:i w:val="0"/>
                <w:color w:val="000000"/>
                <w:kern w:val="0"/>
                <w:sz w:val="20"/>
                <w:szCs w:val="20"/>
                <w:u w:val="none"/>
                <w:lang w:val="en-US" w:eastAsia="zh-CN" w:bidi="ar"/>
              </w:rPr>
              <w:t>8</w:t>
            </w:r>
            <w:r>
              <w:rPr>
                <w:rFonts w:hint="default" w:ascii="仿宋_GB2312" w:hAnsi="宋体" w:eastAsia="仿宋_GB2312" w:cs="仿宋_GB2312"/>
                <w:b/>
                <w:i w:val="0"/>
                <w:color w:val="000000"/>
                <w:kern w:val="0"/>
                <w:sz w:val="20"/>
                <w:szCs w:val="20"/>
                <w:u w:val="none"/>
                <w:lang w:eastAsia="zh-CN" w:bidi="ar"/>
              </w:rPr>
              <w:t>）</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管理制度健全性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①、②各计2分。否则，酌情扣分。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2372" w:hRule="atLeast"/>
        </w:trPr>
        <w:tc>
          <w:tcPr>
            <w:tcW w:w="52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制度执行有效性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①是否遵守相关法律法规和相关管理规定；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②项目调整及支出调整手续是否完备；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③项目合同书、验收报告、技术鉴定等资料是否齐全并及时归档；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④项目实施的人员条件、场地设备、信息支撑等是否落实到位。</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①、②、③、④各1分。否则，酌情扣分。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1848"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项目效益</w:t>
            </w:r>
            <w:r>
              <w:rPr>
                <w:rFonts w:hint="eastAsia" w:ascii="仿宋_GB2312" w:hAnsi="宋体" w:eastAsia="仿宋_GB2312" w:cs="仿宋_GB2312"/>
                <w:b/>
                <w:i w:val="0"/>
                <w:color w:val="000000"/>
                <w:kern w:val="0"/>
                <w:sz w:val="20"/>
                <w:szCs w:val="20"/>
                <w:u w:val="none"/>
                <w:lang w:val="en-US" w:eastAsia="zh-CN" w:bidi="ar"/>
              </w:rPr>
              <w:t>（60分）</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lang w:val="en-US"/>
              </w:rPr>
            </w:pPr>
            <w:r>
              <w:rPr>
                <w:rFonts w:hint="default" w:ascii="仿宋_GB2312" w:hAnsi="宋体" w:eastAsia="仿宋_GB2312" w:cs="仿宋_GB2312"/>
                <w:b/>
                <w:i w:val="0"/>
                <w:color w:val="000000"/>
                <w:kern w:val="0"/>
                <w:sz w:val="20"/>
                <w:szCs w:val="20"/>
                <w:u w:val="none"/>
                <w:lang w:val="en-US" w:eastAsia="zh-CN" w:bidi="ar"/>
              </w:rPr>
              <w:t>项目产出</w:t>
            </w:r>
            <w:r>
              <w:rPr>
                <w:rFonts w:hint="eastAsia" w:ascii="仿宋_GB2312" w:hAnsi="宋体" w:eastAsia="仿宋_GB2312" w:cs="仿宋_GB2312"/>
                <w:b/>
                <w:i w:val="0"/>
                <w:color w:val="000000"/>
                <w:kern w:val="0"/>
                <w:sz w:val="20"/>
                <w:szCs w:val="20"/>
                <w:u w:val="none"/>
                <w:lang w:val="en-US" w:eastAsia="zh-CN" w:bidi="ar"/>
              </w:rPr>
              <w:t>(34分）</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项目完成率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项目是否按申报资料的数量完成</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int="eastAsia" w:hAnsi="宋体"/>
                <w:highlight w:val="none"/>
                <w:lang w:val="en-US" w:eastAsia="zh-CN" w:bidi="ar"/>
              </w:rPr>
              <w:t>评价专项资金安排的项目截至20</w:t>
            </w:r>
            <w:r>
              <w:rPr>
                <w:rStyle w:val="6"/>
                <w:rFonts w:hint="default" w:ascii="仿宋_GB2312" w:hAnsi="宋体"/>
                <w:highlight w:val="none"/>
                <w:lang w:eastAsia="zh-CN" w:bidi="ar"/>
              </w:rPr>
              <w:t>2</w:t>
            </w:r>
            <w:r>
              <w:rPr>
                <w:rStyle w:val="6"/>
                <w:rFonts w:hint="eastAsia" w:ascii="仿宋_GB2312" w:hAnsi="宋体"/>
                <w:highlight w:val="none"/>
                <w:lang w:val="en-US" w:eastAsia="zh-CN" w:bidi="ar"/>
              </w:rPr>
              <w:t>1</w:t>
            </w:r>
            <w:r>
              <w:rPr>
                <w:rStyle w:val="6"/>
                <w:rFonts w:hint="eastAsia" w:hAnsi="宋体"/>
                <w:highlight w:val="none"/>
                <w:lang w:val="en-US" w:eastAsia="zh-CN" w:bidi="ar"/>
              </w:rPr>
              <w:t>年12月31日实际完成情况。计分原则如</w:t>
            </w:r>
            <w:r>
              <w:rPr>
                <w:rStyle w:val="6"/>
                <w:rFonts w:hint="eastAsia" w:hAnsi="宋体"/>
                <w:lang w:val="en-US" w:eastAsia="zh-CN" w:bidi="ar"/>
              </w:rPr>
              <w:t>下：项目未完成率达到30%以上的扣10分，未完成率达到20%-30%（含）的扣</w:t>
            </w:r>
            <w:r>
              <w:rPr>
                <w:rStyle w:val="6"/>
                <w:rFonts w:hint="default" w:ascii="仿宋_GB2312" w:hAnsi="宋体"/>
                <w:lang w:eastAsia="zh-CN" w:bidi="ar"/>
              </w:rPr>
              <w:t>8</w:t>
            </w:r>
            <w:r>
              <w:rPr>
                <w:rStyle w:val="6"/>
                <w:rFonts w:hint="eastAsia" w:hAnsi="宋体"/>
                <w:lang w:val="en-US" w:eastAsia="zh-CN" w:bidi="ar"/>
              </w:rPr>
              <w:t>分，未完成率达到10%-20%（含）的扣</w:t>
            </w:r>
            <w:r>
              <w:rPr>
                <w:rStyle w:val="6"/>
                <w:rFonts w:hint="default" w:ascii="仿宋_GB2312" w:hAnsi="宋体"/>
                <w:lang w:eastAsia="zh-CN" w:bidi="ar"/>
              </w:rPr>
              <w:t>6</w:t>
            </w:r>
            <w:r>
              <w:rPr>
                <w:rStyle w:val="6"/>
                <w:rFonts w:hint="eastAsia" w:hAnsi="宋体"/>
                <w:lang w:val="en-US" w:eastAsia="zh-CN" w:bidi="ar"/>
              </w:rPr>
              <w:t>分，未完成率达到5%-10%（含）的扣4分，未完成率5%（含）以下的扣2分。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10</w:t>
            </w:r>
          </w:p>
        </w:tc>
      </w:tr>
      <w:tr>
        <w:tblPrEx>
          <w:tblCellMar>
            <w:top w:w="0" w:type="dxa"/>
            <w:left w:w="0" w:type="dxa"/>
            <w:bottom w:w="0" w:type="dxa"/>
            <w:right w:w="0" w:type="dxa"/>
          </w:tblCellMar>
        </w:tblPrEx>
        <w:trPr>
          <w:trHeight w:val="768"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项目产出质量达标率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项目完成后，项目完成的质量达标产出数与实际产出数的比率</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Ansi="宋体"/>
                <w:lang w:val="en-US" w:eastAsia="zh-CN" w:bidi="ar"/>
              </w:rPr>
              <w:t>质量达标率</w:t>
            </w:r>
            <w:r>
              <w:rPr>
                <w:rFonts w:hint="default" w:ascii="Times New Roman" w:hAnsi="Times New Roman" w:eastAsia="仿宋_GB2312" w:cs="Times New Roman"/>
                <w:i w:val="0"/>
                <w:color w:val="000000"/>
                <w:kern w:val="0"/>
                <w:sz w:val="20"/>
                <w:szCs w:val="20"/>
                <w:u w:val="none"/>
                <w:lang w:val="en-US" w:eastAsia="zh-CN" w:bidi="ar"/>
              </w:rPr>
              <w:t>100%</w:t>
            </w:r>
            <w:r>
              <w:rPr>
                <w:rStyle w:val="6"/>
                <w:rFonts w:hAnsi="宋体"/>
                <w:lang w:val="en-US" w:eastAsia="zh-CN" w:bidi="ar"/>
              </w:rPr>
              <w:t>计</w:t>
            </w:r>
            <w:r>
              <w:rPr>
                <w:rFonts w:hint="default" w:ascii="Times New Roman" w:hAnsi="Times New Roman" w:eastAsia="仿宋_GB2312" w:cs="Times New Roman"/>
                <w:i w:val="0"/>
                <w:color w:val="000000"/>
                <w:kern w:val="0"/>
                <w:sz w:val="20"/>
                <w:szCs w:val="20"/>
                <w:u w:val="none"/>
                <w:lang w:eastAsia="zh-CN" w:bidi="ar"/>
              </w:rPr>
              <w:t>8</w:t>
            </w:r>
            <w:r>
              <w:rPr>
                <w:rStyle w:val="6"/>
                <w:rFonts w:hAnsi="宋体"/>
                <w:lang w:val="en-US" w:eastAsia="zh-CN" w:bidi="ar"/>
              </w:rPr>
              <w:t>分，</w:t>
            </w:r>
            <w:r>
              <w:rPr>
                <w:rStyle w:val="6"/>
                <w:rFonts w:ascii="仿宋_GB2312" w:hAnsi="宋体"/>
                <w:lang w:eastAsia="zh-CN" w:bidi="ar"/>
              </w:rPr>
              <w:t>每降低1%扣0.4分</w:t>
            </w:r>
            <w:r>
              <w:rPr>
                <w:rStyle w:val="6"/>
                <w:rFonts w:hint="eastAsia" w:hAnsi="宋体"/>
                <w:lang w:val="en-US" w:eastAsia="zh-CN" w:bidi="ar"/>
              </w:rPr>
              <w:t>，扣完为止</w:t>
            </w:r>
            <w:r>
              <w:rPr>
                <w:rStyle w:val="6"/>
                <w:rFonts w:ascii="仿宋_GB2312" w:hAnsi="宋体"/>
                <w:lang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8</w:t>
            </w:r>
          </w:p>
        </w:tc>
      </w:tr>
      <w:tr>
        <w:tblPrEx>
          <w:tblCellMar>
            <w:top w:w="0" w:type="dxa"/>
            <w:left w:w="0" w:type="dxa"/>
            <w:bottom w:w="0" w:type="dxa"/>
            <w:right w:w="0" w:type="dxa"/>
          </w:tblCellMar>
        </w:tblPrEx>
        <w:trPr>
          <w:trHeight w:val="792"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项目完成时效</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项目是否按申报资料的计划时间完成</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Ansi="宋体"/>
                <w:lang w:val="en-US" w:eastAsia="zh-CN" w:bidi="ar"/>
              </w:rPr>
              <w:t>该项得分</w:t>
            </w:r>
            <w:r>
              <w:rPr>
                <w:rFonts w:hint="default" w:ascii="Times New Roman" w:hAnsi="Times New Roman" w:eastAsia="仿宋_GB2312" w:cs="Times New Roman"/>
                <w:i w:val="0"/>
                <w:color w:val="000000"/>
                <w:kern w:val="0"/>
                <w:sz w:val="20"/>
                <w:szCs w:val="20"/>
                <w:u w:val="none"/>
                <w:lang w:val="en-US" w:eastAsia="zh-CN" w:bidi="ar"/>
              </w:rPr>
              <w:t>=</w:t>
            </w:r>
            <w:r>
              <w:rPr>
                <w:rStyle w:val="6"/>
                <w:rFonts w:hAnsi="宋体"/>
                <w:lang w:val="en-US" w:eastAsia="zh-CN" w:bidi="ar"/>
              </w:rPr>
              <w:t>申报资料的计划</w:t>
            </w:r>
            <w:r>
              <w:rPr>
                <w:rStyle w:val="6"/>
                <w:rFonts w:ascii="仿宋_GB2312" w:hAnsi="宋体"/>
                <w:lang w:eastAsia="zh-CN" w:bidi="ar"/>
              </w:rPr>
              <w:t>用时/项目实际用时</w:t>
            </w:r>
            <w:r>
              <w:rPr>
                <w:rStyle w:val="6"/>
                <w:rFonts w:hAnsi="宋体"/>
                <w:lang w:val="en-US" w:eastAsia="zh-CN" w:bidi="ar"/>
              </w:rPr>
              <w:t>×</w:t>
            </w:r>
            <w:r>
              <w:rPr>
                <w:rFonts w:hint="eastAsia" w:ascii="Times New Roman" w:hAnsi="Times New Roman" w:eastAsia="仿宋_GB2312" w:cs="Times New Roman"/>
                <w:i w:val="0"/>
                <w:color w:val="000000"/>
                <w:kern w:val="0"/>
                <w:sz w:val="20"/>
                <w:szCs w:val="20"/>
                <w:u w:val="none"/>
                <w:lang w:val="en-US" w:eastAsia="zh-CN" w:bidi="ar"/>
              </w:rPr>
              <w:t>100%</w:t>
            </w:r>
            <w:r>
              <w:rPr>
                <w:rStyle w:val="6"/>
                <w:rFonts w:hAnsi="宋体"/>
                <w:lang w:val="en-US" w:eastAsia="zh-CN" w:bidi="ar"/>
              </w:rPr>
              <w:t>，</w:t>
            </w:r>
            <w:r>
              <w:rPr>
                <w:rStyle w:val="6"/>
                <w:rFonts w:hint="eastAsia" w:hAnsi="宋体"/>
                <w:lang w:val="en-US" w:eastAsia="zh-CN" w:bidi="ar"/>
              </w:rPr>
              <w:t>每超过1%扣0.4分，扣完为止。</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8</w:t>
            </w:r>
          </w:p>
        </w:tc>
      </w:tr>
      <w:tr>
        <w:tblPrEx>
          <w:tblCellMar>
            <w:top w:w="0" w:type="dxa"/>
            <w:left w:w="0" w:type="dxa"/>
            <w:bottom w:w="0" w:type="dxa"/>
            <w:right w:w="0" w:type="dxa"/>
          </w:tblCellMar>
        </w:tblPrEx>
        <w:trPr>
          <w:trHeight w:val="1001"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项目成本节约率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完成项目计划工作目标的实际节约成本与计划成本的比率</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Ansi="宋体"/>
                <w:lang w:val="en-US" w:eastAsia="zh-CN" w:bidi="ar"/>
              </w:rPr>
              <w:t>该项得分</w:t>
            </w:r>
            <w:r>
              <w:rPr>
                <w:rFonts w:hint="default" w:ascii="Times New Roman" w:hAnsi="Times New Roman" w:eastAsia="仿宋_GB2312" w:cs="Times New Roman"/>
                <w:i w:val="0"/>
                <w:color w:val="000000"/>
                <w:kern w:val="0"/>
                <w:sz w:val="20"/>
                <w:szCs w:val="20"/>
                <w:u w:val="none"/>
                <w:lang w:val="en-US" w:eastAsia="zh-CN" w:bidi="ar"/>
              </w:rPr>
              <w:t>=</w:t>
            </w:r>
            <w:r>
              <w:rPr>
                <w:rStyle w:val="6"/>
                <w:rFonts w:hAnsi="宋体"/>
                <w:lang w:val="en-US" w:eastAsia="zh-CN" w:bidi="ar"/>
              </w:rPr>
              <w:t>申报资料的计划投资成本</w:t>
            </w:r>
            <w:r>
              <w:rPr>
                <w:rFonts w:hint="default" w:ascii="Times New Roman" w:hAnsi="Times New Roman" w:eastAsia="仿宋_GB2312" w:cs="Times New Roman"/>
                <w:i w:val="0"/>
                <w:color w:val="000000"/>
                <w:kern w:val="0"/>
                <w:sz w:val="20"/>
                <w:szCs w:val="20"/>
                <w:u w:val="none"/>
                <w:lang w:val="en-US" w:eastAsia="zh-CN" w:bidi="ar"/>
              </w:rPr>
              <w:t>/</w:t>
            </w:r>
            <w:r>
              <w:rPr>
                <w:rStyle w:val="6"/>
                <w:rFonts w:hAnsi="宋体"/>
                <w:lang w:val="en-US" w:eastAsia="zh-CN" w:bidi="ar"/>
              </w:rPr>
              <w:t>项目实际投资成本×</w:t>
            </w:r>
            <w:r>
              <w:rPr>
                <w:rFonts w:hint="eastAsia" w:ascii="Times New Roman" w:hAnsi="Times New Roman" w:eastAsia="仿宋_GB2312" w:cs="Times New Roman"/>
                <w:i w:val="0"/>
                <w:color w:val="000000"/>
                <w:kern w:val="0"/>
                <w:sz w:val="20"/>
                <w:szCs w:val="20"/>
                <w:u w:val="none"/>
                <w:lang w:val="en-US" w:eastAsia="zh-CN" w:bidi="ar"/>
              </w:rPr>
              <w:t>100%</w:t>
            </w:r>
            <w:r>
              <w:rPr>
                <w:rStyle w:val="6"/>
                <w:rFonts w:hAnsi="宋体"/>
                <w:lang w:val="en-US" w:eastAsia="zh-CN" w:bidi="ar"/>
              </w:rPr>
              <w:t>，</w:t>
            </w:r>
            <w:r>
              <w:rPr>
                <w:rStyle w:val="6"/>
                <w:rFonts w:hint="eastAsia" w:hAnsi="宋体"/>
                <w:lang w:val="en-US" w:eastAsia="zh-CN" w:bidi="ar"/>
              </w:rPr>
              <w:t>每超过1%扣0.4分，扣完为止。</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8</w:t>
            </w:r>
          </w:p>
        </w:tc>
      </w:tr>
      <w:tr>
        <w:tblPrEx>
          <w:tblCellMar>
            <w:top w:w="0" w:type="dxa"/>
            <w:left w:w="0" w:type="dxa"/>
            <w:bottom w:w="0" w:type="dxa"/>
            <w:right w:w="0" w:type="dxa"/>
          </w:tblCellMar>
        </w:tblPrEx>
        <w:trPr>
          <w:trHeight w:val="942"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项目效果</w:t>
            </w:r>
            <w:r>
              <w:rPr>
                <w:rFonts w:hint="eastAsia" w:ascii="仿宋_GB2312" w:hAnsi="宋体" w:eastAsia="仿宋_GB2312" w:cs="仿宋_GB2312"/>
                <w:b/>
                <w:i w:val="0"/>
                <w:color w:val="000000"/>
                <w:kern w:val="0"/>
                <w:sz w:val="20"/>
                <w:szCs w:val="20"/>
                <w:u w:val="none"/>
                <w:lang w:val="en-US" w:eastAsia="zh-CN" w:bidi="ar"/>
              </w:rPr>
              <w:t>（26分）</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经济效益</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eastAsia" w:ascii="仿宋_GB2312" w:hAnsi="仿宋_GB2312" w:eastAsia="仿宋_GB2312" w:cs="仿宋_GB2312"/>
                <w:kern w:val="0"/>
                <w:sz w:val="20"/>
                <w:szCs w:val="20"/>
              </w:rPr>
              <w:t>项目实施对经济发展所带来的直接或间接影响情况。</w:t>
            </w:r>
          </w:p>
        </w:tc>
        <w:tc>
          <w:tcPr>
            <w:tcW w:w="222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eastAsia" w:ascii="仿宋_GB2312" w:hAnsi="仿宋_GB2312" w:eastAsia="仿宋_GB2312" w:cs="仿宋_GB2312"/>
                <w:kern w:val="0"/>
                <w:sz w:val="20"/>
                <w:szCs w:val="20"/>
              </w:rPr>
              <w:t>此四项指标为设置项目支出绩效评价指标时必须考虑的共性要素，可根据项目实际并结合绩效目标设立情况有选择的进行设置，并将其细化为相应的个性化指标。</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6</w:t>
            </w:r>
          </w:p>
        </w:tc>
      </w:tr>
      <w:tr>
        <w:tblPrEx>
          <w:tblCellMar>
            <w:top w:w="0" w:type="dxa"/>
            <w:left w:w="0" w:type="dxa"/>
            <w:bottom w:w="0" w:type="dxa"/>
            <w:right w:w="0" w:type="dxa"/>
          </w:tblCellMar>
        </w:tblPrEx>
        <w:trPr>
          <w:trHeight w:val="75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社会效益</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项目实施对社会发展所带来的直接或间接影响情况。</w:t>
            </w:r>
          </w:p>
        </w:tc>
        <w:tc>
          <w:tcPr>
            <w:tcW w:w="2224"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5</w:t>
            </w:r>
          </w:p>
        </w:tc>
      </w:tr>
      <w:tr>
        <w:tblPrEx>
          <w:tblCellMar>
            <w:top w:w="0" w:type="dxa"/>
            <w:left w:w="0" w:type="dxa"/>
            <w:bottom w:w="0" w:type="dxa"/>
            <w:right w:w="0" w:type="dxa"/>
          </w:tblCellMar>
        </w:tblPrEx>
        <w:trPr>
          <w:trHeight w:val="12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生态效益</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仿宋_GB2312" w:eastAsia="仿宋_GB2312" w:cs="仿宋_GB2312"/>
                <w:kern w:val="0"/>
                <w:sz w:val="20"/>
                <w:szCs w:val="20"/>
              </w:rPr>
              <w:t>项目实施对生态环境所带来的直接或间接影响情况。</w:t>
            </w:r>
          </w:p>
        </w:tc>
        <w:tc>
          <w:tcPr>
            <w:tcW w:w="2224"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hAnsi="宋体"/>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12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可持续影响</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仿宋_GB2312" w:eastAsia="仿宋_GB2312" w:cs="仿宋_GB2312"/>
                <w:kern w:val="0"/>
                <w:sz w:val="20"/>
                <w:szCs w:val="20"/>
              </w:rPr>
              <w:t>项目后续运行及成效发挥的可持续影响情况。</w:t>
            </w:r>
          </w:p>
        </w:tc>
        <w:tc>
          <w:tcPr>
            <w:tcW w:w="222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hAnsi="宋体"/>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12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社会公众满意度</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社会公众或服务对象对项目实施效果的满意程度</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6"/>
                <w:rFonts w:hint="eastAsia" w:hAnsi="宋体"/>
                <w:lang w:val="en-US" w:eastAsia="zh-CN" w:bidi="ar"/>
              </w:rPr>
              <w:t>90%-100%（含）计10分，80%-90%（含）计8分，70%-80%（含）计6分，60%-70%（含）计4分，60%以下不计分。</w:t>
            </w:r>
          </w:p>
        </w:tc>
        <w:tc>
          <w:tcPr>
            <w:tcW w:w="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426" w:hRule="atLeast"/>
        </w:trPr>
        <w:tc>
          <w:tcPr>
            <w:tcW w:w="205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评价</w:t>
            </w:r>
            <w:r>
              <w:rPr>
                <w:rFonts w:hint="default" w:ascii="仿宋_GB2312" w:hAnsi="宋体" w:eastAsia="仿宋_GB2312" w:cs="仿宋_GB2312"/>
                <w:b/>
                <w:i w:val="0"/>
                <w:color w:val="000000"/>
                <w:kern w:val="0"/>
                <w:sz w:val="20"/>
                <w:szCs w:val="20"/>
                <w:u w:val="none"/>
                <w:lang w:val="en-US" w:eastAsia="zh-CN" w:bidi="ar"/>
              </w:rPr>
              <w:t>得分</w:t>
            </w:r>
          </w:p>
        </w:tc>
        <w:tc>
          <w:tcPr>
            <w:tcW w:w="627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98</w:t>
            </w:r>
          </w:p>
        </w:tc>
      </w:tr>
      <w:tr>
        <w:tblPrEx>
          <w:tblCellMar>
            <w:top w:w="0" w:type="dxa"/>
            <w:left w:w="0" w:type="dxa"/>
            <w:bottom w:w="0" w:type="dxa"/>
            <w:right w:w="0" w:type="dxa"/>
          </w:tblCellMar>
        </w:tblPrEx>
        <w:trPr>
          <w:trHeight w:val="518" w:hRule="atLeast"/>
        </w:trPr>
        <w:tc>
          <w:tcPr>
            <w:tcW w:w="2054" w:type="dxa"/>
            <w:gridSpan w:val="3"/>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评价</w:t>
            </w:r>
            <w:r>
              <w:rPr>
                <w:rFonts w:hint="default" w:ascii="仿宋_GB2312" w:hAnsi="宋体" w:eastAsia="仿宋_GB2312" w:cs="仿宋_GB2312"/>
                <w:b/>
                <w:i w:val="0"/>
                <w:color w:val="000000"/>
                <w:kern w:val="0"/>
                <w:sz w:val="20"/>
                <w:szCs w:val="20"/>
                <w:u w:val="none"/>
                <w:lang w:val="en-US" w:eastAsia="zh-CN" w:bidi="ar"/>
              </w:rPr>
              <w:t>等次</w:t>
            </w:r>
          </w:p>
        </w:tc>
        <w:tc>
          <w:tcPr>
            <w:tcW w:w="627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Times New Roman" w:hAnsi="Times New Roman" w:eastAsia="宋体" w:cs="Times New Roman"/>
                <w:b w:val="0"/>
                <w:bCs/>
                <w:i w:val="0"/>
                <w:color w:val="000000"/>
                <w:sz w:val="20"/>
                <w:szCs w:val="20"/>
                <w:u w:val="none"/>
                <w:lang w:val="en-US" w:eastAsia="zh-CN"/>
              </w:rPr>
            </w:pPr>
            <w:r>
              <w:rPr>
                <w:rFonts w:hint="eastAsia" w:eastAsia="宋体" w:cs="Times New Roman"/>
                <w:b w:val="0"/>
                <w:bCs/>
                <w:i w:val="0"/>
                <w:color w:val="000000"/>
                <w:sz w:val="20"/>
                <w:szCs w:val="20"/>
                <w:u w:val="none"/>
                <w:lang w:val="en-US" w:eastAsia="zh-CN"/>
              </w:rPr>
              <w:t>优</w:t>
            </w:r>
          </w:p>
        </w:tc>
      </w:tr>
      <w:tr>
        <w:tblPrEx>
          <w:tblCellMar>
            <w:top w:w="0" w:type="dxa"/>
            <w:left w:w="0" w:type="dxa"/>
            <w:bottom w:w="0" w:type="dxa"/>
            <w:right w:w="0" w:type="dxa"/>
          </w:tblCellMar>
        </w:tblPrEx>
        <w:trPr>
          <w:trHeight w:val="1034" w:hRule="atLeast"/>
        </w:trPr>
        <w:tc>
          <w:tcPr>
            <w:tcW w:w="2054" w:type="dxa"/>
            <w:gridSpan w:val="3"/>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eastAsia="仿宋"/>
                <w:color w:val="auto"/>
                <w:sz w:val="28"/>
                <w:szCs w:val="28"/>
              </w:rPr>
            </w:pPr>
          </w:p>
        </w:tc>
        <w:tc>
          <w:tcPr>
            <w:tcW w:w="627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b w:val="0"/>
                <w:bCs/>
                <w:i w:val="0"/>
                <w:color w:val="000000"/>
                <w:sz w:val="20"/>
                <w:szCs w:val="20"/>
                <w:u w:val="none"/>
                <w:lang w:val="en-US" w:eastAsia="zh-CN"/>
              </w:rPr>
            </w:pPr>
            <w:r>
              <w:rPr>
                <w:rFonts w:hint="eastAsia" w:ascii="仿宋_GB2312" w:hAnsi="宋体" w:eastAsia="仿宋_GB2312" w:cs="仿宋_GB2312"/>
                <w:b w:val="0"/>
                <w:bCs/>
                <w:i w:val="0"/>
                <w:color w:val="000000"/>
                <w:kern w:val="0"/>
                <w:sz w:val="20"/>
                <w:szCs w:val="20"/>
                <w:u w:val="none"/>
                <w:lang w:val="en-US" w:eastAsia="zh-CN" w:bidi="ar"/>
              </w:rPr>
              <w:t xml:space="preserve">90分（含）—100分为优，80分（含）—90分为良，60分（含）—80分为中，60分以下为差 </w:t>
            </w:r>
          </w:p>
        </w:tc>
      </w:tr>
    </w:tbl>
    <w:p>
      <w:pPr>
        <w:widowControl/>
        <w:jc w:val="left"/>
        <w:rPr>
          <w:rFonts w:hint="eastAsia" w:eastAsia="仿宋_GB2312"/>
          <w:kern w:val="0"/>
          <w:sz w:val="28"/>
          <w:szCs w:val="28"/>
          <w:lang w:val="en-US" w:eastAsia="zh-CN"/>
        </w:rPr>
      </w:pPr>
    </w:p>
    <w:p>
      <w:pPr>
        <w:widowControl/>
        <w:jc w:val="left"/>
        <w:rPr>
          <w:rFonts w:eastAsia="仿宋_GB2312"/>
          <w:kern w:val="0"/>
          <w:sz w:val="22"/>
          <w:szCs w:val="22"/>
        </w:rPr>
      </w:pPr>
      <w:r>
        <w:rPr>
          <w:rFonts w:hint="eastAsia" w:eastAsia="仿宋_GB2312"/>
          <w:kern w:val="0"/>
          <w:sz w:val="28"/>
          <w:szCs w:val="28"/>
          <w:lang w:val="en-US" w:eastAsia="zh-CN"/>
        </w:rPr>
        <w:t>附表4：</w:t>
      </w:r>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lang w:eastAsia="zh-CN"/>
        </w:rPr>
        <w:t>202</w:t>
      </w:r>
      <w:r>
        <w:rPr>
          <w:rFonts w:hint="eastAsia" w:ascii="方正小标宋_GBK" w:hAnsi="宋体" w:eastAsia="方正小标宋_GBK" w:cs="宋体"/>
          <w:color w:val="000000"/>
          <w:kern w:val="0"/>
          <w:sz w:val="36"/>
          <w:szCs w:val="36"/>
          <w:lang w:val="en-US" w:eastAsia="zh-CN"/>
        </w:rPr>
        <w:t>2</w:t>
      </w:r>
      <w:r>
        <w:rPr>
          <w:rFonts w:hint="eastAsia" w:ascii="方正小标宋_GBK" w:hAnsi="宋体" w:eastAsia="方正小标宋_GBK" w:cs="宋体"/>
          <w:color w:val="000000"/>
          <w:kern w:val="0"/>
          <w:sz w:val="36"/>
          <w:szCs w:val="36"/>
          <w:lang w:eastAsia="zh-CN"/>
        </w:rPr>
        <w:t>年</w:t>
      </w:r>
      <w:r>
        <w:rPr>
          <w:rFonts w:hint="eastAsia" w:ascii="方正小标宋_GBK" w:hAnsi="宋体" w:eastAsia="方正小标宋_GBK" w:cs="宋体"/>
          <w:color w:val="000000"/>
          <w:kern w:val="0"/>
          <w:sz w:val="36"/>
          <w:szCs w:val="36"/>
        </w:rPr>
        <w:t>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724"/>
        <w:gridCol w:w="1395"/>
        <w:gridCol w:w="1073"/>
        <w:gridCol w:w="2014"/>
      </w:tblGrid>
      <w:tr>
        <w:tblPrEx>
          <w:tblCellMar>
            <w:top w:w="0" w:type="dxa"/>
            <w:left w:w="108" w:type="dxa"/>
            <w:bottom w:w="0" w:type="dxa"/>
            <w:right w:w="108" w:type="dxa"/>
          </w:tblCellMar>
        </w:tblPrEx>
        <w:trPr>
          <w:trHeight w:val="270" w:hRule="atLeast"/>
          <w:jc w:val="center"/>
        </w:trPr>
        <w:tc>
          <w:tcPr>
            <w:tcW w:w="10060" w:type="dxa"/>
            <w:gridSpan w:val="8"/>
            <w:tcBorders>
              <w:top w:val="nil"/>
              <w:left w:val="nil"/>
              <w:bottom w:val="single" w:color="auto" w:sz="4" w:space="0"/>
              <w:right w:val="nil"/>
            </w:tcBorders>
            <w:noWrap w:val="0"/>
            <w:vAlign w:val="center"/>
          </w:tcPr>
          <w:p>
            <w:pPr>
              <w:widowControl/>
              <w:jc w:val="left"/>
              <w:rPr>
                <w:rFonts w:hint="default" w:ascii="楷体_GB2312" w:hAnsi="宋体" w:eastAsia="楷体_GB2312" w:cs="宋体"/>
                <w:b/>
                <w:bCs/>
                <w:color w:val="000000"/>
                <w:kern w:val="0"/>
                <w:sz w:val="22"/>
                <w:lang w:val="en-US"/>
              </w:rPr>
            </w:pPr>
            <w:r>
              <w:rPr>
                <w:rFonts w:hint="eastAsia" w:eastAsia="仿宋_GB2312"/>
                <w:kern w:val="0"/>
                <w:sz w:val="24"/>
                <w:lang w:val="en-US" w:eastAsia="zh-CN"/>
              </w:rPr>
              <w:t>填报单位：祁东县农村公路服务所         填报人：蒋涛         电话：13575286062</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425"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w:t>
            </w:r>
            <w:r>
              <w:rPr>
                <w:rFonts w:hint="eastAsia" w:ascii="仿宋_GB2312" w:eastAsia="仿宋_GB2312" w:cs="Times New Roman"/>
                <w:kern w:val="0"/>
                <w:szCs w:val="21"/>
                <w:lang w:val="en-US" w:eastAsia="zh-CN"/>
              </w:rPr>
              <w:t>农村公路养护工程转移支付</w:t>
            </w:r>
          </w:p>
        </w:tc>
        <w:tc>
          <w:tcPr>
            <w:tcW w:w="13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087"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仿宋_GB2312" w:hAnsi="宋体" w:eastAsia="仿宋_GB2312" w:cs="宋体"/>
                <w:color w:val="000000"/>
                <w:kern w:val="0"/>
                <w:szCs w:val="21"/>
                <w:lang w:eastAsia="zh-CN"/>
              </w:rPr>
              <w:t>刘三阳</w:t>
            </w:r>
            <w:r>
              <w:rPr>
                <w:rFonts w:hint="eastAsia" w:ascii="仿宋_GB2312" w:hAnsi="宋体" w:eastAsia="仿宋_GB2312" w:cs="宋体"/>
                <w:color w:val="000000"/>
                <w:kern w:val="0"/>
                <w:szCs w:val="21"/>
                <w:lang w:val="en-US" w:eastAsia="zh-CN"/>
              </w:rPr>
              <w:t>15807475816</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42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祁东县交通局</w:t>
            </w:r>
            <w:r>
              <w:rPr>
                <w:rFonts w:hint="eastAsia" w:ascii="仿宋_GB2312" w:hAnsi="宋体" w:eastAsia="仿宋_GB2312" w:cs="宋体"/>
                <w:color w:val="000000"/>
                <w:kern w:val="0"/>
                <w:szCs w:val="21"/>
              </w:rPr>
              <w:t>　</w:t>
            </w:r>
          </w:p>
        </w:tc>
        <w:tc>
          <w:tcPr>
            <w:tcW w:w="13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087" w:type="dxa"/>
            <w:gridSpan w:val="2"/>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r>
              <w:rPr>
                <w:rFonts w:hint="eastAsia" w:eastAsia="仿宋_GB2312"/>
                <w:kern w:val="0"/>
                <w:sz w:val="24"/>
                <w:lang w:val="en-US" w:eastAsia="zh-CN"/>
              </w:rPr>
              <w:t>祁东县农村公路服务所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4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366</w:t>
            </w:r>
          </w:p>
        </w:tc>
        <w:tc>
          <w:tcPr>
            <w:tcW w:w="24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366</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4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366</w:t>
            </w:r>
          </w:p>
        </w:tc>
        <w:tc>
          <w:tcPr>
            <w:tcW w:w="24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366</w:t>
            </w: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4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val="en-US" w:eastAsia="zh-CN"/>
              </w:rPr>
            </w:pPr>
          </w:p>
        </w:tc>
        <w:tc>
          <w:tcPr>
            <w:tcW w:w="2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80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4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480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r>
              <w:rPr>
                <w:rFonts w:hint="eastAsia" w:ascii="仿宋_GB2312" w:hAnsi="宋体" w:eastAsia="仿宋_GB2312" w:cs="宋体"/>
                <w:color w:val="000000"/>
                <w:kern w:val="0"/>
                <w:szCs w:val="21"/>
                <w:lang w:val="en-US" w:eastAsia="zh-CN"/>
              </w:rPr>
              <w:t>366</w:t>
            </w:r>
            <w:r>
              <w:rPr>
                <w:rFonts w:hint="eastAsia" w:ascii="仿宋_GB2312" w:hAnsi="宋体" w:eastAsia="仿宋_GB2312" w:cs="宋体"/>
                <w:color w:val="000000"/>
                <w:kern w:val="0"/>
                <w:szCs w:val="21"/>
              </w:rPr>
              <w:t>万元</w:t>
            </w:r>
          </w:p>
        </w:tc>
        <w:tc>
          <w:tcPr>
            <w:tcW w:w="44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hint="eastAsia" w:ascii="仿宋_GB2312" w:hAnsi="宋体" w:eastAsia="仿宋_GB2312" w:cs="宋体"/>
                <w:color w:val="000000"/>
                <w:kern w:val="0"/>
                <w:szCs w:val="21"/>
                <w:lang w:val="en-US" w:eastAsia="zh-CN"/>
              </w:rPr>
              <w:t>66</w:t>
            </w:r>
            <w:r>
              <w:rPr>
                <w:rFonts w:hint="eastAsia" w:ascii="仿宋_GB2312" w:hAnsi="宋体" w:eastAsia="仿宋_GB2312" w:cs="宋体"/>
                <w:color w:val="000000"/>
                <w:kern w:val="0"/>
                <w:szCs w:val="21"/>
              </w:rPr>
              <w:t>万元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201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rPr>
                <w:rFonts w:hint="eastAsia" w:ascii="Times New Roman" w:hAnsi="Times New Roman" w:eastAsia="仿宋_GB2312"/>
                <w:color w:val="000000"/>
                <w:kern w:val="2"/>
                <w:sz w:val="21"/>
                <w:szCs w:val="21"/>
                <w:lang w:val="en-US" w:eastAsia="zh-CN" w:bidi="ar-SA"/>
              </w:rPr>
            </w:pPr>
            <w:r>
              <w:rPr>
                <w:rFonts w:hint="eastAsia" w:ascii="Times New Roman" w:hAnsi="Times New Roman" w:eastAsia="仿宋_GB2312" w:cs="Times New Roman"/>
                <w:color w:val="000000"/>
                <w:szCs w:val="21"/>
                <w:lang w:eastAsia="zh-CN"/>
              </w:rPr>
              <w:t>养护工程</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lang w:val="en-US" w:eastAsia="zh-CN" w:bidi="ar-SA"/>
              </w:rPr>
            </w:pPr>
            <w:r>
              <w:rPr>
                <w:rFonts w:hint="eastAsia" w:ascii="Times New Roman" w:hAnsi="Times New Roman" w:eastAsia="仿宋_GB2312" w:cs="Times New Roman"/>
                <w:color w:val="000000"/>
                <w:szCs w:val="21"/>
                <w:lang w:eastAsia="zh-CN"/>
              </w:rPr>
              <w:t>完成养护里程</w:t>
            </w:r>
            <w:r>
              <w:rPr>
                <w:rFonts w:hint="eastAsia" w:ascii="Times New Roman" w:hAnsi="Times New Roman" w:eastAsia="仿宋_GB2312" w:cs="Times New Roman"/>
                <w:color w:val="000000"/>
                <w:szCs w:val="21"/>
                <w:lang w:val="en-US" w:eastAsia="zh-CN"/>
              </w:rPr>
              <w:t>47.037公里</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Times New Roman" w:hAnsi="Times New Roman" w:eastAsia="仿宋_GB2312" w:cs="Times New Roman"/>
                <w:color w:val="000000"/>
                <w:szCs w:val="21"/>
                <w:lang w:eastAsia="zh-CN"/>
              </w:rPr>
              <w:t>完成养护里程</w:t>
            </w:r>
            <w:r>
              <w:rPr>
                <w:rFonts w:hint="eastAsia" w:ascii="Times New Roman" w:hAnsi="Times New Roman" w:eastAsia="仿宋_GB2312" w:cs="Times New Roman"/>
                <w:color w:val="000000"/>
                <w:szCs w:val="21"/>
                <w:lang w:val="en-US" w:eastAsia="zh-CN"/>
              </w:rPr>
              <w:t>47.037公里</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养护工程47.037公里</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合格达标</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 w:hAnsi="仿宋" w:eastAsia="仿宋" w:cs="仿宋"/>
                <w:color w:val="000000"/>
                <w:kern w:val="0"/>
                <w:sz w:val="21"/>
                <w:szCs w:val="21"/>
                <w:lang w:val="en-US" w:eastAsia="zh-CN" w:bidi="ar-SA"/>
              </w:rPr>
              <w:t>合格达标</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both"/>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ign w:val="center"/>
          </w:tcPr>
          <w:p>
            <w:pPr>
              <w:widowControl/>
              <w:jc w:val="both"/>
              <w:rPr>
                <w:rFonts w:ascii="仿宋_GB2312" w:hAnsi="宋体" w:eastAsia="仿宋_GB2312" w:cs="宋体"/>
                <w:color w:val="000000"/>
                <w:kern w:val="0"/>
                <w:szCs w:val="21"/>
              </w:rPr>
            </w:pP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i w:val="0"/>
                <w:color w:val="000000"/>
                <w:sz w:val="21"/>
                <w:szCs w:val="21"/>
                <w:u w:val="none"/>
              </w:rPr>
              <w:t>完成工期</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rPr>
              <w:t>202</w:t>
            </w:r>
            <w:r>
              <w:rPr>
                <w:rFonts w:hint="eastAsia" w:ascii="仿宋" w:hAnsi="仿宋" w:eastAsia="仿宋" w:cs="仿宋"/>
                <w:i w:val="0"/>
                <w:color w:val="000000"/>
                <w:sz w:val="21"/>
                <w:szCs w:val="21"/>
                <w:u w:val="none"/>
                <w:lang w:val="en-US" w:eastAsia="zh-CN"/>
              </w:rPr>
              <w:t>2</w:t>
            </w:r>
            <w:r>
              <w:rPr>
                <w:rFonts w:hint="eastAsia" w:ascii="仿宋" w:hAnsi="仿宋" w:eastAsia="仿宋" w:cs="仿宋"/>
                <w:i w:val="0"/>
                <w:color w:val="000000"/>
                <w:sz w:val="21"/>
                <w:szCs w:val="21"/>
                <w:u w:val="none"/>
              </w:rPr>
              <w:t>年1月-12月</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 w:hAnsi="仿宋" w:eastAsia="仿宋" w:cs="仿宋"/>
                <w:i w:val="0"/>
                <w:color w:val="000000"/>
                <w:sz w:val="21"/>
                <w:szCs w:val="21"/>
                <w:u w:val="none"/>
              </w:rPr>
              <w:t>202</w:t>
            </w:r>
            <w:r>
              <w:rPr>
                <w:rFonts w:hint="eastAsia" w:ascii="仿宋" w:hAnsi="仿宋" w:eastAsia="仿宋" w:cs="仿宋"/>
                <w:i w:val="0"/>
                <w:color w:val="000000"/>
                <w:sz w:val="21"/>
                <w:szCs w:val="21"/>
                <w:u w:val="none"/>
                <w:lang w:val="en-US" w:eastAsia="zh-CN"/>
              </w:rPr>
              <w:t>2</w:t>
            </w:r>
            <w:r>
              <w:rPr>
                <w:rFonts w:hint="eastAsia" w:ascii="仿宋" w:hAnsi="仿宋" w:eastAsia="仿宋" w:cs="仿宋"/>
                <w:i w:val="0"/>
                <w:color w:val="000000"/>
                <w:sz w:val="21"/>
                <w:szCs w:val="21"/>
                <w:u w:val="none"/>
              </w:rPr>
              <w:t>年1月-12月</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_GB2312" w:eastAsia="仿宋_GB2312" w:cs="Times New Roman"/>
                <w:kern w:val="0"/>
                <w:szCs w:val="21"/>
                <w:lang w:val="en-US" w:eastAsia="zh-CN"/>
              </w:rPr>
              <w:t>农村公路养护工程投入成本</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lang w:val="en-US" w:eastAsia="zh-CN"/>
              </w:rPr>
              <w:t>366</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eastAsia="zh-CN"/>
              </w:rPr>
              <w:t>366</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49"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31"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ind w:firstLine="210" w:firstLineChars="100"/>
              <w:jc w:val="center"/>
              <w:rPr>
                <w:rFonts w:hint="eastAsia" w:ascii="仿宋" w:hAnsi="仿宋" w:eastAsia="仿宋" w:cs="仿宋"/>
                <w:color w:val="000000"/>
                <w:kern w:val="0"/>
                <w:sz w:val="21"/>
                <w:szCs w:val="21"/>
              </w:rPr>
            </w:pP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34"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right w:val="single" w:color="auto" w:sz="4" w:space="0"/>
            </w:tcBorders>
            <w:noWrap w:val="0"/>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社会</w:t>
            </w:r>
            <w:r>
              <w:rPr>
                <w:rFonts w:hint="eastAsia" w:ascii="仿宋_GB2312" w:hAnsi="宋体" w:eastAsia="仿宋_GB2312" w:cs="宋体"/>
                <w:color w:val="000000"/>
                <w:kern w:val="0"/>
                <w:szCs w:val="21"/>
              </w:rPr>
              <w:t>效益  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Times New Roman" w:hAnsi="Times New Roman" w:eastAsia="仿宋_GB2312" w:cs="Times New Roman"/>
                <w:color w:val="000000"/>
                <w:szCs w:val="21"/>
                <w:lang w:eastAsia="zh-CN"/>
              </w:rPr>
              <w:t>促进区域经济发展</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lang w:val="en-US" w:eastAsia="zh-CN"/>
              </w:rPr>
              <w:t>100%</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noWrap w:val="0"/>
            <w:vAlign w:val="center"/>
          </w:tcPr>
          <w:p>
            <w:pPr>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  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 w:hAnsi="仿宋" w:eastAsia="仿宋" w:cs="仿宋"/>
                <w:color w:val="000000"/>
                <w:kern w:val="0"/>
                <w:sz w:val="21"/>
                <w:szCs w:val="21"/>
                <w:lang w:eastAsia="zh-CN"/>
              </w:rPr>
            </w:pPr>
            <w:r>
              <w:rPr>
                <w:rFonts w:hint="eastAsia" w:ascii="仿宋" w:hAnsi="仿宋" w:eastAsia="仿宋" w:cs="仿宋"/>
                <w:i w:val="0"/>
                <w:color w:val="000000"/>
                <w:sz w:val="21"/>
                <w:szCs w:val="21"/>
                <w:u w:val="none"/>
              </w:rPr>
              <w:t>农村</w:t>
            </w:r>
            <w:r>
              <w:rPr>
                <w:rFonts w:hint="eastAsia" w:ascii="仿宋" w:hAnsi="仿宋" w:eastAsia="仿宋" w:cs="仿宋"/>
                <w:i w:val="0"/>
                <w:color w:val="000000"/>
                <w:sz w:val="21"/>
                <w:szCs w:val="21"/>
                <w:u w:val="none"/>
                <w:lang w:eastAsia="zh-CN"/>
              </w:rPr>
              <w:t>环境综合整治</w:t>
            </w:r>
          </w:p>
        </w:tc>
        <w:tc>
          <w:tcPr>
            <w:tcW w:w="1724"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lang w:eastAsia="zh-CN"/>
              </w:rPr>
              <w:t>改善</w:t>
            </w:r>
          </w:p>
        </w:tc>
        <w:tc>
          <w:tcPr>
            <w:tcW w:w="107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 w:hAnsi="仿宋" w:eastAsia="仿宋" w:cs="仿宋"/>
                <w:i w:val="0"/>
                <w:color w:val="000000"/>
                <w:sz w:val="21"/>
                <w:szCs w:val="21"/>
                <w:u w:val="none"/>
                <w:lang w:eastAsia="zh-CN"/>
              </w:rPr>
              <w:t>改善</w:t>
            </w:r>
          </w:p>
        </w:tc>
        <w:tc>
          <w:tcPr>
            <w:tcW w:w="2014"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i w:val="0"/>
                <w:color w:val="000000"/>
                <w:sz w:val="21"/>
                <w:szCs w:val="21"/>
                <w:u w:val="none"/>
              </w:rPr>
              <w:t>农村公路养护</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rPr>
              <w:t>持续影响</w:t>
            </w:r>
          </w:p>
        </w:tc>
        <w:tc>
          <w:tcPr>
            <w:tcW w:w="1073" w:type="dxa"/>
            <w:tcBorders>
              <w:top w:val="single" w:color="auto" w:sz="4" w:space="0"/>
              <w:left w:val="nil"/>
              <w:bottom w:val="single" w:color="auto" w:sz="4" w:space="0"/>
              <w:right w:val="single" w:color="auto" w:sz="4" w:space="0"/>
            </w:tcBorders>
            <w:noWrap/>
            <w:vAlign w:val="center"/>
          </w:tcPr>
          <w:p>
            <w:pPr>
              <w:widowControl/>
              <w:jc w:val="both"/>
              <w:rPr>
                <w:rFonts w:ascii="仿宋_GB2312" w:hAnsi="宋体" w:eastAsia="仿宋_GB2312" w:cs="宋体"/>
                <w:color w:val="000000"/>
                <w:kern w:val="0"/>
                <w:szCs w:val="21"/>
              </w:rPr>
            </w:pPr>
            <w:r>
              <w:rPr>
                <w:rFonts w:hint="eastAsia" w:ascii="仿宋" w:hAnsi="仿宋" w:eastAsia="仿宋" w:cs="仿宋"/>
                <w:i w:val="0"/>
                <w:color w:val="000000"/>
                <w:sz w:val="21"/>
                <w:szCs w:val="21"/>
                <w:u w:val="none"/>
              </w:rPr>
              <w:t>持续影响</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_GB2312" w:hAnsi="宋体" w:eastAsia="仿宋_GB2312" w:cs="宋体"/>
                <w:color w:val="000000"/>
                <w:kern w:val="0"/>
                <w:szCs w:val="21"/>
              </w:rPr>
              <w:t>服务对象满意度</w:t>
            </w:r>
          </w:p>
        </w:tc>
        <w:tc>
          <w:tcPr>
            <w:tcW w:w="1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13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rPr>
              <w:t>≧95%</w:t>
            </w:r>
          </w:p>
        </w:tc>
        <w:tc>
          <w:tcPr>
            <w:tcW w:w="10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 w:hAnsi="仿宋" w:eastAsia="仿宋" w:cs="仿宋"/>
                <w:i w:val="0"/>
                <w:color w:val="000000"/>
                <w:sz w:val="21"/>
                <w:szCs w:val="21"/>
                <w:u w:val="none"/>
              </w:rPr>
              <w:t>≧95%</w:t>
            </w:r>
          </w:p>
        </w:tc>
        <w:tc>
          <w:tcPr>
            <w:tcW w:w="20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7"/>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8"/>
            <w:tcBorders>
              <w:top w:val="single" w:color="auto" w:sz="8" w:space="0"/>
              <w:left w:val="nil"/>
              <w:bottom w:val="nil"/>
              <w:right w:val="nil"/>
            </w:tcBorders>
            <w:noWrap w:val="0"/>
            <w:vAlign w:val="top"/>
          </w:tcPr>
          <w:p>
            <w:pPr>
              <w:widowControl/>
              <w:ind w:firstLine="420" w:firstLineChars="200"/>
              <w:jc w:val="left"/>
              <w:rPr>
                <w:rFonts w:ascii="仿宋_GB2312" w:hAnsi="宋体" w:eastAsia="仿宋_GB2312" w:cs="宋体"/>
                <w:color w:val="000000"/>
                <w:kern w:val="0"/>
                <w:szCs w:val="21"/>
              </w:rPr>
            </w:pP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pPr>
              <w:widowControl/>
              <w:numPr>
                <w:ilvl w:val="0"/>
                <w:numId w:val="1"/>
              </w:numPr>
              <w:spacing w:line="360" w:lineRule="exact"/>
              <w:ind w:firstLine="420" w:firstLineChars="2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w:t>
            </w:r>
            <w:r>
              <w:rPr>
                <w:rFonts w:hint="eastAsia" w:ascii="仿宋_GB2312" w:hAnsi="宋体" w:eastAsia="仿宋_GB2312" w:cs="宋体"/>
                <w:color w:val="000000"/>
                <w:kern w:val="0"/>
                <w:szCs w:val="21"/>
                <w:lang w:val="en-US" w:eastAsia="zh-CN"/>
              </w:rPr>
              <w:t>单位</w:t>
            </w:r>
            <w:r>
              <w:rPr>
                <w:rFonts w:hint="eastAsia" w:ascii="仿宋_GB2312" w:hAnsi="宋体" w:eastAsia="仿宋_GB2312" w:cs="宋体"/>
                <w:color w:val="000000"/>
                <w:kern w:val="0"/>
                <w:szCs w:val="21"/>
              </w:rPr>
              <w:t>实际完成数。</w:t>
            </w:r>
          </w:p>
          <w:p>
            <w:pPr>
              <w:widowControl/>
              <w:numPr>
                <w:ilvl w:val="0"/>
                <w:numId w:val="0"/>
              </w:numPr>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4、对未完成绩效目标，或超过年初设定的绩效指标值较多（30%及以上）的原因逐条进行分析，书面作出说明并提出改进措施。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E51D8"/>
    <w:multiLevelType w:val="singleLevel"/>
    <w:tmpl w:val="A9CE51D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238FB"/>
    <w:rsid w:val="6461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Calibri"/>
      <w:kern w:val="0"/>
      <w:sz w:val="24"/>
      <w:szCs w:val="24"/>
      <w:lang w:val="en-US" w:eastAsia="zh-CN" w:bidi="ar"/>
    </w:rPr>
  </w:style>
  <w:style w:type="paragraph" w:customStyle="1" w:styleId="5">
    <w:name w:val="正文1"/>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6">
    <w:name w:val="font31"/>
    <w:basedOn w:val="4"/>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2023-04-26T01:12:00Z</dcterms:created>
  <dc:creator>Administrator</dc:creator>
  <cp:lastModifiedBy>Administrator</cp:lastModifiedBy>
  <dcterms:modified xsi:type="dcterms:W3CDTF">2023-04-26T01:25:38Z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F943BE1C4AB94FE8AE25955AF109A9E0</vt:lpwstr>
  </property>
</Properties>
</file>