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wmf" ContentType="image/x-wmf"/>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hint="eastAsia" w:ascii="仿宋_GB2312" w:hAnsi="仿宋_GB2312" w:eastAsia="仿宋_GB2312" w:cs="仿宋_GB2312"/>
          <w:sz w:val="36"/>
          <w:szCs w:val="36"/>
        </w:rPr>
      </w:pPr>
    </w:p>
    <w:p>
      <w:pPr>
        <w:bidi w:val="0"/>
        <w:jc w:val="center"/>
        <w:rPr>
          <w:rFonts w:hint="eastAsia" w:ascii="仿宋" w:hAnsi="仿宋" w:eastAsia="仿宋" w:cs="仿宋"/>
          <w:b/>
          <w:bCs/>
          <w:sz w:val="72"/>
          <w:szCs w:val="72"/>
        </w:rPr>
      </w:pPr>
      <w:bookmarkStart w:id="0" w:name="_Toc12607"/>
      <w:r>
        <w:rPr>
          <w:rFonts w:hint="eastAsia" w:ascii="仿宋" w:hAnsi="仿宋" w:eastAsia="仿宋" w:cs="仿宋"/>
          <w:b/>
          <w:bCs/>
          <w:sz w:val="72"/>
          <w:szCs w:val="72"/>
        </w:rPr>
        <w:t>建设项目环境影响报告表</w:t>
      </w:r>
      <w:bookmarkEnd w:id="0"/>
    </w:p>
    <w:p>
      <w:pPr>
        <w:adjustRightInd w:val="0"/>
        <w:snapToGrid w:val="0"/>
        <w:spacing w:before="192" w:beforeLines="80"/>
        <w:jc w:val="center"/>
        <w:rPr>
          <w:rFonts w:hint="eastAsia" w:ascii="楷体_GB2312" w:eastAsia="楷体_GB2312"/>
          <w:bCs/>
          <w:sz w:val="48"/>
          <w:szCs w:val="48"/>
        </w:rPr>
      </w:pPr>
      <w:r>
        <w:rPr>
          <w:rFonts w:hint="eastAsia" w:ascii="楷体_GB2312" w:eastAsia="楷体_GB2312"/>
          <w:bCs/>
          <w:sz w:val="48"/>
          <w:szCs w:val="48"/>
        </w:rPr>
        <w:t>（污染影响类）</w:t>
      </w:r>
    </w:p>
    <w:p>
      <w:pPr>
        <w:bidi w:val="0"/>
      </w:pPr>
    </w:p>
    <w:p>
      <w:pPr>
        <w:ind w:firstLine="1040"/>
        <w:rPr>
          <w:rFonts w:eastAsia="仿宋"/>
          <w:sz w:val="44"/>
          <w:szCs w:val="44"/>
        </w:rPr>
      </w:pPr>
    </w:p>
    <w:p>
      <w:pPr>
        <w:ind w:firstLine="1040"/>
        <w:rPr>
          <w:rFonts w:eastAsia="仿宋"/>
          <w:sz w:val="44"/>
          <w:szCs w:val="44"/>
        </w:rPr>
      </w:pPr>
    </w:p>
    <w:p>
      <w:pPr>
        <w:ind w:firstLine="1040"/>
        <w:rPr>
          <w:rFonts w:eastAsia="仿宋"/>
          <w:sz w:val="44"/>
          <w:szCs w:val="44"/>
        </w:rPr>
      </w:pPr>
    </w:p>
    <w:p>
      <w:pPr>
        <w:pStyle w:val="18"/>
        <w:rPr>
          <w:rFonts w:eastAsia="仿宋"/>
          <w:sz w:val="44"/>
          <w:szCs w:val="44"/>
        </w:rPr>
      </w:pPr>
    </w:p>
    <w:p>
      <w:pPr>
        <w:pStyle w:val="14"/>
      </w:pPr>
    </w:p>
    <w:p>
      <w:pPr>
        <w:ind w:firstLine="1040"/>
        <w:rPr>
          <w:rFonts w:eastAsia="仿宋"/>
          <w:sz w:val="44"/>
          <w:szCs w:val="44"/>
        </w:rPr>
      </w:pPr>
    </w:p>
    <w:p>
      <w:pPr>
        <w:adjustRightInd w:val="0"/>
        <w:snapToGrid w:val="0"/>
        <w:spacing w:line="288" w:lineRule="auto"/>
        <w:ind w:firstLine="1040"/>
        <w:jc w:val="center"/>
        <w:rPr>
          <w:rFonts w:hint="eastAsia" w:ascii="仿宋_GB2312" w:eastAsia="仿宋_GB2312"/>
          <w:sz w:val="36"/>
          <w:szCs w:val="36"/>
          <w:u w:val="single"/>
        </w:rPr>
      </w:pPr>
      <w:r>
        <w:rPr>
          <w:rFonts w:hint="eastAsia" w:ascii="仿宋_GB2312" w:eastAsia="仿宋_GB2312"/>
          <w:sz w:val="36"/>
          <w:szCs w:val="36"/>
        </w:rPr>
        <w:t>项目名称：</w:t>
      </w:r>
      <w:r>
        <w:rPr>
          <w:rFonts w:hint="eastAsia" w:ascii="仿宋_GB2312" w:eastAsia="仿宋_GB2312"/>
          <w:sz w:val="36"/>
          <w:szCs w:val="36"/>
          <w:u w:val="single"/>
          <w:lang w:eastAsia="zh-CN"/>
        </w:rPr>
        <w:t>衡阳汐甄新能源有限公司南山加油站建设项目</w:t>
      </w:r>
    </w:p>
    <w:p>
      <w:pPr>
        <w:adjustRightInd w:val="0"/>
        <w:snapToGrid w:val="0"/>
        <w:spacing w:line="288" w:lineRule="auto"/>
        <w:ind w:firstLine="1040"/>
        <w:jc w:val="center"/>
        <w:rPr>
          <w:rFonts w:ascii="仿宋_GB2312" w:eastAsia="仿宋_GB2312"/>
          <w:sz w:val="36"/>
          <w:szCs w:val="36"/>
          <w:u w:val="single"/>
        </w:rPr>
      </w:pPr>
      <w:r>
        <w:rPr>
          <w:rFonts w:hint="eastAsia" w:ascii="仿宋_GB2312" w:eastAsia="仿宋_GB2312"/>
          <w:sz w:val="36"/>
          <w:szCs w:val="36"/>
        </w:rPr>
        <w:t>建设单位（盖章）</w:t>
      </w:r>
      <w:r>
        <w:rPr>
          <w:rFonts w:hint="eastAsia" w:ascii="仿宋_GB2312" w:eastAsia="仿宋_GB2312"/>
          <w:sz w:val="36"/>
          <w:szCs w:val="36"/>
          <w:lang w:val="en-US" w:eastAsia="zh-CN"/>
        </w:rPr>
        <w:t>:</w:t>
      </w:r>
      <w:r>
        <w:rPr>
          <w:rFonts w:hint="eastAsia" w:ascii="仿宋_GB2312" w:eastAsia="仿宋_GB2312"/>
          <w:sz w:val="36"/>
          <w:szCs w:val="36"/>
          <w:u w:val="single"/>
          <w:lang w:eastAsia="zh-CN"/>
        </w:rPr>
        <w:t>衡阳汐甄新能源有限公司</w:t>
      </w:r>
    </w:p>
    <w:p>
      <w:pPr>
        <w:adjustRightInd w:val="0"/>
        <w:snapToGrid w:val="0"/>
        <w:spacing w:line="288" w:lineRule="auto"/>
        <w:ind w:firstLine="1040"/>
        <w:jc w:val="center"/>
        <w:rPr>
          <w:rFonts w:hint="eastAsia" w:ascii="仿宋_GB2312" w:eastAsia="仿宋_GB2312"/>
          <w:sz w:val="36"/>
          <w:szCs w:val="36"/>
          <w:u w:val="single"/>
        </w:rPr>
      </w:pPr>
      <w:r>
        <w:rPr>
          <w:rFonts w:hint="eastAsia" w:ascii="仿宋_GB2312" w:eastAsia="仿宋_GB2312"/>
          <w:sz w:val="36"/>
          <w:szCs w:val="36"/>
        </w:rPr>
        <w:t>编制日期：</w:t>
      </w:r>
      <w:r>
        <w:rPr>
          <w:rFonts w:hint="eastAsia" w:ascii="仿宋_GB2312" w:eastAsia="仿宋_GB2312"/>
          <w:sz w:val="36"/>
          <w:szCs w:val="36"/>
          <w:u w:val="single"/>
        </w:rPr>
        <w:t>202</w:t>
      </w:r>
      <w:r>
        <w:rPr>
          <w:rFonts w:hint="eastAsia" w:ascii="仿宋_GB2312" w:eastAsia="仿宋_GB2312"/>
          <w:sz w:val="36"/>
          <w:szCs w:val="36"/>
          <w:u w:val="single"/>
          <w:lang w:val="en-US" w:eastAsia="zh-CN"/>
        </w:rPr>
        <w:t>3</w:t>
      </w:r>
      <w:r>
        <w:rPr>
          <w:rFonts w:hint="eastAsia" w:ascii="仿宋_GB2312" w:eastAsia="仿宋_GB2312"/>
          <w:sz w:val="36"/>
          <w:szCs w:val="36"/>
          <w:u w:val="single"/>
        </w:rPr>
        <w:t>年0</w:t>
      </w:r>
      <w:r>
        <w:rPr>
          <w:rFonts w:hint="eastAsia" w:ascii="仿宋_GB2312" w:eastAsia="仿宋_GB2312"/>
          <w:sz w:val="36"/>
          <w:szCs w:val="36"/>
          <w:u w:val="single"/>
          <w:lang w:val="en-US" w:eastAsia="zh-CN"/>
        </w:rPr>
        <w:t>4</w:t>
      </w:r>
      <w:r>
        <w:rPr>
          <w:rFonts w:hint="eastAsia" w:ascii="仿宋_GB2312" w:eastAsia="仿宋_GB2312"/>
          <w:sz w:val="36"/>
          <w:szCs w:val="36"/>
          <w:u w:val="single"/>
        </w:rPr>
        <w:t>月</w:t>
      </w:r>
    </w:p>
    <w:p>
      <w:pPr>
        <w:adjustRightInd w:val="0"/>
        <w:snapToGrid w:val="0"/>
        <w:spacing w:line="288" w:lineRule="auto"/>
        <w:ind w:firstLine="1040"/>
        <w:rPr>
          <w:rFonts w:ascii="仿宋_GB2312" w:eastAsia="仿宋_GB2312"/>
          <w:sz w:val="36"/>
          <w:szCs w:val="36"/>
          <w:u w:val="single"/>
        </w:rPr>
      </w:pPr>
      <w:bookmarkStart w:id="1" w:name="_Hlk57884087"/>
    </w:p>
    <w:p>
      <w:pPr>
        <w:adjustRightInd w:val="0"/>
        <w:snapToGrid w:val="0"/>
        <w:spacing w:line="288" w:lineRule="auto"/>
        <w:ind w:firstLine="1040"/>
        <w:rPr>
          <w:rFonts w:ascii="仿宋_GB2312" w:eastAsia="仿宋_GB2312"/>
          <w:sz w:val="36"/>
          <w:szCs w:val="36"/>
        </w:rPr>
      </w:pPr>
    </w:p>
    <w:p>
      <w:pPr>
        <w:adjustRightInd w:val="0"/>
        <w:snapToGrid w:val="0"/>
        <w:spacing w:line="288" w:lineRule="auto"/>
        <w:ind w:firstLine="1040"/>
        <w:rPr>
          <w:rFonts w:ascii="仿宋_GB2312" w:eastAsia="仿宋_GB2312"/>
          <w:sz w:val="36"/>
          <w:szCs w:val="36"/>
        </w:rPr>
      </w:pPr>
    </w:p>
    <w:p>
      <w:pPr>
        <w:adjustRightInd w:val="0"/>
        <w:snapToGrid w:val="0"/>
        <w:spacing w:line="288" w:lineRule="auto"/>
        <w:ind w:firstLine="1040"/>
        <w:rPr>
          <w:rFonts w:hint="eastAsia" w:ascii="仿宋_GB2312" w:eastAsia="仿宋_GB2312"/>
          <w:sz w:val="36"/>
          <w:szCs w:val="36"/>
        </w:rPr>
      </w:pPr>
    </w:p>
    <w:bookmarkEnd w:id="1"/>
    <w:p>
      <w:pPr>
        <w:adjustRightInd w:val="0"/>
        <w:snapToGrid w:val="0"/>
        <w:spacing w:line="288" w:lineRule="auto"/>
        <w:jc w:val="center"/>
        <w:rPr>
          <w:rFonts w:hint="eastAsia" w:ascii="楷体_GB2312" w:eastAsia="楷体_GB2312"/>
          <w:sz w:val="36"/>
          <w:szCs w:val="36"/>
        </w:rPr>
      </w:pPr>
      <w:r>
        <w:rPr>
          <w:rFonts w:hint="eastAsia" w:ascii="楷体_GB2312" w:eastAsia="楷体_GB2312"/>
          <w:sz w:val="36"/>
          <w:szCs w:val="36"/>
        </w:rPr>
        <w:t>中华人民共和国生态环境部制</w:t>
      </w:r>
    </w:p>
    <w:p>
      <w:pPr>
        <w:adjustRightInd w:val="0"/>
        <w:snapToGrid w:val="0"/>
        <w:spacing w:line="288" w:lineRule="auto"/>
        <w:ind w:firstLine="1040"/>
        <w:rPr>
          <w:rFonts w:ascii="仿宋_GB2312" w:eastAsia="仿宋_GB2312"/>
          <w:sz w:val="36"/>
          <w:szCs w:val="36"/>
        </w:rPr>
      </w:pPr>
    </w:p>
    <w:p>
      <w:pPr>
        <w:pStyle w:val="27"/>
        <w:rPr>
          <w:rFonts w:ascii="仿宋_GB2312" w:eastAsia="仿宋_GB2312"/>
          <w:sz w:val="36"/>
          <w:szCs w:val="36"/>
        </w:rPr>
        <w:sectPr>
          <w:headerReference r:id="rId5" w:type="default"/>
          <w:footerReference r:id="rId6" w:type="default"/>
          <w:footerReference r:id="rId7" w:type="even"/>
          <w:pgSz w:w="11906" w:h="16838"/>
          <w:pgMar w:top="1701" w:right="1531" w:bottom="1701" w:left="1531" w:header="851" w:footer="1077" w:gutter="0"/>
          <w:pgNumType w:fmt="decimal" w:start="1"/>
          <w:cols w:space="720" w:num="1"/>
          <w:docGrid w:linePitch="312" w:charSpace="0"/>
        </w:sectPr>
      </w:pPr>
    </w:p>
    <w:p>
      <w:pPr>
        <w:bidi w:val="0"/>
        <w:rPr>
          <w:rFonts w:hint="eastAsia" w:eastAsia="宋体"/>
          <w:lang w:eastAsia="zh-CN"/>
        </w:rPr>
        <w:sectPr>
          <w:pgSz w:w="11906" w:h="16838"/>
          <w:pgMar w:top="1701" w:right="1531" w:bottom="1701" w:left="1531" w:header="851" w:footer="1077" w:gutter="0"/>
          <w:pgNumType w:fmt="decimal" w:start="1"/>
          <w:cols w:space="720" w:num="1"/>
          <w:docGrid w:linePitch="312" w:charSpace="0"/>
        </w:sectPr>
      </w:pPr>
      <w:r>
        <w:rPr>
          <w:rFonts w:hint="eastAsia" w:eastAsia="宋体"/>
          <w:lang w:eastAsia="zh-CN"/>
        </w:rPr>
        <w:drawing>
          <wp:inline distT="0" distB="0" distL="114300" distR="114300">
            <wp:extent cx="5615305" cy="7935595"/>
            <wp:effectExtent l="0" t="0" r="4445" b="8255"/>
            <wp:docPr id="27" name="图片 27" descr="衡阳汐甄新能源集团有限公司南山加油站建设项目(1)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衡阳汐甄新能源集团有限公司南山加油站建设项目(1)_00"/>
                    <pic:cNvPicPr>
                      <a:picLocks noChangeAspect="1"/>
                    </pic:cNvPicPr>
                  </pic:nvPicPr>
                  <pic:blipFill>
                    <a:blip r:embed="rId10"/>
                    <a:stretch>
                      <a:fillRect/>
                    </a:stretch>
                  </pic:blipFill>
                  <pic:spPr>
                    <a:xfrm>
                      <a:off x="0" y="0"/>
                      <a:ext cx="5615305" cy="7935595"/>
                    </a:xfrm>
                    <a:prstGeom prst="rect">
                      <a:avLst/>
                    </a:prstGeom>
                  </pic:spPr>
                </pic:pic>
              </a:graphicData>
            </a:graphic>
          </wp:inline>
        </w:drawing>
      </w:r>
      <w:r>
        <w:rPr>
          <w:rFonts w:hint="eastAsia" w:eastAsia="宋体"/>
          <w:lang w:eastAsia="zh-CN"/>
        </w:rPr>
        <w:drawing>
          <wp:inline distT="0" distB="0" distL="114300" distR="114300">
            <wp:extent cx="5615305" cy="7935595"/>
            <wp:effectExtent l="0" t="0" r="4445" b="8255"/>
            <wp:docPr id="42" name="图片 42" descr="衡阳汐甄新能源集团有限公司南山加油站建设项目(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衡阳汐甄新能源集团有限公司南山加油站建设项目(1)_01"/>
                    <pic:cNvPicPr>
                      <a:picLocks noChangeAspect="1"/>
                    </pic:cNvPicPr>
                  </pic:nvPicPr>
                  <pic:blipFill>
                    <a:blip r:embed="rId11"/>
                    <a:stretch>
                      <a:fillRect/>
                    </a:stretch>
                  </pic:blipFill>
                  <pic:spPr>
                    <a:xfrm>
                      <a:off x="0" y="0"/>
                      <a:ext cx="5615305" cy="7935595"/>
                    </a:xfrm>
                    <a:prstGeom prst="rect">
                      <a:avLst/>
                    </a:prstGeom>
                  </pic:spPr>
                </pic:pic>
              </a:graphicData>
            </a:graphic>
          </wp:inline>
        </w:drawing>
      </w:r>
      <w:r>
        <w:rPr>
          <w:rFonts w:hint="eastAsia" w:eastAsia="宋体"/>
          <w:lang w:eastAsia="zh-CN"/>
        </w:rPr>
        <w:drawing>
          <wp:inline distT="0" distB="0" distL="114300" distR="114300">
            <wp:extent cx="5615305" cy="7935595"/>
            <wp:effectExtent l="0" t="0" r="4445" b="8255"/>
            <wp:docPr id="65" name="图片 65" descr="衡阳汐甄新能源集团有限公司南山加油站建设项目(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衡阳汐甄新能源集团有限公司南山加油站建设项目(1)_02"/>
                    <pic:cNvPicPr>
                      <a:picLocks noChangeAspect="1"/>
                    </pic:cNvPicPr>
                  </pic:nvPicPr>
                  <pic:blipFill>
                    <a:blip r:embed="rId12"/>
                    <a:stretch>
                      <a:fillRect/>
                    </a:stretch>
                  </pic:blipFill>
                  <pic:spPr>
                    <a:xfrm>
                      <a:off x="0" y="0"/>
                      <a:ext cx="5615305" cy="7935595"/>
                    </a:xfrm>
                    <a:prstGeom prst="rect">
                      <a:avLst/>
                    </a:prstGeom>
                  </pic:spPr>
                </pic:pic>
              </a:graphicData>
            </a:graphic>
          </wp:inline>
        </w:drawing>
      </w:r>
    </w:p>
    <w:p>
      <w:pPr>
        <w:jc w:val="center"/>
        <w:rPr>
          <w:rFonts w:hint="eastAsia"/>
          <w:b/>
          <w:bCs/>
          <w:sz w:val="32"/>
          <w:szCs w:val="32"/>
          <w:lang w:eastAsia="zh-CN"/>
        </w:rPr>
      </w:pPr>
      <w:r>
        <w:rPr>
          <w:rFonts w:hint="eastAsia"/>
          <w:b/>
          <w:bCs/>
          <w:sz w:val="32"/>
          <w:szCs w:val="32"/>
          <w:lang w:eastAsia="zh-CN"/>
        </w:rPr>
        <w:t>目录</w:t>
      </w:r>
    </w:p>
    <w:p>
      <w:pPr>
        <w:pStyle w:val="24"/>
        <w:tabs>
          <w:tab w:val="right" w:leader="dot" w:pos="8844"/>
        </w:tabs>
        <w:rPr>
          <w:rFonts w:hint="eastAsia"/>
        </w:rPr>
      </w:pPr>
      <w:r>
        <w:rPr>
          <w:rFonts w:hint="eastAsia"/>
          <w:lang w:eastAsia="zh-CN"/>
        </w:rPr>
        <w:fldChar w:fldCharType="begin"/>
      </w:r>
      <w:r>
        <w:rPr>
          <w:rFonts w:hint="eastAsia"/>
          <w:lang w:eastAsia="zh-CN"/>
        </w:rPr>
        <w:instrText xml:space="preserve">TOC \o "1-3" \h \u </w:instrText>
      </w:r>
      <w:r>
        <w:rPr>
          <w:rFonts w:hint="eastAsia"/>
          <w:lang w:eastAsia="zh-CN"/>
        </w:rPr>
        <w:fldChar w:fldCharType="separate"/>
      </w:r>
      <w:r>
        <w:rPr>
          <w:rFonts w:hint="eastAsia"/>
          <w:lang w:eastAsia="zh-CN"/>
        </w:rPr>
        <w:fldChar w:fldCharType="begin"/>
      </w:r>
      <w:r>
        <w:rPr>
          <w:rFonts w:hint="eastAsia"/>
          <w:lang w:eastAsia="zh-CN"/>
        </w:rPr>
        <w:instrText xml:space="preserve"> HYPERLINK \l _Toc2948 </w:instrText>
      </w:r>
      <w:r>
        <w:rPr>
          <w:rFonts w:hint="eastAsia"/>
          <w:lang w:eastAsia="zh-CN"/>
        </w:rPr>
        <w:fldChar w:fldCharType="separate"/>
      </w:r>
      <w:r>
        <w:rPr>
          <w:rFonts w:hint="eastAsia"/>
        </w:rPr>
        <w:t>一、建设项目基本情况</w:t>
      </w:r>
      <w:r>
        <w:rPr>
          <w:rFonts w:hint="eastAsia"/>
        </w:rPr>
        <w:tab/>
      </w:r>
      <w:r>
        <w:rPr>
          <w:rFonts w:hint="eastAsia"/>
        </w:rPr>
        <w:fldChar w:fldCharType="begin"/>
      </w:r>
      <w:r>
        <w:rPr>
          <w:rFonts w:hint="eastAsia"/>
        </w:rPr>
        <w:instrText xml:space="preserve"> PAGEREF _Toc2948 \h </w:instrText>
      </w:r>
      <w:r>
        <w:rPr>
          <w:rFonts w:hint="eastAsia"/>
        </w:rPr>
        <w:fldChar w:fldCharType="separate"/>
      </w:r>
      <w:r>
        <w:rPr>
          <w:rFonts w:hint="eastAsia"/>
        </w:rPr>
        <w:t>1</w:t>
      </w:r>
      <w:r>
        <w:rPr>
          <w:rFonts w:hint="eastAsia"/>
        </w:rPr>
        <w:fldChar w:fldCharType="end"/>
      </w:r>
      <w:r>
        <w:rPr>
          <w:rFonts w:hint="eastAsia"/>
          <w:lang w:eastAsia="zh-CN"/>
        </w:rPr>
        <w:fldChar w:fldCharType="end"/>
      </w:r>
    </w:p>
    <w:p>
      <w:pPr>
        <w:pStyle w:val="24"/>
        <w:tabs>
          <w:tab w:val="right" w:leader="dot" w:pos="8844"/>
        </w:tabs>
        <w:rPr>
          <w:rFonts w:hint="eastAsia"/>
        </w:rPr>
      </w:pPr>
      <w:r>
        <w:rPr>
          <w:rFonts w:hint="eastAsia"/>
          <w:lang w:eastAsia="zh-CN"/>
        </w:rPr>
        <w:fldChar w:fldCharType="begin"/>
      </w:r>
      <w:r>
        <w:rPr>
          <w:rFonts w:hint="eastAsia"/>
          <w:lang w:eastAsia="zh-CN"/>
        </w:rPr>
        <w:instrText xml:space="preserve"> HYPERLINK \l _Toc2751 </w:instrText>
      </w:r>
      <w:r>
        <w:rPr>
          <w:rFonts w:hint="eastAsia"/>
          <w:lang w:eastAsia="zh-CN"/>
        </w:rPr>
        <w:fldChar w:fldCharType="separate"/>
      </w:r>
      <w:r>
        <w:rPr>
          <w:rFonts w:hint="eastAsia"/>
        </w:rPr>
        <w:t>二、建设项目工程分析</w:t>
      </w:r>
      <w:r>
        <w:rPr>
          <w:rFonts w:hint="eastAsia"/>
        </w:rPr>
        <w:tab/>
      </w:r>
      <w:r>
        <w:rPr>
          <w:rFonts w:hint="eastAsia"/>
        </w:rPr>
        <w:fldChar w:fldCharType="begin"/>
      </w:r>
      <w:r>
        <w:rPr>
          <w:rFonts w:hint="eastAsia"/>
        </w:rPr>
        <w:instrText xml:space="preserve"> PAGEREF _Toc2751 \h </w:instrText>
      </w:r>
      <w:r>
        <w:rPr>
          <w:rFonts w:hint="eastAsia"/>
        </w:rPr>
        <w:fldChar w:fldCharType="separate"/>
      </w:r>
      <w:r>
        <w:rPr>
          <w:rFonts w:hint="eastAsia"/>
        </w:rPr>
        <w:t>11</w:t>
      </w:r>
      <w:r>
        <w:rPr>
          <w:rFonts w:hint="eastAsia"/>
        </w:rPr>
        <w:fldChar w:fldCharType="end"/>
      </w:r>
      <w:r>
        <w:rPr>
          <w:rFonts w:hint="eastAsia"/>
          <w:lang w:eastAsia="zh-CN"/>
        </w:rPr>
        <w:fldChar w:fldCharType="end"/>
      </w:r>
    </w:p>
    <w:p>
      <w:pPr>
        <w:pStyle w:val="24"/>
        <w:tabs>
          <w:tab w:val="right" w:leader="dot" w:pos="8844"/>
        </w:tabs>
        <w:rPr>
          <w:rFonts w:hint="eastAsia"/>
        </w:rPr>
      </w:pPr>
      <w:r>
        <w:rPr>
          <w:rFonts w:hint="eastAsia"/>
          <w:lang w:eastAsia="zh-CN"/>
        </w:rPr>
        <w:fldChar w:fldCharType="begin"/>
      </w:r>
      <w:r>
        <w:rPr>
          <w:rFonts w:hint="eastAsia"/>
          <w:lang w:eastAsia="zh-CN"/>
        </w:rPr>
        <w:instrText xml:space="preserve"> HYPERLINK \l _Toc3805 </w:instrText>
      </w:r>
      <w:r>
        <w:rPr>
          <w:rFonts w:hint="eastAsia"/>
          <w:lang w:eastAsia="zh-CN"/>
        </w:rPr>
        <w:fldChar w:fldCharType="separate"/>
      </w:r>
      <w:r>
        <w:rPr>
          <w:rFonts w:hint="eastAsia"/>
        </w:rPr>
        <w:t>三、区域环境质量现状、环境保护目标及评价标准</w:t>
      </w:r>
      <w:r>
        <w:rPr>
          <w:rFonts w:hint="eastAsia"/>
        </w:rPr>
        <w:tab/>
      </w:r>
      <w:r>
        <w:rPr>
          <w:rFonts w:hint="eastAsia"/>
        </w:rPr>
        <w:fldChar w:fldCharType="begin"/>
      </w:r>
      <w:r>
        <w:rPr>
          <w:rFonts w:hint="eastAsia"/>
        </w:rPr>
        <w:instrText xml:space="preserve"> PAGEREF _Toc3805 \h </w:instrText>
      </w:r>
      <w:r>
        <w:rPr>
          <w:rFonts w:hint="eastAsia"/>
        </w:rPr>
        <w:fldChar w:fldCharType="separate"/>
      </w:r>
      <w:r>
        <w:rPr>
          <w:rFonts w:hint="eastAsia"/>
        </w:rPr>
        <w:t>22</w:t>
      </w:r>
      <w:r>
        <w:rPr>
          <w:rFonts w:hint="eastAsia"/>
        </w:rPr>
        <w:fldChar w:fldCharType="end"/>
      </w:r>
      <w:r>
        <w:rPr>
          <w:rFonts w:hint="eastAsia"/>
          <w:lang w:eastAsia="zh-CN"/>
        </w:rPr>
        <w:fldChar w:fldCharType="end"/>
      </w:r>
    </w:p>
    <w:p>
      <w:pPr>
        <w:pStyle w:val="24"/>
        <w:tabs>
          <w:tab w:val="right" w:leader="dot" w:pos="8844"/>
        </w:tabs>
        <w:rPr>
          <w:rFonts w:hint="eastAsia"/>
        </w:rPr>
      </w:pPr>
      <w:r>
        <w:rPr>
          <w:rFonts w:hint="eastAsia"/>
          <w:lang w:eastAsia="zh-CN"/>
        </w:rPr>
        <w:fldChar w:fldCharType="begin"/>
      </w:r>
      <w:r>
        <w:rPr>
          <w:rFonts w:hint="eastAsia"/>
          <w:lang w:eastAsia="zh-CN"/>
        </w:rPr>
        <w:instrText xml:space="preserve"> HYPERLINK \l _Toc18306 </w:instrText>
      </w:r>
      <w:r>
        <w:rPr>
          <w:rFonts w:hint="eastAsia"/>
          <w:lang w:eastAsia="zh-CN"/>
        </w:rPr>
        <w:fldChar w:fldCharType="separate"/>
      </w:r>
      <w:r>
        <w:rPr>
          <w:rFonts w:hint="eastAsia"/>
        </w:rPr>
        <w:t>四、主要环境影响和保护措施</w:t>
      </w:r>
      <w:r>
        <w:rPr>
          <w:rFonts w:hint="eastAsia"/>
        </w:rPr>
        <w:tab/>
      </w:r>
      <w:r>
        <w:rPr>
          <w:rFonts w:hint="eastAsia"/>
        </w:rPr>
        <w:fldChar w:fldCharType="begin"/>
      </w:r>
      <w:r>
        <w:rPr>
          <w:rFonts w:hint="eastAsia"/>
        </w:rPr>
        <w:instrText xml:space="preserve"> PAGEREF _Toc18306 \h </w:instrText>
      </w:r>
      <w:r>
        <w:rPr>
          <w:rFonts w:hint="eastAsia"/>
        </w:rPr>
        <w:fldChar w:fldCharType="separate"/>
      </w:r>
      <w:r>
        <w:rPr>
          <w:rFonts w:hint="eastAsia"/>
        </w:rPr>
        <w:t>27</w:t>
      </w:r>
      <w:r>
        <w:rPr>
          <w:rFonts w:hint="eastAsia"/>
        </w:rPr>
        <w:fldChar w:fldCharType="end"/>
      </w:r>
      <w:r>
        <w:rPr>
          <w:rFonts w:hint="eastAsia"/>
          <w:lang w:eastAsia="zh-CN"/>
        </w:rPr>
        <w:fldChar w:fldCharType="end"/>
      </w:r>
    </w:p>
    <w:p>
      <w:pPr>
        <w:pStyle w:val="24"/>
        <w:tabs>
          <w:tab w:val="right" w:leader="dot" w:pos="8844"/>
        </w:tabs>
        <w:rPr>
          <w:rFonts w:hint="eastAsia"/>
        </w:rPr>
      </w:pPr>
      <w:r>
        <w:rPr>
          <w:rFonts w:hint="eastAsia"/>
          <w:lang w:eastAsia="zh-CN"/>
        </w:rPr>
        <w:fldChar w:fldCharType="begin"/>
      </w:r>
      <w:r>
        <w:rPr>
          <w:rFonts w:hint="eastAsia"/>
          <w:lang w:eastAsia="zh-CN"/>
        </w:rPr>
        <w:instrText xml:space="preserve"> HYPERLINK \l _Toc12099 </w:instrText>
      </w:r>
      <w:r>
        <w:rPr>
          <w:rFonts w:hint="eastAsia"/>
          <w:lang w:eastAsia="zh-CN"/>
        </w:rPr>
        <w:fldChar w:fldCharType="separate"/>
      </w:r>
      <w:r>
        <w:rPr>
          <w:rFonts w:hint="eastAsia"/>
        </w:rPr>
        <w:t>五、 环境保护措施监督检查清单</w:t>
      </w:r>
      <w:r>
        <w:rPr>
          <w:rFonts w:hint="eastAsia"/>
        </w:rPr>
        <w:tab/>
      </w:r>
      <w:r>
        <w:rPr>
          <w:rFonts w:hint="eastAsia"/>
        </w:rPr>
        <w:fldChar w:fldCharType="begin"/>
      </w:r>
      <w:r>
        <w:rPr>
          <w:rFonts w:hint="eastAsia"/>
        </w:rPr>
        <w:instrText xml:space="preserve"> PAGEREF _Toc12099 \h </w:instrText>
      </w:r>
      <w:r>
        <w:rPr>
          <w:rFonts w:hint="eastAsia"/>
        </w:rPr>
        <w:fldChar w:fldCharType="separate"/>
      </w:r>
      <w:r>
        <w:rPr>
          <w:rFonts w:hint="eastAsia"/>
        </w:rPr>
        <w:t>59</w:t>
      </w:r>
      <w:r>
        <w:rPr>
          <w:rFonts w:hint="eastAsia"/>
        </w:rPr>
        <w:fldChar w:fldCharType="end"/>
      </w:r>
      <w:r>
        <w:rPr>
          <w:rFonts w:hint="eastAsia"/>
          <w:lang w:eastAsia="zh-CN"/>
        </w:rPr>
        <w:fldChar w:fldCharType="end"/>
      </w:r>
    </w:p>
    <w:p>
      <w:pPr>
        <w:pStyle w:val="24"/>
        <w:tabs>
          <w:tab w:val="right" w:leader="dot" w:pos="8844"/>
        </w:tabs>
      </w:pPr>
      <w:r>
        <w:rPr>
          <w:rFonts w:hint="eastAsia"/>
          <w:lang w:eastAsia="zh-CN"/>
        </w:rPr>
        <w:fldChar w:fldCharType="begin"/>
      </w:r>
      <w:r>
        <w:rPr>
          <w:rFonts w:hint="eastAsia"/>
          <w:lang w:eastAsia="zh-CN"/>
        </w:rPr>
        <w:instrText xml:space="preserve"> HYPERLINK \l _Toc24805 </w:instrText>
      </w:r>
      <w:r>
        <w:rPr>
          <w:rFonts w:hint="eastAsia"/>
          <w:lang w:eastAsia="zh-CN"/>
        </w:rPr>
        <w:fldChar w:fldCharType="separate"/>
      </w:r>
      <w:r>
        <w:rPr>
          <w:rFonts w:hint="eastAsia"/>
        </w:rPr>
        <w:t>六、结论</w:t>
      </w:r>
      <w:r>
        <w:rPr>
          <w:rFonts w:hint="eastAsia"/>
        </w:rPr>
        <w:tab/>
      </w:r>
      <w:r>
        <w:rPr>
          <w:rFonts w:hint="eastAsia"/>
        </w:rPr>
        <w:fldChar w:fldCharType="begin"/>
      </w:r>
      <w:r>
        <w:rPr>
          <w:rFonts w:hint="eastAsia"/>
        </w:rPr>
        <w:instrText xml:space="preserve"> PAGEREF _Toc24805 \h </w:instrText>
      </w:r>
      <w:r>
        <w:rPr>
          <w:rFonts w:hint="eastAsia"/>
        </w:rPr>
        <w:fldChar w:fldCharType="separate"/>
      </w:r>
      <w:r>
        <w:rPr>
          <w:rFonts w:hint="eastAsia"/>
        </w:rPr>
        <w:t>62</w:t>
      </w:r>
      <w:r>
        <w:rPr>
          <w:rFonts w:hint="eastAsia"/>
        </w:rPr>
        <w:fldChar w:fldCharType="end"/>
      </w:r>
      <w:r>
        <w:rPr>
          <w:rFonts w:hint="eastAsia"/>
          <w:lang w:eastAsia="zh-CN"/>
        </w:rPr>
        <w:fldChar w:fldCharType="end"/>
      </w:r>
    </w:p>
    <w:p>
      <w:pPr>
        <w:pStyle w:val="24"/>
        <w:tabs>
          <w:tab w:val="right" w:leader="dot" w:pos="8844"/>
        </w:tabs>
      </w:pPr>
      <w:r>
        <w:rPr>
          <w:rFonts w:hint="eastAsia"/>
          <w:lang w:eastAsia="zh-CN"/>
        </w:rPr>
        <w:fldChar w:fldCharType="begin"/>
      </w:r>
      <w:r>
        <w:rPr>
          <w:rFonts w:hint="eastAsia"/>
          <w:lang w:eastAsia="zh-CN"/>
        </w:rPr>
        <w:instrText xml:space="preserve"> HYPERLINK \l _Toc30594 </w:instrText>
      </w:r>
      <w:r>
        <w:rPr>
          <w:rFonts w:hint="eastAsia"/>
          <w:lang w:eastAsia="zh-CN"/>
        </w:rPr>
        <w:fldChar w:fldCharType="separate"/>
      </w:r>
      <w:r>
        <w:rPr>
          <w:rFonts w:hint="eastAsia"/>
        </w:rPr>
        <w:t>附表</w:t>
      </w:r>
      <w:r>
        <w:tab/>
      </w:r>
      <w:r>
        <w:fldChar w:fldCharType="begin"/>
      </w:r>
      <w:r>
        <w:instrText xml:space="preserve"> PAGEREF _Toc30594 \h </w:instrText>
      </w:r>
      <w:r>
        <w:fldChar w:fldCharType="separate"/>
      </w:r>
      <w:r>
        <w:t>63</w:t>
      </w:r>
      <w:r>
        <w:fldChar w:fldCharType="end"/>
      </w:r>
      <w:r>
        <w:rPr>
          <w:rFonts w:hint="eastAsia"/>
          <w:lang w:eastAsia="zh-CN"/>
        </w:rPr>
        <w:fldChar w:fldCharType="end"/>
      </w:r>
    </w:p>
    <w:p>
      <w:pPr>
        <w:pStyle w:val="27"/>
        <w:tabs>
          <w:tab w:val="right" w:leader="dot" w:pos="8844"/>
        </w:tabs>
      </w:pPr>
      <w:r>
        <w:rPr>
          <w:rFonts w:hint="eastAsia"/>
          <w:lang w:eastAsia="zh-CN"/>
        </w:rPr>
        <w:fldChar w:fldCharType="begin"/>
      </w:r>
      <w:r>
        <w:rPr>
          <w:rFonts w:hint="eastAsia"/>
          <w:lang w:eastAsia="zh-CN"/>
        </w:rPr>
        <w:instrText xml:space="preserve"> HYPERLINK \l _Toc16013 </w:instrText>
      </w:r>
      <w:r>
        <w:rPr>
          <w:rFonts w:hint="eastAsia"/>
          <w:lang w:eastAsia="zh-CN"/>
        </w:rPr>
        <w:fldChar w:fldCharType="separate"/>
      </w:r>
      <w:r>
        <w:rPr>
          <w:rFonts w:hint="eastAsia"/>
        </w:rPr>
        <w:t>建设项目污染物排放量汇总表</w:t>
      </w:r>
      <w:r>
        <w:tab/>
      </w:r>
      <w:r>
        <w:fldChar w:fldCharType="begin"/>
      </w:r>
      <w:r>
        <w:instrText xml:space="preserve"> PAGEREF _Toc16013 \h </w:instrText>
      </w:r>
      <w:r>
        <w:fldChar w:fldCharType="separate"/>
      </w:r>
      <w:r>
        <w:t>63</w:t>
      </w:r>
      <w:r>
        <w:fldChar w:fldCharType="end"/>
      </w:r>
      <w:r>
        <w:rPr>
          <w:rFonts w:hint="eastAsia"/>
          <w:lang w:eastAsia="zh-CN"/>
        </w:rPr>
        <w:fldChar w:fldCharType="end"/>
      </w:r>
    </w:p>
    <w:p>
      <w:pPr>
        <w:pStyle w:val="24"/>
        <w:tabs>
          <w:tab w:val="right" w:leader="dot" w:pos="8844"/>
        </w:tabs>
      </w:pPr>
      <w:r>
        <w:rPr>
          <w:rFonts w:hint="eastAsia"/>
          <w:lang w:eastAsia="zh-CN"/>
        </w:rPr>
        <w:fldChar w:fldCharType="begin"/>
      </w:r>
      <w:r>
        <w:rPr>
          <w:rFonts w:hint="eastAsia"/>
          <w:lang w:eastAsia="zh-CN"/>
        </w:rPr>
        <w:instrText xml:space="preserve"> HYPERLINK \l _Toc24694 </w:instrText>
      </w:r>
      <w:r>
        <w:rPr>
          <w:rFonts w:hint="eastAsia"/>
          <w:lang w:eastAsia="zh-CN"/>
        </w:rPr>
        <w:fldChar w:fldCharType="separate"/>
      </w:r>
      <w:r>
        <w:rPr>
          <w:rFonts w:hint="eastAsia"/>
          <w:lang w:val="en-US" w:eastAsia="zh-CN"/>
        </w:rPr>
        <w:t>附件</w:t>
      </w:r>
      <w:r>
        <w:tab/>
      </w:r>
      <w:r>
        <w:fldChar w:fldCharType="begin"/>
      </w:r>
      <w:r>
        <w:instrText xml:space="preserve"> PAGEREF _Toc24694 \h </w:instrText>
      </w:r>
      <w:r>
        <w:fldChar w:fldCharType="separate"/>
      </w:r>
      <w:r>
        <w:t>64</w:t>
      </w:r>
      <w:r>
        <w:fldChar w:fldCharType="end"/>
      </w:r>
      <w:r>
        <w:rPr>
          <w:rFonts w:hint="eastAsia"/>
          <w:lang w:eastAsia="zh-CN"/>
        </w:rPr>
        <w:fldChar w:fldCharType="end"/>
      </w:r>
    </w:p>
    <w:p>
      <w:pPr>
        <w:pStyle w:val="27"/>
        <w:tabs>
          <w:tab w:val="right" w:leader="dot" w:pos="8844"/>
        </w:tabs>
      </w:pPr>
      <w:r>
        <w:rPr>
          <w:rFonts w:hint="eastAsia"/>
          <w:lang w:eastAsia="zh-CN"/>
        </w:rPr>
        <w:fldChar w:fldCharType="begin"/>
      </w:r>
      <w:r>
        <w:rPr>
          <w:rFonts w:hint="eastAsia"/>
          <w:lang w:eastAsia="zh-CN"/>
        </w:rPr>
        <w:instrText xml:space="preserve"> HYPERLINK \l _Toc3727 </w:instrText>
      </w:r>
      <w:r>
        <w:rPr>
          <w:rFonts w:hint="eastAsia"/>
          <w:lang w:eastAsia="zh-CN"/>
        </w:rPr>
        <w:fldChar w:fldCharType="separate"/>
      </w:r>
      <w:r>
        <w:t>附件</w:t>
      </w:r>
      <w:r>
        <w:rPr>
          <w:rFonts w:hint="eastAsia"/>
          <w:lang w:val="en-US" w:eastAsia="zh-CN"/>
        </w:rPr>
        <w:t>1</w:t>
      </w:r>
      <w:r>
        <w:t>项目委托书</w:t>
      </w:r>
      <w:r>
        <w:tab/>
      </w:r>
      <w:r>
        <w:fldChar w:fldCharType="begin"/>
      </w:r>
      <w:r>
        <w:instrText xml:space="preserve"> PAGEREF _Toc3727 \h </w:instrText>
      </w:r>
      <w:r>
        <w:fldChar w:fldCharType="separate"/>
      </w:r>
      <w:r>
        <w:t>64</w:t>
      </w:r>
      <w:r>
        <w:fldChar w:fldCharType="end"/>
      </w:r>
      <w:r>
        <w:rPr>
          <w:rFonts w:hint="eastAsia"/>
          <w:lang w:eastAsia="zh-CN"/>
        </w:rPr>
        <w:fldChar w:fldCharType="end"/>
      </w:r>
    </w:p>
    <w:p>
      <w:pPr>
        <w:pStyle w:val="27"/>
        <w:tabs>
          <w:tab w:val="right" w:leader="dot" w:pos="8844"/>
        </w:tabs>
      </w:pPr>
      <w:r>
        <w:rPr>
          <w:rFonts w:hint="eastAsia"/>
          <w:lang w:eastAsia="zh-CN"/>
        </w:rPr>
        <w:fldChar w:fldCharType="begin"/>
      </w:r>
      <w:r>
        <w:rPr>
          <w:rFonts w:hint="eastAsia"/>
          <w:lang w:eastAsia="zh-CN"/>
        </w:rPr>
        <w:instrText xml:space="preserve"> HYPERLINK \l _Toc7674 </w:instrText>
      </w:r>
      <w:r>
        <w:rPr>
          <w:rFonts w:hint="eastAsia"/>
          <w:lang w:eastAsia="zh-CN"/>
        </w:rPr>
        <w:fldChar w:fldCharType="separate"/>
      </w:r>
      <w:r>
        <w:t>附件</w:t>
      </w:r>
      <w:r>
        <w:rPr>
          <w:rFonts w:hint="eastAsia"/>
          <w:lang w:val="en-US" w:eastAsia="zh-CN"/>
        </w:rPr>
        <w:t>2</w:t>
      </w:r>
      <w:r>
        <w:rPr>
          <w:rFonts w:hint="eastAsia"/>
          <w:lang w:eastAsia="zh-CN"/>
        </w:rPr>
        <w:t>建设单位营业执照</w:t>
      </w:r>
      <w:r>
        <w:tab/>
      </w:r>
      <w:r>
        <w:fldChar w:fldCharType="begin"/>
      </w:r>
      <w:r>
        <w:instrText xml:space="preserve"> PAGEREF _Toc7674 \h </w:instrText>
      </w:r>
      <w:r>
        <w:fldChar w:fldCharType="separate"/>
      </w:r>
      <w:r>
        <w:t>65</w:t>
      </w:r>
      <w:r>
        <w:fldChar w:fldCharType="end"/>
      </w:r>
      <w:r>
        <w:rPr>
          <w:rFonts w:hint="eastAsia"/>
          <w:lang w:eastAsia="zh-CN"/>
        </w:rPr>
        <w:fldChar w:fldCharType="end"/>
      </w:r>
    </w:p>
    <w:p>
      <w:pPr>
        <w:pStyle w:val="27"/>
        <w:tabs>
          <w:tab w:val="right" w:leader="dot" w:pos="8844"/>
        </w:tabs>
      </w:pPr>
      <w:r>
        <w:rPr>
          <w:rFonts w:hint="eastAsia"/>
          <w:lang w:eastAsia="zh-CN"/>
        </w:rPr>
        <w:fldChar w:fldCharType="begin"/>
      </w:r>
      <w:r>
        <w:rPr>
          <w:rFonts w:hint="eastAsia"/>
          <w:lang w:eastAsia="zh-CN"/>
        </w:rPr>
        <w:instrText xml:space="preserve"> HYPERLINK \l _Toc25353 </w:instrText>
      </w:r>
      <w:r>
        <w:rPr>
          <w:rFonts w:hint="eastAsia"/>
          <w:lang w:eastAsia="zh-CN"/>
        </w:rPr>
        <w:fldChar w:fldCharType="separate"/>
      </w:r>
      <w:r>
        <w:rPr>
          <w:rFonts w:hint="eastAsia"/>
          <w:lang w:eastAsia="zh-CN"/>
        </w:rPr>
        <w:t>附件</w:t>
      </w:r>
      <w:r>
        <w:rPr>
          <w:rFonts w:hint="eastAsia"/>
          <w:lang w:val="en-US" w:eastAsia="zh-CN"/>
        </w:rPr>
        <w:t>3建设工程规划许可证</w:t>
      </w:r>
      <w:r>
        <w:tab/>
      </w:r>
      <w:r>
        <w:fldChar w:fldCharType="begin"/>
      </w:r>
      <w:r>
        <w:instrText xml:space="preserve"> PAGEREF _Toc25353 \h </w:instrText>
      </w:r>
      <w:r>
        <w:fldChar w:fldCharType="separate"/>
      </w:r>
      <w:r>
        <w:t>66</w:t>
      </w:r>
      <w:r>
        <w:fldChar w:fldCharType="end"/>
      </w:r>
      <w:r>
        <w:rPr>
          <w:rFonts w:hint="eastAsia"/>
          <w:lang w:eastAsia="zh-CN"/>
        </w:rPr>
        <w:fldChar w:fldCharType="end"/>
      </w:r>
    </w:p>
    <w:p>
      <w:pPr>
        <w:pStyle w:val="27"/>
        <w:tabs>
          <w:tab w:val="right" w:leader="dot" w:pos="8844"/>
        </w:tabs>
      </w:pPr>
      <w:r>
        <w:rPr>
          <w:rFonts w:hint="eastAsia"/>
          <w:lang w:eastAsia="zh-CN"/>
        </w:rPr>
        <w:fldChar w:fldCharType="begin"/>
      </w:r>
      <w:r>
        <w:rPr>
          <w:rFonts w:hint="eastAsia"/>
          <w:lang w:eastAsia="zh-CN"/>
        </w:rPr>
        <w:instrText xml:space="preserve"> HYPERLINK \l _Toc14491 </w:instrText>
      </w:r>
      <w:r>
        <w:rPr>
          <w:rFonts w:hint="eastAsia"/>
          <w:lang w:eastAsia="zh-CN"/>
        </w:rPr>
        <w:fldChar w:fldCharType="separate"/>
      </w:r>
      <w:r>
        <w:t>附件</w:t>
      </w:r>
      <w:r>
        <w:rPr>
          <w:rFonts w:hint="eastAsia"/>
          <w:lang w:val="en-US" w:eastAsia="zh-CN"/>
        </w:rPr>
        <w:t>4项目不动产权证</w:t>
      </w:r>
      <w:r>
        <w:tab/>
      </w:r>
      <w:r>
        <w:fldChar w:fldCharType="begin"/>
      </w:r>
      <w:r>
        <w:instrText xml:space="preserve"> PAGEREF _Toc14491 \h </w:instrText>
      </w:r>
      <w:r>
        <w:fldChar w:fldCharType="separate"/>
      </w:r>
      <w:r>
        <w:t>68</w:t>
      </w:r>
      <w:r>
        <w:fldChar w:fldCharType="end"/>
      </w:r>
      <w:r>
        <w:rPr>
          <w:rFonts w:hint="eastAsia"/>
          <w:lang w:eastAsia="zh-CN"/>
        </w:rPr>
        <w:fldChar w:fldCharType="end"/>
      </w:r>
    </w:p>
    <w:p>
      <w:pPr>
        <w:pStyle w:val="27"/>
        <w:tabs>
          <w:tab w:val="right" w:leader="dot" w:pos="8844"/>
        </w:tabs>
      </w:pPr>
      <w:r>
        <w:rPr>
          <w:rFonts w:hint="eastAsia"/>
          <w:lang w:eastAsia="zh-CN"/>
        </w:rPr>
        <w:fldChar w:fldCharType="begin"/>
      </w:r>
      <w:r>
        <w:rPr>
          <w:rFonts w:hint="eastAsia"/>
          <w:lang w:eastAsia="zh-CN"/>
        </w:rPr>
        <w:instrText xml:space="preserve"> HYPERLINK \l _Toc3476 </w:instrText>
      </w:r>
      <w:r>
        <w:rPr>
          <w:rFonts w:hint="eastAsia"/>
          <w:lang w:eastAsia="zh-CN"/>
        </w:rPr>
        <w:fldChar w:fldCharType="separate"/>
      </w:r>
      <w:r>
        <w:rPr>
          <w:rFonts w:hint="eastAsia"/>
          <w:lang w:val="en-US" w:eastAsia="zh-CN"/>
        </w:rPr>
        <w:t>附件5</w:t>
      </w:r>
      <w:r>
        <w:rPr>
          <w:rFonts w:hint="eastAsia"/>
        </w:rPr>
        <w:t>商务粮食部门意见</w:t>
      </w:r>
      <w:r>
        <w:tab/>
      </w:r>
      <w:r>
        <w:fldChar w:fldCharType="begin"/>
      </w:r>
      <w:r>
        <w:instrText xml:space="preserve"> PAGEREF _Toc3476 \h </w:instrText>
      </w:r>
      <w:r>
        <w:fldChar w:fldCharType="separate"/>
      </w:r>
      <w:r>
        <w:t>70</w:t>
      </w:r>
      <w:r>
        <w:fldChar w:fldCharType="end"/>
      </w:r>
      <w:r>
        <w:rPr>
          <w:rFonts w:hint="eastAsia"/>
          <w:lang w:eastAsia="zh-CN"/>
        </w:rPr>
        <w:fldChar w:fldCharType="end"/>
      </w:r>
    </w:p>
    <w:p>
      <w:pPr>
        <w:pStyle w:val="27"/>
        <w:tabs>
          <w:tab w:val="right" w:leader="dot" w:pos="8844"/>
        </w:tabs>
      </w:pPr>
      <w:r>
        <w:rPr>
          <w:rFonts w:hint="eastAsia"/>
          <w:lang w:eastAsia="zh-CN"/>
        </w:rPr>
        <w:fldChar w:fldCharType="begin"/>
      </w:r>
      <w:r>
        <w:rPr>
          <w:rFonts w:hint="eastAsia"/>
          <w:lang w:eastAsia="zh-CN"/>
        </w:rPr>
        <w:instrText xml:space="preserve"> HYPERLINK \l _Toc460 </w:instrText>
      </w:r>
      <w:r>
        <w:rPr>
          <w:rFonts w:hint="eastAsia"/>
          <w:lang w:eastAsia="zh-CN"/>
        </w:rPr>
        <w:fldChar w:fldCharType="separate"/>
      </w:r>
      <w:r>
        <w:rPr>
          <w:rFonts w:hint="eastAsia"/>
          <w:lang w:val="en-US" w:eastAsia="zh-CN"/>
        </w:rPr>
        <w:t>附件6规划条件通知书</w:t>
      </w:r>
      <w:r>
        <w:tab/>
      </w:r>
      <w:r>
        <w:fldChar w:fldCharType="begin"/>
      </w:r>
      <w:r>
        <w:instrText xml:space="preserve"> PAGEREF _Toc460 \h </w:instrText>
      </w:r>
      <w:r>
        <w:fldChar w:fldCharType="separate"/>
      </w:r>
      <w:r>
        <w:t>72</w:t>
      </w:r>
      <w:r>
        <w:fldChar w:fldCharType="end"/>
      </w:r>
      <w:r>
        <w:rPr>
          <w:rFonts w:hint="eastAsia"/>
          <w:lang w:eastAsia="zh-CN"/>
        </w:rPr>
        <w:fldChar w:fldCharType="end"/>
      </w:r>
    </w:p>
    <w:p>
      <w:pPr>
        <w:pStyle w:val="27"/>
        <w:tabs>
          <w:tab w:val="right" w:leader="dot" w:pos="8844"/>
        </w:tabs>
      </w:pPr>
      <w:r>
        <w:rPr>
          <w:rFonts w:hint="eastAsia"/>
          <w:lang w:eastAsia="zh-CN"/>
        </w:rPr>
        <w:fldChar w:fldCharType="begin"/>
      </w:r>
      <w:r>
        <w:rPr>
          <w:rFonts w:hint="eastAsia"/>
          <w:lang w:eastAsia="zh-CN"/>
        </w:rPr>
        <w:instrText xml:space="preserve"> HYPERLINK \l _Toc12078 </w:instrText>
      </w:r>
      <w:r>
        <w:rPr>
          <w:rFonts w:hint="eastAsia"/>
          <w:lang w:eastAsia="zh-CN"/>
        </w:rPr>
        <w:fldChar w:fldCharType="separate"/>
      </w:r>
      <w:r>
        <w:rPr>
          <w:rFonts w:hint="eastAsia"/>
          <w:lang w:val="en-US" w:eastAsia="zh-CN"/>
        </w:rPr>
        <w:t>附件7备案证明</w:t>
      </w:r>
      <w:r>
        <w:tab/>
      </w:r>
      <w:r>
        <w:fldChar w:fldCharType="begin"/>
      </w:r>
      <w:r>
        <w:instrText xml:space="preserve"> PAGEREF _Toc12078 \h </w:instrText>
      </w:r>
      <w:r>
        <w:fldChar w:fldCharType="separate"/>
      </w:r>
      <w:r>
        <w:t>78</w:t>
      </w:r>
      <w:r>
        <w:fldChar w:fldCharType="end"/>
      </w:r>
      <w:r>
        <w:rPr>
          <w:rFonts w:hint="eastAsia"/>
          <w:lang w:eastAsia="zh-CN"/>
        </w:rPr>
        <w:fldChar w:fldCharType="end"/>
      </w:r>
    </w:p>
    <w:p>
      <w:pPr>
        <w:pStyle w:val="27"/>
        <w:tabs>
          <w:tab w:val="right" w:leader="dot" w:pos="8844"/>
        </w:tabs>
      </w:pPr>
      <w:r>
        <w:rPr>
          <w:rFonts w:hint="eastAsia"/>
          <w:lang w:eastAsia="zh-CN"/>
        </w:rPr>
        <w:fldChar w:fldCharType="begin"/>
      </w:r>
      <w:r>
        <w:rPr>
          <w:rFonts w:hint="eastAsia"/>
          <w:lang w:eastAsia="zh-CN"/>
        </w:rPr>
        <w:instrText xml:space="preserve"> HYPERLINK \l _Toc7834 </w:instrText>
      </w:r>
      <w:r>
        <w:rPr>
          <w:rFonts w:hint="eastAsia"/>
          <w:lang w:eastAsia="zh-CN"/>
        </w:rPr>
        <w:fldChar w:fldCharType="separate"/>
      </w:r>
      <w:r>
        <w:t>附件</w:t>
      </w:r>
      <w:r>
        <w:rPr>
          <w:rFonts w:hint="eastAsia"/>
          <w:lang w:val="en-US" w:eastAsia="zh-CN"/>
        </w:rPr>
        <w:t>8监测质保单</w:t>
      </w:r>
      <w:r>
        <w:tab/>
      </w:r>
      <w:r>
        <w:fldChar w:fldCharType="begin"/>
      </w:r>
      <w:r>
        <w:instrText xml:space="preserve"> PAGEREF _Toc7834 \h </w:instrText>
      </w:r>
      <w:r>
        <w:fldChar w:fldCharType="separate"/>
      </w:r>
      <w:r>
        <w:t>79</w:t>
      </w:r>
      <w:r>
        <w:fldChar w:fldCharType="end"/>
      </w:r>
      <w:r>
        <w:rPr>
          <w:rFonts w:hint="eastAsia"/>
          <w:lang w:eastAsia="zh-CN"/>
        </w:rPr>
        <w:fldChar w:fldCharType="end"/>
      </w:r>
    </w:p>
    <w:p>
      <w:pPr>
        <w:pStyle w:val="24"/>
        <w:tabs>
          <w:tab w:val="right" w:leader="dot" w:pos="8844"/>
        </w:tabs>
      </w:pPr>
      <w:r>
        <w:rPr>
          <w:rFonts w:hint="eastAsia"/>
          <w:lang w:eastAsia="zh-CN"/>
        </w:rPr>
        <w:fldChar w:fldCharType="begin"/>
      </w:r>
      <w:r>
        <w:rPr>
          <w:rFonts w:hint="eastAsia"/>
          <w:lang w:eastAsia="zh-CN"/>
        </w:rPr>
        <w:instrText xml:space="preserve"> HYPERLINK \l _Toc26766 </w:instrText>
      </w:r>
      <w:r>
        <w:rPr>
          <w:rFonts w:hint="eastAsia"/>
          <w:lang w:eastAsia="zh-CN"/>
        </w:rPr>
        <w:fldChar w:fldCharType="separate"/>
      </w:r>
      <w:r>
        <w:rPr>
          <w:rFonts w:hint="eastAsia"/>
          <w:lang w:val="en-US" w:eastAsia="zh-CN"/>
        </w:rPr>
        <w:t>附图</w:t>
      </w:r>
      <w:r>
        <w:tab/>
      </w:r>
      <w:r>
        <w:fldChar w:fldCharType="begin"/>
      </w:r>
      <w:r>
        <w:instrText xml:space="preserve"> PAGEREF _Toc26766 \h </w:instrText>
      </w:r>
      <w:r>
        <w:fldChar w:fldCharType="separate"/>
      </w:r>
      <w:r>
        <w:t>80</w:t>
      </w:r>
      <w:r>
        <w:fldChar w:fldCharType="end"/>
      </w:r>
      <w:r>
        <w:rPr>
          <w:rFonts w:hint="eastAsia"/>
          <w:lang w:eastAsia="zh-CN"/>
        </w:rPr>
        <w:fldChar w:fldCharType="end"/>
      </w:r>
    </w:p>
    <w:p>
      <w:pPr>
        <w:pStyle w:val="27"/>
        <w:tabs>
          <w:tab w:val="right" w:leader="dot" w:pos="8844"/>
        </w:tabs>
      </w:pPr>
      <w:r>
        <w:rPr>
          <w:rFonts w:hint="eastAsia"/>
          <w:lang w:eastAsia="zh-CN"/>
        </w:rPr>
        <w:fldChar w:fldCharType="begin"/>
      </w:r>
      <w:r>
        <w:rPr>
          <w:rFonts w:hint="eastAsia"/>
          <w:lang w:eastAsia="zh-CN"/>
        </w:rPr>
        <w:instrText xml:space="preserve"> HYPERLINK \l _Toc1341 </w:instrText>
      </w:r>
      <w:r>
        <w:rPr>
          <w:rFonts w:hint="eastAsia"/>
          <w:lang w:eastAsia="zh-CN"/>
        </w:rPr>
        <w:fldChar w:fldCharType="separate"/>
      </w:r>
      <w:r>
        <w:rPr>
          <w:rFonts w:hint="eastAsia"/>
        </w:rPr>
        <w:t>附图1 项目地理位置图</w:t>
      </w:r>
      <w:r>
        <w:tab/>
      </w:r>
      <w:r>
        <w:fldChar w:fldCharType="begin"/>
      </w:r>
      <w:r>
        <w:instrText xml:space="preserve"> PAGEREF _Toc1341 \h </w:instrText>
      </w:r>
      <w:r>
        <w:fldChar w:fldCharType="separate"/>
      </w:r>
      <w:r>
        <w:t>80</w:t>
      </w:r>
      <w:r>
        <w:fldChar w:fldCharType="end"/>
      </w:r>
      <w:r>
        <w:rPr>
          <w:rFonts w:hint="eastAsia"/>
          <w:lang w:eastAsia="zh-CN"/>
        </w:rPr>
        <w:fldChar w:fldCharType="end"/>
      </w:r>
    </w:p>
    <w:p>
      <w:pPr>
        <w:pStyle w:val="27"/>
        <w:tabs>
          <w:tab w:val="right" w:pos="3200"/>
          <w:tab w:val="right" w:leader="dot" w:pos="8844"/>
        </w:tabs>
      </w:pPr>
      <w:r>
        <w:rPr>
          <w:rFonts w:hint="eastAsia"/>
          <w:lang w:eastAsia="zh-CN"/>
        </w:rPr>
        <w:fldChar w:fldCharType="begin"/>
      </w:r>
      <w:r>
        <w:rPr>
          <w:rFonts w:hint="eastAsia"/>
          <w:lang w:eastAsia="zh-CN"/>
        </w:rPr>
        <w:instrText xml:space="preserve"> HYPERLINK \l _Toc13824 </w:instrText>
      </w:r>
      <w:r>
        <w:rPr>
          <w:rFonts w:hint="eastAsia"/>
          <w:lang w:eastAsia="zh-CN"/>
        </w:rPr>
        <w:fldChar w:fldCharType="separate"/>
      </w:r>
      <w:r>
        <w:t>附图</w:t>
      </w:r>
      <w:r>
        <w:rPr>
          <w:spacing w:val="-60"/>
        </w:rPr>
        <w:t xml:space="preserve"> </w:t>
      </w:r>
      <w:r>
        <w:rPr>
          <w:rFonts w:hint="eastAsia"/>
          <w:spacing w:val="-60"/>
          <w:lang w:val="en-US" w:eastAsia="zh-CN"/>
        </w:rPr>
        <w:t>2</w:t>
      </w:r>
      <w:r>
        <w:rPr>
          <w:rFonts w:ascii="Times New Roman" w:eastAsia="Times New Roman"/>
        </w:rPr>
        <w:tab/>
      </w:r>
      <w:r>
        <w:t>项目总平面布置图</w:t>
      </w:r>
      <w:r>
        <w:tab/>
      </w:r>
      <w:r>
        <w:fldChar w:fldCharType="begin"/>
      </w:r>
      <w:r>
        <w:instrText xml:space="preserve"> PAGEREF _Toc13824 \h </w:instrText>
      </w:r>
      <w:r>
        <w:fldChar w:fldCharType="separate"/>
      </w:r>
      <w:r>
        <w:t>81</w:t>
      </w:r>
      <w:r>
        <w:fldChar w:fldCharType="end"/>
      </w:r>
      <w:r>
        <w:rPr>
          <w:rFonts w:hint="eastAsia"/>
          <w:lang w:eastAsia="zh-CN"/>
        </w:rPr>
        <w:fldChar w:fldCharType="end"/>
      </w:r>
    </w:p>
    <w:p>
      <w:pPr>
        <w:pStyle w:val="27"/>
        <w:tabs>
          <w:tab w:val="right" w:leader="dot" w:pos="8844"/>
        </w:tabs>
      </w:pPr>
      <w:r>
        <w:rPr>
          <w:rFonts w:hint="eastAsia"/>
          <w:lang w:eastAsia="zh-CN"/>
        </w:rPr>
        <w:fldChar w:fldCharType="begin"/>
      </w:r>
      <w:r>
        <w:rPr>
          <w:rFonts w:hint="eastAsia"/>
          <w:lang w:eastAsia="zh-CN"/>
        </w:rPr>
        <w:instrText xml:space="preserve"> HYPERLINK \l _Toc27640 </w:instrText>
      </w:r>
      <w:r>
        <w:rPr>
          <w:rFonts w:hint="eastAsia"/>
          <w:lang w:eastAsia="zh-CN"/>
        </w:rPr>
        <w:fldChar w:fldCharType="separate"/>
      </w:r>
      <w:r>
        <w:rPr>
          <w:rFonts w:hint="eastAsia"/>
        </w:rPr>
        <w:t>附图</w:t>
      </w:r>
      <w:r>
        <w:rPr>
          <w:rFonts w:hint="eastAsia"/>
          <w:lang w:val="en-US" w:eastAsia="zh-CN"/>
        </w:rPr>
        <w:t>3</w:t>
      </w:r>
      <w:r>
        <w:rPr>
          <w:rFonts w:hint="eastAsia"/>
        </w:rPr>
        <w:t xml:space="preserve"> </w:t>
      </w:r>
      <w:r>
        <w:rPr>
          <w:rFonts w:hint="eastAsia"/>
          <w:lang w:eastAsia="zh-CN"/>
        </w:rPr>
        <w:t>项目保护目标图</w:t>
      </w:r>
      <w:r>
        <w:tab/>
      </w:r>
      <w:r>
        <w:fldChar w:fldCharType="begin"/>
      </w:r>
      <w:r>
        <w:instrText xml:space="preserve"> PAGEREF _Toc27640 \h </w:instrText>
      </w:r>
      <w:r>
        <w:fldChar w:fldCharType="separate"/>
      </w:r>
      <w:r>
        <w:t>82</w:t>
      </w:r>
      <w:r>
        <w:fldChar w:fldCharType="end"/>
      </w:r>
      <w:r>
        <w:rPr>
          <w:rFonts w:hint="eastAsia"/>
          <w:lang w:eastAsia="zh-CN"/>
        </w:rPr>
        <w:fldChar w:fldCharType="end"/>
      </w:r>
    </w:p>
    <w:p>
      <w:pPr>
        <w:pStyle w:val="27"/>
        <w:tabs>
          <w:tab w:val="right" w:leader="dot" w:pos="8844"/>
        </w:tabs>
      </w:pPr>
      <w:r>
        <w:rPr>
          <w:rFonts w:hint="eastAsia"/>
          <w:lang w:eastAsia="zh-CN"/>
        </w:rPr>
        <w:fldChar w:fldCharType="begin"/>
      </w:r>
      <w:r>
        <w:rPr>
          <w:rFonts w:hint="eastAsia"/>
          <w:lang w:eastAsia="zh-CN"/>
        </w:rPr>
        <w:instrText xml:space="preserve"> HYPERLINK \l _Toc6971 </w:instrText>
      </w:r>
      <w:r>
        <w:rPr>
          <w:rFonts w:hint="eastAsia"/>
          <w:lang w:eastAsia="zh-CN"/>
        </w:rPr>
        <w:fldChar w:fldCharType="separate"/>
      </w:r>
      <w:r>
        <w:t>附图</w:t>
      </w:r>
      <w:r>
        <w:rPr>
          <w:rFonts w:hint="eastAsia"/>
          <w:lang w:val="en-US" w:eastAsia="zh-CN"/>
        </w:rPr>
        <w:t>4</w:t>
      </w:r>
      <w:r>
        <w:rPr>
          <w:rFonts w:hint="default"/>
          <w:lang w:val="en-US" w:eastAsia="zh-CN"/>
        </w:rPr>
        <w:t>建设项目</w:t>
      </w:r>
      <w:r>
        <w:rPr>
          <w:rFonts w:hint="eastAsia"/>
          <w:lang w:val="en-US" w:eastAsia="zh-CN"/>
        </w:rPr>
        <w:t>环境质量现状监测示意</w:t>
      </w:r>
      <w:r>
        <w:rPr>
          <w:rFonts w:hint="default"/>
          <w:lang w:val="en-US" w:eastAsia="zh-CN"/>
        </w:rPr>
        <w:t>图</w:t>
      </w:r>
      <w:r>
        <w:tab/>
      </w:r>
      <w:r>
        <w:fldChar w:fldCharType="begin"/>
      </w:r>
      <w:r>
        <w:instrText xml:space="preserve"> PAGEREF _Toc6971 \h </w:instrText>
      </w:r>
      <w:r>
        <w:fldChar w:fldCharType="separate"/>
      </w:r>
      <w:r>
        <w:t>83</w:t>
      </w:r>
      <w:r>
        <w:fldChar w:fldCharType="end"/>
      </w:r>
      <w:r>
        <w:rPr>
          <w:rFonts w:hint="eastAsia"/>
          <w:lang w:eastAsia="zh-CN"/>
        </w:rPr>
        <w:fldChar w:fldCharType="end"/>
      </w:r>
    </w:p>
    <w:p>
      <w:pPr>
        <w:pStyle w:val="27"/>
        <w:tabs>
          <w:tab w:val="right" w:leader="dot" w:pos="8844"/>
        </w:tabs>
      </w:pPr>
      <w:r>
        <w:rPr>
          <w:rFonts w:hint="eastAsia"/>
          <w:lang w:eastAsia="zh-CN"/>
        </w:rPr>
        <w:fldChar w:fldCharType="begin"/>
      </w:r>
      <w:r>
        <w:rPr>
          <w:rFonts w:hint="eastAsia"/>
          <w:lang w:eastAsia="zh-CN"/>
        </w:rPr>
        <w:instrText xml:space="preserve"> HYPERLINK \l _Toc23585 </w:instrText>
      </w:r>
      <w:r>
        <w:rPr>
          <w:rFonts w:hint="eastAsia"/>
          <w:lang w:eastAsia="zh-CN"/>
        </w:rPr>
        <w:fldChar w:fldCharType="separate"/>
      </w:r>
      <w:r>
        <w:rPr>
          <w:rFonts w:hint="eastAsia"/>
        </w:rPr>
        <w:t>附图</w:t>
      </w:r>
      <w:r>
        <w:rPr>
          <w:rFonts w:hint="eastAsia"/>
          <w:lang w:val="en-US" w:eastAsia="zh-CN"/>
        </w:rPr>
        <w:t>5</w:t>
      </w:r>
      <w:r>
        <w:rPr>
          <w:rFonts w:hint="eastAsia"/>
        </w:rPr>
        <w:t>项目所在地环境现状图片</w:t>
      </w:r>
      <w:r>
        <w:tab/>
      </w:r>
      <w:r>
        <w:fldChar w:fldCharType="begin"/>
      </w:r>
      <w:r>
        <w:instrText xml:space="preserve"> PAGEREF _Toc23585 \h </w:instrText>
      </w:r>
      <w:r>
        <w:fldChar w:fldCharType="separate"/>
      </w:r>
      <w:r>
        <w:t>84</w:t>
      </w:r>
      <w:r>
        <w:fldChar w:fldCharType="end"/>
      </w:r>
      <w:r>
        <w:rPr>
          <w:rFonts w:hint="eastAsia"/>
          <w:lang w:eastAsia="zh-CN"/>
        </w:rPr>
        <w:fldChar w:fldCharType="end"/>
      </w:r>
    </w:p>
    <w:p>
      <w:pPr>
        <w:pStyle w:val="27"/>
        <w:tabs>
          <w:tab w:val="right" w:leader="dot" w:pos="8844"/>
        </w:tabs>
      </w:pPr>
      <w:r>
        <w:rPr>
          <w:rFonts w:hint="eastAsia"/>
          <w:lang w:eastAsia="zh-CN"/>
        </w:rPr>
        <w:fldChar w:fldCharType="begin"/>
      </w:r>
      <w:r>
        <w:rPr>
          <w:rFonts w:hint="eastAsia"/>
          <w:lang w:eastAsia="zh-CN"/>
        </w:rPr>
        <w:instrText xml:space="preserve"> HYPERLINK \l _Toc9937 </w:instrText>
      </w:r>
      <w:r>
        <w:rPr>
          <w:rFonts w:hint="eastAsia"/>
          <w:lang w:eastAsia="zh-CN"/>
        </w:rPr>
        <w:fldChar w:fldCharType="separate"/>
      </w:r>
      <w:r>
        <w:rPr>
          <w:rFonts w:hint="eastAsia"/>
          <w:bCs/>
        </w:rPr>
        <w:t>附图</w:t>
      </w:r>
      <w:r>
        <w:rPr>
          <w:rFonts w:hint="eastAsia"/>
          <w:bCs/>
          <w:lang w:val="en-US" w:eastAsia="zh-CN"/>
        </w:rPr>
        <w:t>6</w:t>
      </w:r>
      <w:r>
        <w:rPr>
          <w:rFonts w:hint="eastAsia"/>
          <w:bCs/>
        </w:rPr>
        <w:t xml:space="preserve"> 项目地下水分区防渗图</w:t>
      </w:r>
      <w:r>
        <w:tab/>
      </w:r>
      <w:r>
        <w:fldChar w:fldCharType="begin"/>
      </w:r>
      <w:r>
        <w:instrText xml:space="preserve"> PAGEREF _Toc9937 \h </w:instrText>
      </w:r>
      <w:r>
        <w:fldChar w:fldCharType="separate"/>
      </w:r>
      <w:r>
        <w:t>85</w:t>
      </w:r>
      <w:r>
        <w:fldChar w:fldCharType="end"/>
      </w:r>
      <w:r>
        <w:rPr>
          <w:rFonts w:hint="eastAsia"/>
          <w:lang w:eastAsia="zh-CN"/>
        </w:rPr>
        <w:fldChar w:fldCharType="end"/>
      </w:r>
    </w:p>
    <w:p>
      <w:pPr>
        <w:pStyle w:val="27"/>
        <w:tabs>
          <w:tab w:val="right" w:leader="dot" w:pos="8844"/>
        </w:tabs>
      </w:pPr>
      <w:r>
        <w:rPr>
          <w:rFonts w:hint="eastAsia"/>
          <w:lang w:eastAsia="zh-CN"/>
        </w:rPr>
        <w:fldChar w:fldCharType="begin"/>
      </w:r>
      <w:r>
        <w:rPr>
          <w:rFonts w:hint="eastAsia"/>
          <w:lang w:eastAsia="zh-CN"/>
        </w:rPr>
        <w:instrText xml:space="preserve"> HYPERLINK \l _Toc29261 </w:instrText>
      </w:r>
      <w:r>
        <w:rPr>
          <w:rFonts w:hint="eastAsia"/>
          <w:lang w:eastAsia="zh-CN"/>
        </w:rPr>
        <w:fldChar w:fldCharType="separate"/>
      </w:r>
      <w:r>
        <w:rPr>
          <w:rFonts w:hint="default"/>
          <w:lang w:val="en-US" w:eastAsia="zh-CN"/>
        </w:rPr>
        <w:t>附图</w:t>
      </w:r>
      <w:r>
        <w:rPr>
          <w:rFonts w:hint="eastAsia"/>
          <w:lang w:val="en-US" w:eastAsia="zh-CN"/>
        </w:rPr>
        <w:t>7</w:t>
      </w:r>
      <w:r>
        <w:rPr>
          <w:rFonts w:hint="default"/>
          <w:lang w:val="en-US" w:eastAsia="zh-CN"/>
        </w:rPr>
        <w:t>项目排水路线图</w:t>
      </w:r>
      <w:r>
        <w:tab/>
      </w:r>
      <w:r>
        <w:fldChar w:fldCharType="begin"/>
      </w:r>
      <w:r>
        <w:instrText xml:space="preserve"> PAGEREF _Toc29261 \h </w:instrText>
      </w:r>
      <w:r>
        <w:fldChar w:fldCharType="separate"/>
      </w:r>
      <w:r>
        <w:t>86</w:t>
      </w:r>
      <w:r>
        <w:fldChar w:fldCharType="end"/>
      </w:r>
      <w:r>
        <w:rPr>
          <w:rFonts w:hint="eastAsia"/>
          <w:lang w:eastAsia="zh-CN"/>
        </w:rPr>
        <w:fldChar w:fldCharType="end"/>
      </w:r>
    </w:p>
    <w:p>
      <w:pPr>
        <w:pStyle w:val="27"/>
        <w:tabs>
          <w:tab w:val="right" w:leader="dot" w:pos="8844"/>
        </w:tabs>
      </w:pPr>
      <w:r>
        <w:rPr>
          <w:rFonts w:hint="eastAsia"/>
          <w:lang w:eastAsia="zh-CN"/>
        </w:rPr>
        <w:fldChar w:fldCharType="begin"/>
      </w:r>
      <w:r>
        <w:rPr>
          <w:rFonts w:hint="eastAsia"/>
          <w:lang w:eastAsia="zh-CN"/>
        </w:rPr>
        <w:instrText xml:space="preserve"> HYPERLINK \l _Toc21027 </w:instrText>
      </w:r>
      <w:r>
        <w:rPr>
          <w:rFonts w:hint="eastAsia"/>
          <w:lang w:eastAsia="zh-CN"/>
        </w:rPr>
        <w:fldChar w:fldCharType="separate"/>
      </w:r>
      <w:r>
        <w:rPr>
          <w:rFonts w:hint="default"/>
          <w:lang w:val="en-US" w:eastAsia="zh-CN"/>
        </w:rPr>
        <w:t>附图</w:t>
      </w:r>
      <w:r>
        <w:rPr>
          <w:rFonts w:hint="eastAsia"/>
          <w:lang w:val="en-US" w:eastAsia="zh-CN"/>
        </w:rPr>
        <w:t>8</w:t>
      </w:r>
      <w:r>
        <w:rPr>
          <w:rFonts w:hint="default"/>
        </w:rPr>
        <w:t>衡阳市环境管控单元图</w:t>
      </w:r>
      <w:r>
        <w:tab/>
      </w:r>
      <w:r>
        <w:fldChar w:fldCharType="begin"/>
      </w:r>
      <w:r>
        <w:instrText xml:space="preserve"> PAGEREF _Toc21027 \h </w:instrText>
      </w:r>
      <w:r>
        <w:fldChar w:fldCharType="separate"/>
      </w:r>
      <w:r>
        <w:t>87</w:t>
      </w:r>
      <w:r>
        <w:fldChar w:fldCharType="end"/>
      </w:r>
      <w:r>
        <w:rPr>
          <w:rFonts w:hint="eastAsia"/>
          <w:lang w:eastAsia="zh-CN"/>
        </w:rPr>
        <w:fldChar w:fldCharType="end"/>
      </w:r>
    </w:p>
    <w:p>
      <w:pPr>
        <w:pStyle w:val="27"/>
        <w:tabs>
          <w:tab w:val="right" w:leader="dot" w:pos="8844"/>
        </w:tabs>
      </w:pPr>
      <w:r>
        <w:rPr>
          <w:rFonts w:hint="eastAsia"/>
          <w:lang w:eastAsia="zh-CN"/>
        </w:rPr>
        <w:fldChar w:fldCharType="begin"/>
      </w:r>
      <w:r>
        <w:rPr>
          <w:rFonts w:hint="eastAsia"/>
          <w:lang w:eastAsia="zh-CN"/>
        </w:rPr>
        <w:instrText xml:space="preserve"> HYPERLINK \l _Toc23793 </w:instrText>
      </w:r>
      <w:r>
        <w:rPr>
          <w:rFonts w:hint="eastAsia"/>
          <w:lang w:eastAsia="zh-CN"/>
        </w:rPr>
        <w:fldChar w:fldCharType="separate"/>
      </w:r>
      <w:r>
        <w:rPr>
          <w:rFonts w:hint="default" w:ascii="Times New Roman" w:hAnsi="Times New Roman" w:eastAsia="宋体" w:cs="Times New Roman"/>
          <w:lang w:val="en-US" w:eastAsia="zh-CN"/>
        </w:rPr>
        <w:t>附图</w:t>
      </w:r>
      <w:r>
        <w:rPr>
          <w:rFonts w:hint="eastAsia" w:cs="Times New Roman"/>
          <w:lang w:val="en-US" w:eastAsia="zh-CN"/>
        </w:rPr>
        <w:t>9</w:t>
      </w:r>
      <w:r>
        <w:rPr>
          <w:rFonts w:hint="default" w:ascii="Times New Roman" w:hAnsi="Times New Roman" w:eastAsia="宋体" w:cs="Times New Roman"/>
          <w:lang w:val="en-US" w:eastAsia="zh-CN"/>
        </w:rPr>
        <w:t>项目与祁东县生态保护红线位置关系图</w:t>
      </w:r>
      <w:r>
        <w:tab/>
      </w:r>
      <w:r>
        <w:fldChar w:fldCharType="begin"/>
      </w:r>
      <w:r>
        <w:instrText xml:space="preserve"> PAGEREF _Toc23793 \h </w:instrText>
      </w:r>
      <w:r>
        <w:fldChar w:fldCharType="separate"/>
      </w:r>
      <w:r>
        <w:t>88</w:t>
      </w:r>
      <w:r>
        <w:fldChar w:fldCharType="end"/>
      </w:r>
      <w:r>
        <w:rPr>
          <w:rFonts w:hint="eastAsia"/>
          <w:lang w:eastAsia="zh-CN"/>
        </w:rPr>
        <w:fldChar w:fldCharType="end"/>
      </w:r>
    </w:p>
    <w:p>
      <w:pPr>
        <w:rPr>
          <w:rFonts w:hint="eastAsia"/>
          <w:lang w:eastAsia="zh-CN"/>
        </w:rPr>
        <w:sectPr>
          <w:pgSz w:w="11906" w:h="16838"/>
          <w:pgMar w:top="1701" w:right="1531" w:bottom="1701" w:left="1531" w:header="851" w:footer="1077" w:gutter="0"/>
          <w:pgNumType w:fmt="decimal" w:start="1"/>
          <w:cols w:space="720" w:num="1"/>
          <w:docGrid w:linePitch="312" w:charSpace="0"/>
        </w:sectPr>
      </w:pPr>
      <w:r>
        <w:rPr>
          <w:rFonts w:hint="eastAsia"/>
          <w:lang w:eastAsia="zh-CN"/>
        </w:rPr>
        <w:fldChar w:fldCharType="end"/>
      </w:r>
    </w:p>
    <w:p>
      <w:pPr>
        <w:pStyle w:val="7"/>
        <w:bidi w:val="0"/>
        <w:rPr>
          <w:rFonts w:hint="eastAsia"/>
        </w:rPr>
      </w:pPr>
      <w:bookmarkStart w:id="2" w:name="_Toc2948"/>
      <w:bookmarkStart w:id="3" w:name="_Toc15495"/>
      <w:bookmarkStart w:id="4" w:name="_Toc26598"/>
      <w:bookmarkStart w:id="5" w:name="_Toc21727"/>
      <w:bookmarkStart w:id="6" w:name="_Toc30264"/>
      <w:bookmarkStart w:id="7" w:name="_Toc13830"/>
      <w:bookmarkStart w:id="8" w:name="_Toc19279"/>
      <w:bookmarkStart w:id="9" w:name="_Toc3135"/>
      <w:bookmarkStart w:id="10" w:name="_Toc3076"/>
      <w:bookmarkStart w:id="11" w:name="_Toc31882"/>
      <w:bookmarkStart w:id="12" w:name="_Toc4906"/>
      <w:bookmarkStart w:id="13" w:name="_Toc4694"/>
      <w:bookmarkStart w:id="14" w:name="_Toc10884"/>
      <w:bookmarkStart w:id="15" w:name="_Toc24501"/>
      <w:bookmarkStart w:id="16" w:name="_Toc27553"/>
      <w:bookmarkStart w:id="17" w:name="_Toc1767"/>
      <w:r>
        <w:rPr>
          <w:rFonts w:hint="eastAsia"/>
        </w:rPr>
        <w:t>一、建设项目基本情况</w:t>
      </w:r>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p>
    <w:tbl>
      <w:tblPr>
        <w:tblStyle w:val="31"/>
        <w:tblW w:w="4995"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1835"/>
        <w:gridCol w:w="1378"/>
        <w:gridCol w:w="1949"/>
        <w:gridCol w:w="316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04" w:type="pct"/>
            <w:noWrap w:val="0"/>
            <w:tcMar>
              <w:top w:w="16" w:type="dxa"/>
              <w:left w:w="16" w:type="dxa"/>
              <w:right w:w="16" w:type="dxa"/>
            </w:tcMar>
            <w:vAlign w:val="center"/>
          </w:tcPr>
          <w:p>
            <w:pPr>
              <w:adjustRightInd w:val="0"/>
              <w:snapToGrid w:val="0"/>
              <w:jc w:val="center"/>
              <w:rPr>
                <w:rFonts w:hint="default" w:ascii="Times New Roman" w:hAnsi="Times New Roman" w:cs="Times New Roman"/>
                <w:sz w:val="24"/>
                <w:szCs w:val="24"/>
              </w:rPr>
            </w:pPr>
            <w:r>
              <w:rPr>
                <w:rFonts w:hint="default" w:ascii="Times New Roman" w:hAnsi="Times New Roman" w:cs="Times New Roman"/>
                <w:sz w:val="24"/>
                <w:szCs w:val="24"/>
              </w:rPr>
              <w:t>建设项目名称</w:t>
            </w:r>
          </w:p>
        </w:tc>
        <w:tc>
          <w:tcPr>
            <w:tcW w:w="3895" w:type="pct"/>
            <w:gridSpan w:val="3"/>
            <w:noWrap w:val="0"/>
            <w:vAlign w:val="center"/>
          </w:tcPr>
          <w:p>
            <w:pPr>
              <w:jc w:val="center"/>
              <w:rPr>
                <w:rFonts w:hint="default" w:ascii="Times New Roman" w:hAnsi="Times New Roman" w:eastAsia="宋体" w:cs="Times New Roman"/>
                <w:sz w:val="24"/>
                <w:szCs w:val="24"/>
                <w:lang w:eastAsia="zh-CN"/>
              </w:rPr>
            </w:pPr>
            <w:r>
              <w:rPr>
                <w:rFonts w:hint="eastAsia" w:cs="Times New Roman"/>
                <w:sz w:val="24"/>
                <w:szCs w:val="24"/>
                <w:lang w:eastAsia="zh-CN"/>
              </w:rPr>
              <w:t>衡阳汐甄新能源有限公司南山加油站建设项目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04" w:type="pct"/>
            <w:noWrap w:val="0"/>
            <w:tcMar>
              <w:top w:w="16" w:type="dxa"/>
              <w:left w:w="16" w:type="dxa"/>
              <w:right w:w="16" w:type="dxa"/>
            </w:tcMar>
            <w:vAlign w:val="center"/>
          </w:tcPr>
          <w:p>
            <w:pPr>
              <w:adjustRightInd w:val="0"/>
              <w:snapToGrid w:val="0"/>
              <w:jc w:val="center"/>
              <w:rPr>
                <w:rFonts w:hint="default" w:ascii="Times New Roman" w:hAnsi="Times New Roman" w:cs="Times New Roman"/>
                <w:sz w:val="24"/>
                <w:szCs w:val="24"/>
              </w:rPr>
            </w:pPr>
            <w:r>
              <w:rPr>
                <w:rFonts w:hint="default" w:ascii="Times New Roman" w:hAnsi="Times New Roman" w:cs="Times New Roman"/>
                <w:sz w:val="24"/>
                <w:szCs w:val="24"/>
              </w:rPr>
              <w:t>项目代码</w:t>
            </w:r>
          </w:p>
        </w:tc>
        <w:tc>
          <w:tcPr>
            <w:tcW w:w="3895" w:type="pct"/>
            <w:gridSpan w:val="3"/>
            <w:noWrap w:val="0"/>
            <w:vAlign w:val="center"/>
          </w:tcPr>
          <w:p>
            <w:pPr>
              <w:bidi w:val="0"/>
              <w:jc w:val="center"/>
              <w:rPr>
                <w:rFonts w:hint="default" w:ascii="Times New Roman" w:hAnsi="Times New Roman" w:eastAsia="宋体" w:cs="Times New Roman"/>
                <w:szCs w:val="24"/>
                <w:lang w:val="en-US" w:eastAsia="zh-CN"/>
              </w:rPr>
            </w:pPr>
            <w:r>
              <w:t>2208-430426-04-01-181105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04" w:type="pct"/>
            <w:noWrap w:val="0"/>
            <w:tcMar>
              <w:top w:w="16" w:type="dxa"/>
              <w:left w:w="16" w:type="dxa"/>
              <w:right w:w="16" w:type="dxa"/>
            </w:tcMar>
            <w:vAlign w:val="center"/>
          </w:tcPr>
          <w:p>
            <w:pPr>
              <w:adjustRightInd w:val="0"/>
              <w:snapToGrid w:val="0"/>
              <w:jc w:val="center"/>
              <w:rPr>
                <w:rFonts w:hint="default" w:ascii="Times New Roman" w:hAnsi="Times New Roman" w:cs="Times New Roman"/>
                <w:sz w:val="24"/>
                <w:szCs w:val="24"/>
              </w:rPr>
            </w:pPr>
            <w:r>
              <w:rPr>
                <w:rFonts w:hint="default" w:ascii="Times New Roman" w:hAnsi="Times New Roman" w:cs="Times New Roman"/>
                <w:sz w:val="24"/>
                <w:szCs w:val="24"/>
              </w:rPr>
              <w:t>建设单位联系人</w:t>
            </w:r>
          </w:p>
        </w:tc>
        <w:tc>
          <w:tcPr>
            <w:tcW w:w="827" w:type="pct"/>
            <w:noWrap w:val="0"/>
            <w:vAlign w:val="center"/>
          </w:tcPr>
          <w:p>
            <w:pPr>
              <w:keepNext w:val="0"/>
              <w:keepLines w:val="0"/>
              <w:widowControl/>
              <w:suppressLineNumbers w:val="0"/>
              <w:jc w:val="center"/>
              <w:rPr>
                <w:rFonts w:hint="eastAsia" w:ascii="Times New Roman" w:hAnsi="Times New Roman" w:eastAsia="宋体" w:cs="Times New Roman"/>
                <w:sz w:val="24"/>
                <w:szCs w:val="24"/>
                <w:lang w:eastAsia="zh-CN"/>
              </w:rPr>
            </w:pPr>
            <w:r>
              <w:rPr>
                <w:rFonts w:hint="eastAsia" w:cs="Times New Roman"/>
                <w:sz w:val="24"/>
                <w:szCs w:val="24"/>
                <w:lang w:val="en-US" w:eastAsia="zh-CN"/>
              </w:rPr>
              <w:t>胡全</w:t>
            </w:r>
          </w:p>
        </w:tc>
        <w:tc>
          <w:tcPr>
            <w:tcW w:w="1170" w:type="pct"/>
            <w:noWrap w:val="0"/>
            <w:vAlign w:val="center"/>
          </w:tcPr>
          <w:p>
            <w:pPr>
              <w:jc w:val="center"/>
              <w:rPr>
                <w:rFonts w:hint="default" w:ascii="Times New Roman" w:hAnsi="Times New Roman" w:cs="Times New Roman"/>
                <w:sz w:val="24"/>
                <w:szCs w:val="24"/>
              </w:rPr>
            </w:pPr>
            <w:r>
              <w:rPr>
                <w:rFonts w:hint="default" w:ascii="Times New Roman" w:hAnsi="Times New Roman" w:cs="Times New Roman"/>
                <w:sz w:val="24"/>
                <w:szCs w:val="24"/>
              </w:rPr>
              <w:t>联系方式</w:t>
            </w:r>
          </w:p>
        </w:tc>
        <w:tc>
          <w:tcPr>
            <w:tcW w:w="1897" w:type="pct"/>
            <w:noWrap w:val="0"/>
            <w:vAlign w:val="center"/>
          </w:tcPr>
          <w:p>
            <w:pPr>
              <w:jc w:val="center"/>
              <w:rPr>
                <w:rFonts w:hint="default" w:ascii="Times New Roman" w:hAnsi="Times New Roman" w:eastAsia="宋体" w:cs="Times New Roman"/>
                <w:sz w:val="24"/>
                <w:szCs w:val="24"/>
                <w:lang w:val="en-US" w:eastAsia="zh-CN"/>
              </w:rPr>
            </w:pPr>
            <w:r>
              <w:rPr>
                <w:rFonts w:hint="eastAsia"/>
                <w:lang w:val="en-US" w:eastAsia="zh-CN"/>
              </w:rPr>
              <w:t>17775142139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04" w:type="pct"/>
            <w:noWrap w:val="0"/>
            <w:tcMar>
              <w:top w:w="16" w:type="dxa"/>
              <w:left w:w="16" w:type="dxa"/>
              <w:right w:w="16" w:type="dxa"/>
            </w:tcMar>
            <w:vAlign w:val="center"/>
          </w:tcPr>
          <w:p>
            <w:pPr>
              <w:adjustRightInd w:val="0"/>
              <w:snapToGrid w:val="0"/>
              <w:jc w:val="center"/>
              <w:rPr>
                <w:rFonts w:hint="default" w:ascii="Times New Roman" w:hAnsi="Times New Roman" w:cs="Times New Roman"/>
                <w:sz w:val="24"/>
                <w:szCs w:val="24"/>
              </w:rPr>
            </w:pPr>
            <w:r>
              <w:rPr>
                <w:rFonts w:hint="default" w:ascii="Times New Roman" w:hAnsi="Times New Roman" w:cs="Times New Roman"/>
                <w:sz w:val="24"/>
                <w:szCs w:val="24"/>
              </w:rPr>
              <w:t>建设地点</w:t>
            </w:r>
          </w:p>
        </w:tc>
        <w:tc>
          <w:tcPr>
            <w:tcW w:w="3895" w:type="pct"/>
            <w:gridSpan w:val="3"/>
            <w:noWrap w:val="0"/>
            <w:vAlign w:val="center"/>
          </w:tcPr>
          <w:p>
            <w:pPr>
              <w:jc w:val="center"/>
              <w:rPr>
                <w:rFonts w:hint="default" w:ascii="Times New Roman" w:hAnsi="Times New Roman" w:cs="Times New Roman"/>
                <w:sz w:val="24"/>
                <w:szCs w:val="24"/>
              </w:rPr>
            </w:pPr>
            <w:r>
              <w:rPr>
                <w:rFonts w:hint="eastAsia" w:cs="Times New Roman"/>
                <w:szCs w:val="21"/>
                <w:u w:val="none"/>
                <w:lang w:eastAsia="zh-CN"/>
              </w:rPr>
              <w:t>祁东县永昌街道南山大道南侧(南山大道与永湘路交叉口东南角)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04" w:type="pct"/>
            <w:noWrap w:val="0"/>
            <w:tcMar>
              <w:top w:w="16" w:type="dxa"/>
              <w:left w:w="16" w:type="dxa"/>
              <w:right w:w="16" w:type="dxa"/>
            </w:tcMar>
            <w:vAlign w:val="center"/>
          </w:tcPr>
          <w:p>
            <w:pPr>
              <w:adjustRightInd w:val="0"/>
              <w:snapToGrid w:val="0"/>
              <w:jc w:val="center"/>
              <w:rPr>
                <w:rFonts w:hint="default" w:ascii="Times New Roman" w:hAnsi="Times New Roman" w:cs="Times New Roman"/>
                <w:sz w:val="24"/>
                <w:szCs w:val="24"/>
              </w:rPr>
            </w:pPr>
            <w:r>
              <w:rPr>
                <w:rFonts w:hint="default" w:ascii="Times New Roman" w:hAnsi="Times New Roman" w:cs="Times New Roman"/>
                <w:sz w:val="24"/>
                <w:szCs w:val="24"/>
              </w:rPr>
              <w:t>地理坐标</w:t>
            </w:r>
          </w:p>
        </w:tc>
        <w:tc>
          <w:tcPr>
            <w:tcW w:w="3895" w:type="pct"/>
            <w:gridSpan w:val="3"/>
            <w:noWrap w:val="0"/>
            <w:vAlign w:val="center"/>
          </w:tcPr>
          <w:p>
            <w:pPr>
              <w:jc w:val="center"/>
              <w:rPr>
                <w:rFonts w:hint="default" w:ascii="Times New Roman" w:hAnsi="Times New Roman" w:cs="Times New Roman"/>
                <w:sz w:val="24"/>
                <w:szCs w:val="24"/>
              </w:rPr>
            </w:pPr>
            <w:r>
              <w:rPr>
                <w:rFonts w:hint="default" w:ascii="Times New Roman" w:hAnsi="Times New Roman" w:cs="Times New Roman"/>
                <w:sz w:val="24"/>
                <w:szCs w:val="24"/>
              </w:rPr>
              <w:t>（</w:t>
            </w:r>
            <w:r>
              <w:rPr>
                <w:rFonts w:hint="default" w:ascii="Times New Roman" w:hAnsi="Times New Roman" w:cs="Times New Roman"/>
                <w:sz w:val="24"/>
                <w:szCs w:val="24"/>
                <w:lang w:val="en-US" w:eastAsia="zh-CN"/>
              </w:rPr>
              <w:t>东经</w:t>
            </w:r>
            <w:r>
              <w:rPr>
                <w:rFonts w:hint="default" w:ascii="Times New Roman" w:hAnsi="Times New Roman" w:cs="Times New Roman"/>
                <w:sz w:val="24"/>
                <w:szCs w:val="24"/>
                <w:u w:val="single"/>
                <w:lang w:val="en-US" w:eastAsia="zh-CN"/>
              </w:rPr>
              <w:t>11</w:t>
            </w:r>
            <w:r>
              <w:rPr>
                <w:rFonts w:hint="eastAsia" w:cs="Times New Roman"/>
                <w:sz w:val="24"/>
                <w:szCs w:val="24"/>
                <w:u w:val="single"/>
                <w:lang w:val="en-US" w:eastAsia="zh-CN"/>
              </w:rPr>
              <w:t>2</w:t>
            </w:r>
            <w:r>
              <w:rPr>
                <w:rFonts w:hint="default" w:ascii="Times New Roman" w:hAnsi="Times New Roman" w:cs="Times New Roman"/>
                <w:sz w:val="24"/>
                <w:szCs w:val="24"/>
              </w:rPr>
              <w:t>度</w:t>
            </w:r>
            <w:r>
              <w:rPr>
                <w:rFonts w:hint="eastAsia" w:cs="Times New Roman"/>
                <w:sz w:val="24"/>
                <w:szCs w:val="24"/>
                <w:u w:val="single"/>
                <w:lang w:val="en-US" w:eastAsia="zh-CN"/>
              </w:rPr>
              <w:t>05</w:t>
            </w:r>
            <w:r>
              <w:rPr>
                <w:rFonts w:hint="default" w:ascii="Times New Roman" w:hAnsi="Times New Roman" w:cs="Times New Roman"/>
                <w:sz w:val="24"/>
                <w:szCs w:val="24"/>
              </w:rPr>
              <w:t>分</w:t>
            </w:r>
            <w:r>
              <w:rPr>
                <w:rFonts w:hint="eastAsia" w:cs="Times New Roman"/>
                <w:sz w:val="24"/>
                <w:szCs w:val="24"/>
                <w:u w:val="single"/>
                <w:lang w:val="en-US" w:eastAsia="zh-CN"/>
              </w:rPr>
              <w:t>28.716</w:t>
            </w:r>
            <w:r>
              <w:rPr>
                <w:rFonts w:hint="default" w:ascii="Times New Roman" w:hAnsi="Times New Roman" w:cs="Times New Roman"/>
                <w:sz w:val="24"/>
                <w:szCs w:val="24"/>
              </w:rPr>
              <w:t>秒，</w:t>
            </w:r>
            <w:r>
              <w:rPr>
                <w:rFonts w:hint="default" w:ascii="Times New Roman" w:hAnsi="Times New Roman" w:cs="Times New Roman"/>
                <w:sz w:val="24"/>
                <w:szCs w:val="24"/>
                <w:lang w:val="en-US" w:eastAsia="zh-CN"/>
              </w:rPr>
              <w:t>北纬</w:t>
            </w:r>
            <w:r>
              <w:rPr>
                <w:rFonts w:hint="default" w:ascii="Times New Roman" w:hAnsi="Times New Roman" w:cs="Times New Roman"/>
                <w:sz w:val="24"/>
                <w:szCs w:val="24"/>
                <w:u w:val="single"/>
              </w:rPr>
              <w:t xml:space="preserve"> </w:t>
            </w:r>
            <w:r>
              <w:rPr>
                <w:rFonts w:hint="default" w:ascii="Times New Roman" w:hAnsi="Times New Roman" w:cs="Times New Roman"/>
                <w:sz w:val="24"/>
                <w:szCs w:val="24"/>
                <w:u w:val="single"/>
                <w:lang w:val="en-US" w:eastAsia="zh-CN"/>
              </w:rPr>
              <w:t>2</w:t>
            </w:r>
            <w:r>
              <w:rPr>
                <w:rFonts w:hint="eastAsia" w:cs="Times New Roman"/>
                <w:sz w:val="24"/>
                <w:szCs w:val="24"/>
                <w:u w:val="single"/>
                <w:lang w:val="en-US" w:eastAsia="zh-CN"/>
              </w:rPr>
              <w:t>6</w:t>
            </w:r>
            <w:r>
              <w:rPr>
                <w:rFonts w:hint="default" w:ascii="Times New Roman" w:hAnsi="Times New Roman" w:cs="Times New Roman"/>
                <w:sz w:val="24"/>
                <w:szCs w:val="24"/>
              </w:rPr>
              <w:t>度</w:t>
            </w:r>
            <w:r>
              <w:rPr>
                <w:rFonts w:hint="eastAsia" w:cs="Times New Roman"/>
                <w:sz w:val="24"/>
                <w:szCs w:val="24"/>
                <w:u w:val="single"/>
                <w:lang w:val="en-US" w:eastAsia="zh-CN"/>
              </w:rPr>
              <w:t>47</w:t>
            </w:r>
            <w:r>
              <w:rPr>
                <w:rFonts w:hint="default" w:ascii="Times New Roman" w:hAnsi="Times New Roman" w:cs="Times New Roman"/>
                <w:sz w:val="24"/>
                <w:szCs w:val="24"/>
              </w:rPr>
              <w:t>分</w:t>
            </w:r>
            <w:r>
              <w:rPr>
                <w:rFonts w:hint="eastAsia" w:cs="Times New Roman"/>
                <w:sz w:val="24"/>
                <w:szCs w:val="24"/>
                <w:u w:val="single"/>
                <w:lang w:val="en-US" w:eastAsia="zh-CN"/>
              </w:rPr>
              <w:t>7.541</w:t>
            </w:r>
            <w:r>
              <w:rPr>
                <w:rFonts w:hint="default" w:ascii="Times New Roman" w:hAnsi="Times New Roman" w:cs="Times New Roman"/>
                <w:sz w:val="24"/>
                <w:szCs w:val="24"/>
                <w:u w:val="single"/>
              </w:rPr>
              <w:t xml:space="preserve"> </w:t>
            </w:r>
            <w:r>
              <w:rPr>
                <w:rFonts w:hint="default" w:ascii="Times New Roman" w:hAnsi="Times New Roman" w:cs="Times New Roman"/>
                <w:sz w:val="24"/>
                <w:szCs w:val="24"/>
              </w:rPr>
              <w:t>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04" w:type="pct"/>
            <w:noWrap w:val="0"/>
            <w:tcMar>
              <w:top w:w="16" w:type="dxa"/>
              <w:left w:w="16" w:type="dxa"/>
              <w:right w:w="16" w:type="dxa"/>
            </w:tcMar>
            <w:vAlign w:val="center"/>
          </w:tcPr>
          <w:p>
            <w:pPr>
              <w:adjustRightInd w:val="0"/>
              <w:snapToGrid w:val="0"/>
              <w:jc w:val="center"/>
              <w:rPr>
                <w:rFonts w:hint="default" w:ascii="Times New Roman" w:hAnsi="Times New Roman" w:cs="Times New Roman"/>
                <w:sz w:val="24"/>
                <w:szCs w:val="24"/>
              </w:rPr>
            </w:pPr>
            <w:r>
              <w:rPr>
                <w:rFonts w:hint="default" w:ascii="Times New Roman" w:hAnsi="Times New Roman" w:cs="Times New Roman"/>
                <w:sz w:val="24"/>
                <w:szCs w:val="24"/>
              </w:rPr>
              <w:t>国民经济</w:t>
            </w:r>
          </w:p>
          <w:p>
            <w:pPr>
              <w:adjustRightInd w:val="0"/>
              <w:snapToGrid w:val="0"/>
              <w:jc w:val="center"/>
              <w:rPr>
                <w:rFonts w:hint="default" w:ascii="Times New Roman" w:hAnsi="Times New Roman" w:cs="Times New Roman"/>
                <w:sz w:val="24"/>
                <w:szCs w:val="24"/>
              </w:rPr>
            </w:pPr>
            <w:r>
              <w:rPr>
                <w:rFonts w:hint="default" w:ascii="Times New Roman" w:hAnsi="Times New Roman" w:cs="Times New Roman"/>
                <w:sz w:val="24"/>
                <w:szCs w:val="24"/>
              </w:rPr>
              <w:t>行业类别</w:t>
            </w:r>
          </w:p>
        </w:tc>
        <w:tc>
          <w:tcPr>
            <w:tcW w:w="827" w:type="pct"/>
            <w:noWrap w:val="0"/>
            <w:vAlign w:val="center"/>
          </w:tcPr>
          <w:p>
            <w:pPr>
              <w:jc w:val="center"/>
              <w:rPr>
                <w:rFonts w:hint="eastAsia" w:ascii="Times New Roman" w:hAnsi="Times New Roman" w:eastAsia="宋体" w:cs="Times New Roman"/>
                <w:sz w:val="24"/>
                <w:szCs w:val="24"/>
                <w:lang w:eastAsia="zh-CN"/>
              </w:rPr>
            </w:pPr>
            <w:r>
              <w:rPr>
                <w:rFonts w:hint="eastAsia" w:cs="Times New Roman"/>
                <w:color w:val="000000"/>
                <w:lang w:eastAsia="zh-CN"/>
              </w:rPr>
              <w:t>F5265机动车燃料零售</w:t>
            </w:r>
          </w:p>
        </w:tc>
        <w:tc>
          <w:tcPr>
            <w:tcW w:w="1170" w:type="pct"/>
            <w:noWrap w:val="0"/>
            <w:vAlign w:val="center"/>
          </w:tcPr>
          <w:p>
            <w:pPr>
              <w:jc w:val="center"/>
              <w:rPr>
                <w:rFonts w:hint="default" w:ascii="Times New Roman" w:hAnsi="Times New Roman" w:eastAsia="宋体" w:cs="Times New Roman"/>
                <w:lang w:eastAsia="zh-CN"/>
              </w:rPr>
            </w:pPr>
            <w:bookmarkStart w:id="18" w:name="_Hlk49843745"/>
            <w:r>
              <w:rPr>
                <w:rFonts w:hint="default" w:ascii="Times New Roman" w:hAnsi="Times New Roman" w:eastAsia="宋体" w:cs="Times New Roman"/>
                <w:lang w:eastAsia="zh-CN"/>
              </w:rPr>
              <w:t>建设项目</w:t>
            </w:r>
          </w:p>
          <w:p>
            <w:pPr>
              <w:jc w:val="center"/>
              <w:rPr>
                <w:rFonts w:hint="default" w:ascii="Times New Roman" w:hAnsi="Times New Roman" w:eastAsia="宋体" w:cs="Times New Roman"/>
                <w:lang w:eastAsia="zh-CN"/>
              </w:rPr>
            </w:pPr>
            <w:r>
              <w:rPr>
                <w:rFonts w:hint="default" w:ascii="Times New Roman" w:hAnsi="Times New Roman" w:eastAsia="宋体" w:cs="Times New Roman"/>
                <w:lang w:eastAsia="zh-CN"/>
              </w:rPr>
              <w:t>行业类别</w:t>
            </w:r>
            <w:bookmarkEnd w:id="18"/>
          </w:p>
        </w:tc>
        <w:tc>
          <w:tcPr>
            <w:tcW w:w="1897" w:type="pct"/>
            <w:noWrap w:val="0"/>
            <w:vAlign w:val="center"/>
          </w:tcPr>
          <w:p>
            <w:pPr>
              <w:jc w:val="cente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“五十</w:t>
            </w:r>
            <w:r>
              <w:rPr>
                <w:rFonts w:hint="default" w:ascii="Times New Roman" w:hAnsi="Times New Roman" w:eastAsia="宋体" w:cs="Times New Roman"/>
                <w:lang w:val="en-US" w:eastAsia="zh-CN"/>
              </w:rPr>
              <w:t xml:space="preserve"> </w:t>
            </w:r>
            <w:r>
              <w:rPr>
                <w:rFonts w:hint="eastAsia" w:ascii="Times New Roman" w:hAnsi="Times New Roman" w:eastAsia="宋体" w:cs="Times New Roman"/>
                <w:lang w:val="en-US" w:eastAsia="zh-CN"/>
              </w:rPr>
              <w:t>社会事业与服务业”</w:t>
            </w:r>
            <w:r>
              <w:rPr>
                <w:rFonts w:hint="default" w:ascii="Times New Roman" w:hAnsi="Times New Roman" w:eastAsia="宋体" w:cs="Times New Roman"/>
                <w:lang w:val="en-US" w:eastAsia="zh-CN"/>
              </w:rPr>
              <w:t>中</w:t>
            </w:r>
            <w:r>
              <w:rPr>
                <w:rFonts w:hint="eastAsia" w:ascii="Times New Roman" w:hAnsi="Times New Roman" w:eastAsia="宋体" w:cs="Times New Roman"/>
                <w:lang w:val="en-US" w:eastAsia="zh-CN"/>
              </w:rPr>
              <w:t>“119</w:t>
            </w:r>
            <w:r>
              <w:rPr>
                <w:rFonts w:hint="default" w:ascii="Times New Roman" w:hAnsi="Times New Roman" w:eastAsia="宋体" w:cs="Times New Roman"/>
                <w:lang w:val="en-US" w:eastAsia="zh-CN"/>
              </w:rPr>
              <w:t xml:space="preserve"> </w:t>
            </w:r>
            <w:r>
              <w:rPr>
                <w:rFonts w:hint="eastAsia" w:ascii="Times New Roman" w:hAnsi="Times New Roman" w:eastAsia="宋体" w:cs="Times New Roman"/>
                <w:lang w:val="en-US" w:eastAsia="zh-CN"/>
              </w:rPr>
              <w:t>加油、加气站”中城市建成区新建加油站</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04" w:type="pct"/>
            <w:noWrap w:val="0"/>
            <w:tcMar>
              <w:top w:w="16" w:type="dxa"/>
              <w:left w:w="16" w:type="dxa"/>
              <w:right w:w="16" w:type="dxa"/>
            </w:tcMar>
            <w:vAlign w:val="center"/>
          </w:tcPr>
          <w:p>
            <w:pPr>
              <w:adjustRightInd w:val="0"/>
              <w:snapToGrid w:val="0"/>
              <w:jc w:val="center"/>
              <w:rPr>
                <w:rFonts w:hint="default" w:ascii="Times New Roman" w:hAnsi="Times New Roman" w:cs="Times New Roman"/>
                <w:sz w:val="24"/>
                <w:szCs w:val="24"/>
              </w:rPr>
            </w:pPr>
            <w:r>
              <w:rPr>
                <w:rFonts w:hint="default" w:ascii="Times New Roman" w:hAnsi="Times New Roman" w:cs="Times New Roman"/>
                <w:sz w:val="24"/>
                <w:szCs w:val="24"/>
              </w:rPr>
              <w:t>建设性质</w:t>
            </w:r>
          </w:p>
        </w:tc>
        <w:tc>
          <w:tcPr>
            <w:tcW w:w="827" w:type="pct"/>
            <w:noWrap w:val="0"/>
            <w:vAlign w:val="center"/>
          </w:tcPr>
          <w:p>
            <w:pPr>
              <w:jc w:val="left"/>
              <w:rPr>
                <w:rFonts w:hint="default" w:ascii="Times New Roman" w:hAnsi="Times New Roman" w:cs="Times New Roman"/>
                <w:sz w:val="24"/>
                <w:szCs w:val="24"/>
              </w:rPr>
            </w:pPr>
            <w:r>
              <w:rPr>
                <w:rFonts w:hint="default" w:ascii="Times New Roman" w:hAnsi="Times New Roman" w:cs="Times New Roman"/>
                <w:szCs w:val="21"/>
                <w:lang w:eastAsia="zh-CN"/>
              </w:rPr>
              <w:t>☑</w:t>
            </w:r>
            <w:r>
              <w:rPr>
                <w:rFonts w:hint="default" w:ascii="Times New Roman" w:hAnsi="Times New Roman" w:cs="Times New Roman"/>
                <w:sz w:val="24"/>
                <w:szCs w:val="24"/>
              </w:rPr>
              <w:t>新建（迁建）</w:t>
            </w:r>
          </w:p>
          <w:p>
            <w:pPr>
              <w:jc w:val="left"/>
              <w:rPr>
                <w:rFonts w:hint="default" w:ascii="Times New Roman" w:hAnsi="Times New Roman" w:cs="Times New Roman"/>
                <w:sz w:val="24"/>
                <w:szCs w:val="24"/>
              </w:rPr>
            </w:pPr>
            <w:r>
              <w:rPr>
                <w:rFonts w:hint="default" w:ascii="Times New Roman" w:hAnsi="Times New Roman" w:cs="Times New Roman"/>
                <w:sz w:val="24"/>
                <w:szCs w:val="24"/>
              </w:rPr>
              <w:t>□改建</w:t>
            </w:r>
          </w:p>
          <w:p>
            <w:pPr>
              <w:jc w:val="left"/>
              <w:rPr>
                <w:rFonts w:hint="default" w:ascii="Times New Roman" w:hAnsi="Times New Roman" w:cs="Times New Roman"/>
                <w:sz w:val="24"/>
                <w:szCs w:val="24"/>
              </w:rPr>
            </w:pPr>
            <w:r>
              <w:rPr>
                <w:rFonts w:hint="default" w:ascii="Times New Roman" w:hAnsi="Times New Roman" w:cs="Times New Roman"/>
                <w:sz w:val="24"/>
                <w:szCs w:val="24"/>
              </w:rPr>
              <w:t>□扩建</w:t>
            </w:r>
          </w:p>
          <w:p>
            <w:pPr>
              <w:jc w:val="left"/>
              <w:rPr>
                <w:rFonts w:hint="default" w:ascii="Times New Roman" w:hAnsi="Times New Roman" w:cs="Times New Roman"/>
                <w:sz w:val="24"/>
                <w:szCs w:val="24"/>
              </w:rPr>
            </w:pPr>
            <w:r>
              <w:rPr>
                <w:rFonts w:hint="default" w:ascii="Times New Roman" w:hAnsi="Times New Roman" w:cs="Times New Roman"/>
                <w:sz w:val="24"/>
                <w:szCs w:val="24"/>
              </w:rPr>
              <w:t>□技术改造</w:t>
            </w:r>
          </w:p>
        </w:tc>
        <w:tc>
          <w:tcPr>
            <w:tcW w:w="1170" w:type="pct"/>
            <w:noWrap w:val="0"/>
            <w:vAlign w:val="center"/>
          </w:tcPr>
          <w:p>
            <w:pPr>
              <w:adjustRightInd w:val="0"/>
              <w:snapToGrid w:val="0"/>
              <w:jc w:val="center"/>
              <w:rPr>
                <w:rFonts w:hint="default" w:ascii="Times New Roman" w:hAnsi="Times New Roman" w:cs="Times New Roman"/>
                <w:sz w:val="24"/>
                <w:szCs w:val="24"/>
              </w:rPr>
            </w:pPr>
            <w:r>
              <w:rPr>
                <w:rFonts w:hint="default" w:ascii="Times New Roman" w:hAnsi="Times New Roman" w:cs="Times New Roman"/>
                <w:sz w:val="24"/>
                <w:szCs w:val="24"/>
              </w:rPr>
              <w:t>建设项目</w:t>
            </w:r>
          </w:p>
          <w:p>
            <w:pPr>
              <w:adjustRightInd w:val="0"/>
              <w:snapToGrid w:val="0"/>
              <w:jc w:val="center"/>
              <w:rPr>
                <w:rFonts w:hint="default" w:ascii="Times New Roman" w:hAnsi="Times New Roman" w:cs="Times New Roman"/>
                <w:sz w:val="24"/>
                <w:szCs w:val="24"/>
              </w:rPr>
            </w:pPr>
            <w:r>
              <w:rPr>
                <w:rFonts w:hint="default" w:ascii="Times New Roman" w:hAnsi="Times New Roman" w:cs="Times New Roman"/>
                <w:sz w:val="24"/>
                <w:szCs w:val="24"/>
              </w:rPr>
              <w:t>申报情形</w:t>
            </w:r>
          </w:p>
        </w:tc>
        <w:tc>
          <w:tcPr>
            <w:tcW w:w="1897" w:type="pct"/>
            <w:noWrap w:val="0"/>
            <w:vAlign w:val="center"/>
          </w:tcPr>
          <w:p>
            <w:pPr>
              <w:jc w:val="left"/>
              <w:rPr>
                <w:rFonts w:hint="default" w:ascii="Times New Roman" w:hAnsi="Times New Roman" w:cs="Times New Roman"/>
                <w:sz w:val="24"/>
                <w:szCs w:val="24"/>
              </w:rPr>
            </w:pPr>
            <w:r>
              <w:rPr>
                <w:rFonts w:hint="default" w:ascii="Times New Roman" w:hAnsi="Times New Roman" w:cs="Times New Roman"/>
                <w:szCs w:val="21"/>
                <w:lang w:eastAsia="zh-CN"/>
              </w:rPr>
              <w:t>☑</w:t>
            </w:r>
            <w:r>
              <w:rPr>
                <w:rFonts w:hint="default" w:ascii="Times New Roman" w:hAnsi="Times New Roman" w:cs="Times New Roman"/>
                <w:sz w:val="24"/>
                <w:szCs w:val="24"/>
              </w:rPr>
              <w:t xml:space="preserve">首次申报项目             </w:t>
            </w:r>
          </w:p>
          <w:p>
            <w:pPr>
              <w:jc w:val="left"/>
              <w:rPr>
                <w:rFonts w:hint="default" w:ascii="Times New Roman" w:hAnsi="Times New Roman" w:cs="Times New Roman"/>
                <w:sz w:val="24"/>
                <w:szCs w:val="24"/>
              </w:rPr>
            </w:pPr>
            <w:r>
              <w:rPr>
                <w:rFonts w:hint="default" w:ascii="Times New Roman" w:hAnsi="Times New Roman" w:cs="Times New Roman"/>
                <w:sz w:val="24"/>
                <w:szCs w:val="24"/>
              </w:rPr>
              <w:t>□不予批准后再次申报项目</w:t>
            </w:r>
          </w:p>
          <w:p>
            <w:pPr>
              <w:jc w:val="left"/>
              <w:rPr>
                <w:rFonts w:hint="default" w:ascii="Times New Roman" w:hAnsi="Times New Roman" w:cs="Times New Roman"/>
                <w:sz w:val="24"/>
                <w:szCs w:val="24"/>
              </w:rPr>
            </w:pPr>
            <w:r>
              <w:rPr>
                <w:rFonts w:hint="default" w:ascii="Times New Roman" w:hAnsi="Times New Roman" w:cs="Times New Roman"/>
                <w:szCs w:val="21"/>
                <w:lang w:eastAsia="zh-CN"/>
              </w:rPr>
              <w:t>□</w:t>
            </w:r>
            <w:r>
              <w:rPr>
                <w:rFonts w:hint="default" w:ascii="Times New Roman" w:hAnsi="Times New Roman" w:cs="Times New Roman"/>
                <w:sz w:val="24"/>
                <w:szCs w:val="24"/>
              </w:rPr>
              <w:t xml:space="preserve">超五年重新审核项目     </w:t>
            </w:r>
          </w:p>
          <w:p>
            <w:pPr>
              <w:jc w:val="left"/>
              <w:rPr>
                <w:rFonts w:hint="default" w:ascii="Times New Roman" w:hAnsi="Times New Roman" w:cs="Times New Roman"/>
                <w:sz w:val="24"/>
                <w:szCs w:val="24"/>
              </w:rPr>
            </w:pPr>
            <w:r>
              <w:rPr>
                <w:rFonts w:hint="default" w:ascii="Times New Roman" w:hAnsi="Times New Roman" w:cs="Times New Roman"/>
                <w:sz w:val="24"/>
                <w:szCs w:val="24"/>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04" w:type="pct"/>
            <w:noWrap w:val="0"/>
            <w:tcMar>
              <w:top w:w="16" w:type="dxa"/>
              <w:left w:w="16" w:type="dxa"/>
              <w:right w:w="16" w:type="dxa"/>
            </w:tcMar>
            <w:vAlign w:val="center"/>
          </w:tcPr>
          <w:p>
            <w:pPr>
              <w:adjustRightInd w:val="0"/>
              <w:snapToGrid w:val="0"/>
              <w:jc w:val="center"/>
              <w:rPr>
                <w:rFonts w:hint="default" w:ascii="Times New Roman" w:hAnsi="Times New Roman" w:cs="Times New Roman"/>
                <w:sz w:val="24"/>
                <w:szCs w:val="24"/>
              </w:rPr>
            </w:pPr>
            <w:r>
              <w:rPr>
                <w:rFonts w:hint="default" w:ascii="Times New Roman" w:hAnsi="Times New Roman" w:cs="Times New Roman"/>
                <w:sz w:val="24"/>
                <w:szCs w:val="24"/>
              </w:rPr>
              <w:t>项目审批（核准/</w:t>
            </w:r>
          </w:p>
          <w:p>
            <w:pPr>
              <w:adjustRightInd w:val="0"/>
              <w:snapToGrid w:val="0"/>
              <w:jc w:val="center"/>
              <w:rPr>
                <w:rFonts w:hint="default" w:ascii="Times New Roman" w:hAnsi="Times New Roman" w:cs="Times New Roman"/>
                <w:sz w:val="24"/>
                <w:szCs w:val="24"/>
              </w:rPr>
            </w:pPr>
            <w:r>
              <w:rPr>
                <w:rFonts w:hint="default" w:ascii="Times New Roman" w:hAnsi="Times New Roman" w:cs="Times New Roman"/>
                <w:sz w:val="24"/>
                <w:szCs w:val="24"/>
              </w:rPr>
              <w:t>备案）部门（选填）</w:t>
            </w:r>
          </w:p>
        </w:tc>
        <w:tc>
          <w:tcPr>
            <w:tcW w:w="827" w:type="pct"/>
            <w:noWrap w:val="0"/>
            <w:vAlign w:val="center"/>
          </w:tcPr>
          <w:p>
            <w:pPr>
              <w:adjustRightInd w:val="0"/>
              <w:snapToGrid w:val="0"/>
              <w:jc w:val="center"/>
              <w:rPr>
                <w:rFonts w:hint="default" w:ascii="Times New Roman" w:hAnsi="Times New Roman" w:eastAsia="宋体" w:cs="Times New Roman"/>
                <w:sz w:val="24"/>
                <w:szCs w:val="24"/>
                <w:lang w:val="en-US" w:eastAsia="zh-CN"/>
              </w:rPr>
            </w:pPr>
            <w:r>
              <w:rPr>
                <w:rFonts w:hint="eastAsia" w:cs="Times New Roman"/>
                <w:sz w:val="24"/>
                <w:szCs w:val="24"/>
                <w:lang w:val="en-US" w:eastAsia="zh-CN"/>
              </w:rPr>
              <w:t>祁东县发展和改革局</w:t>
            </w:r>
            <w:bookmarkStart w:id="280" w:name="_GoBack"/>
            <w:bookmarkEnd w:id="280"/>
          </w:p>
        </w:tc>
        <w:tc>
          <w:tcPr>
            <w:tcW w:w="1170" w:type="pct"/>
            <w:noWrap w:val="0"/>
            <w:vAlign w:val="center"/>
          </w:tcPr>
          <w:p>
            <w:pPr>
              <w:adjustRightInd w:val="0"/>
              <w:snapToGrid w:val="0"/>
              <w:jc w:val="center"/>
              <w:rPr>
                <w:rFonts w:hint="default" w:ascii="Times New Roman" w:hAnsi="Times New Roman" w:cs="Times New Roman"/>
                <w:sz w:val="24"/>
                <w:szCs w:val="24"/>
              </w:rPr>
            </w:pPr>
            <w:r>
              <w:rPr>
                <w:rFonts w:hint="default" w:ascii="Times New Roman" w:hAnsi="Times New Roman" w:cs="Times New Roman"/>
                <w:sz w:val="24"/>
                <w:szCs w:val="24"/>
              </w:rPr>
              <w:t>项目审批（核准/</w:t>
            </w:r>
          </w:p>
          <w:p>
            <w:pPr>
              <w:adjustRightInd w:val="0"/>
              <w:snapToGrid w:val="0"/>
              <w:jc w:val="center"/>
              <w:rPr>
                <w:rFonts w:hint="default" w:ascii="Times New Roman" w:hAnsi="Times New Roman" w:cs="Times New Roman"/>
                <w:sz w:val="24"/>
                <w:szCs w:val="24"/>
              </w:rPr>
            </w:pPr>
            <w:r>
              <w:rPr>
                <w:rFonts w:hint="default" w:ascii="Times New Roman" w:hAnsi="Times New Roman" w:cs="Times New Roman"/>
                <w:sz w:val="24"/>
                <w:szCs w:val="24"/>
              </w:rPr>
              <w:t>备案）文号（选填）</w:t>
            </w:r>
          </w:p>
        </w:tc>
        <w:tc>
          <w:tcPr>
            <w:tcW w:w="1897" w:type="pct"/>
            <w:noWrap w:val="0"/>
            <w:vAlign w:val="center"/>
          </w:tcPr>
          <w:p>
            <w:pPr>
              <w:adjustRightInd w:val="0"/>
              <w:snapToGrid w:val="0"/>
              <w:jc w:val="center"/>
              <w:rPr>
                <w:rFonts w:hint="default" w:ascii="Times New Roman" w:hAnsi="Times New Roman" w:eastAsia="宋体" w:cs="Times New Roman"/>
                <w:sz w:val="24"/>
                <w:szCs w:val="24"/>
                <w:lang w:val="en-US" w:eastAsia="zh-CN"/>
              </w:rPr>
            </w:pPr>
            <w:r>
              <w:rPr>
                <w:rFonts w:hint="eastAsia" w:cs="Times New Roman"/>
                <w:sz w:val="24"/>
                <w:szCs w:val="24"/>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04" w:type="pct"/>
            <w:noWrap w:val="0"/>
            <w:tcMar>
              <w:top w:w="16" w:type="dxa"/>
              <w:left w:w="16" w:type="dxa"/>
              <w:right w:w="16" w:type="dxa"/>
            </w:tcMar>
            <w:vAlign w:val="center"/>
          </w:tcPr>
          <w:p>
            <w:pPr>
              <w:adjustRightInd w:val="0"/>
              <w:snapToGrid w:val="0"/>
              <w:jc w:val="center"/>
              <w:rPr>
                <w:rFonts w:hint="default" w:ascii="Times New Roman" w:hAnsi="Times New Roman" w:cs="Times New Roman"/>
                <w:sz w:val="24"/>
                <w:szCs w:val="24"/>
              </w:rPr>
            </w:pPr>
            <w:r>
              <w:rPr>
                <w:rFonts w:hint="default" w:ascii="Times New Roman" w:hAnsi="Times New Roman" w:cs="Times New Roman"/>
                <w:sz w:val="24"/>
                <w:szCs w:val="24"/>
              </w:rPr>
              <w:t>总投资（万元）</w:t>
            </w:r>
          </w:p>
        </w:tc>
        <w:tc>
          <w:tcPr>
            <w:tcW w:w="827" w:type="pct"/>
            <w:noWrap w:val="0"/>
            <w:vAlign w:val="center"/>
          </w:tcPr>
          <w:p>
            <w:pPr>
              <w:jc w:val="center"/>
              <w:rPr>
                <w:rFonts w:hint="default" w:ascii="Times New Roman" w:hAnsi="Times New Roman" w:eastAsia="宋体" w:cs="Times New Roman"/>
                <w:sz w:val="24"/>
                <w:szCs w:val="24"/>
                <w:lang w:val="en-US" w:eastAsia="zh-CN"/>
              </w:rPr>
            </w:pPr>
            <w:r>
              <w:rPr>
                <w:rFonts w:hint="eastAsia" w:cs="Times New Roman"/>
                <w:sz w:val="24"/>
                <w:szCs w:val="24"/>
                <w:lang w:val="en-US" w:eastAsia="zh-CN"/>
              </w:rPr>
              <w:t>3000</w:t>
            </w:r>
          </w:p>
        </w:tc>
        <w:tc>
          <w:tcPr>
            <w:tcW w:w="1170" w:type="pct"/>
            <w:noWrap w:val="0"/>
            <w:tcMar>
              <w:top w:w="16" w:type="dxa"/>
              <w:left w:w="16" w:type="dxa"/>
              <w:right w:w="16" w:type="dxa"/>
            </w:tcMar>
            <w:vAlign w:val="center"/>
          </w:tcPr>
          <w:p>
            <w:pPr>
              <w:jc w:val="center"/>
              <w:rPr>
                <w:rFonts w:hint="default" w:ascii="Times New Roman" w:hAnsi="Times New Roman" w:cs="Times New Roman"/>
                <w:sz w:val="24"/>
                <w:szCs w:val="24"/>
              </w:rPr>
            </w:pPr>
            <w:r>
              <w:rPr>
                <w:rFonts w:hint="default" w:ascii="Times New Roman" w:hAnsi="Times New Roman" w:cs="Times New Roman"/>
                <w:sz w:val="24"/>
                <w:szCs w:val="24"/>
              </w:rPr>
              <w:t>环保投资（万元）</w:t>
            </w:r>
          </w:p>
        </w:tc>
        <w:tc>
          <w:tcPr>
            <w:tcW w:w="1897" w:type="pct"/>
            <w:noWrap w:val="0"/>
            <w:vAlign w:val="center"/>
          </w:tcPr>
          <w:p>
            <w:pPr>
              <w:jc w:val="center"/>
              <w:rPr>
                <w:rFonts w:hint="default" w:ascii="Times New Roman" w:hAnsi="Times New Roman" w:cs="Times New Roman"/>
                <w:sz w:val="24"/>
                <w:szCs w:val="24"/>
                <w:lang w:val="en-US" w:eastAsia="zh-CN"/>
              </w:rPr>
            </w:pPr>
            <w:r>
              <w:rPr>
                <w:rFonts w:hint="eastAsia" w:cs="Times New Roman"/>
                <w:sz w:val="24"/>
                <w:szCs w:val="24"/>
                <w:lang w:val="en-US" w:eastAsia="zh-CN"/>
              </w:rPr>
              <w:t>50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04" w:type="pct"/>
            <w:noWrap w:val="0"/>
            <w:tcMar>
              <w:top w:w="16" w:type="dxa"/>
              <w:left w:w="16" w:type="dxa"/>
              <w:right w:w="16" w:type="dxa"/>
            </w:tcMar>
            <w:vAlign w:val="center"/>
          </w:tcPr>
          <w:p>
            <w:pPr>
              <w:adjustRightInd w:val="0"/>
              <w:snapToGrid w:val="0"/>
              <w:jc w:val="center"/>
              <w:rPr>
                <w:rFonts w:hint="default" w:ascii="Times New Roman" w:hAnsi="Times New Roman" w:cs="Times New Roman"/>
                <w:sz w:val="24"/>
                <w:szCs w:val="24"/>
              </w:rPr>
            </w:pPr>
            <w:r>
              <w:rPr>
                <w:rFonts w:hint="default" w:ascii="Times New Roman" w:hAnsi="Times New Roman" w:cs="Times New Roman"/>
                <w:sz w:val="24"/>
                <w:szCs w:val="24"/>
              </w:rPr>
              <w:t>环保投资占比（%）</w:t>
            </w:r>
          </w:p>
        </w:tc>
        <w:tc>
          <w:tcPr>
            <w:tcW w:w="827" w:type="pct"/>
            <w:noWrap w:val="0"/>
            <w:vAlign w:val="center"/>
          </w:tcPr>
          <w:p>
            <w:pPr>
              <w:adjustRightInd w:val="0"/>
              <w:snapToGrid w:val="0"/>
              <w:jc w:val="center"/>
              <w:rPr>
                <w:rFonts w:hint="default" w:ascii="Times New Roman" w:hAnsi="Times New Roman" w:cs="Times New Roman"/>
                <w:sz w:val="24"/>
                <w:szCs w:val="24"/>
              </w:rPr>
            </w:pPr>
            <w:r>
              <w:rPr>
                <w:rFonts w:hint="eastAsia" w:cs="Times New Roman"/>
                <w:color w:val="auto"/>
                <w:sz w:val="24"/>
                <w:szCs w:val="24"/>
                <w:lang w:val="en-US" w:eastAsia="zh-CN"/>
              </w:rPr>
              <w:t>1.67</w:t>
            </w:r>
            <w:r>
              <w:rPr>
                <w:rFonts w:hint="default" w:ascii="Times New Roman" w:hAnsi="Times New Roman" w:cs="Times New Roman"/>
                <w:color w:val="auto"/>
                <w:sz w:val="24"/>
                <w:szCs w:val="24"/>
                <w:lang w:val="en-US" w:eastAsia="zh-CN"/>
              </w:rPr>
              <w:t>%</w:t>
            </w:r>
          </w:p>
        </w:tc>
        <w:tc>
          <w:tcPr>
            <w:tcW w:w="1170" w:type="pct"/>
            <w:noWrap w:val="0"/>
            <w:tcMar>
              <w:top w:w="16" w:type="dxa"/>
              <w:left w:w="16" w:type="dxa"/>
              <w:right w:w="16" w:type="dxa"/>
            </w:tcMar>
            <w:vAlign w:val="center"/>
          </w:tcPr>
          <w:p>
            <w:pPr>
              <w:adjustRightInd w:val="0"/>
              <w:snapToGrid w:val="0"/>
              <w:jc w:val="center"/>
              <w:rPr>
                <w:rFonts w:hint="default" w:ascii="Times New Roman" w:hAnsi="Times New Roman" w:cs="Times New Roman"/>
                <w:sz w:val="24"/>
                <w:szCs w:val="24"/>
              </w:rPr>
            </w:pPr>
            <w:r>
              <w:rPr>
                <w:rFonts w:hint="default" w:ascii="Times New Roman" w:hAnsi="Times New Roman" w:cs="Times New Roman"/>
                <w:sz w:val="24"/>
                <w:szCs w:val="24"/>
              </w:rPr>
              <w:t>施工工期</w:t>
            </w:r>
          </w:p>
        </w:tc>
        <w:tc>
          <w:tcPr>
            <w:tcW w:w="1897" w:type="pct"/>
            <w:noWrap w:val="0"/>
            <w:vAlign w:val="center"/>
          </w:tcPr>
          <w:p>
            <w:pPr>
              <w:adjustRightInd w:val="0"/>
              <w:snapToGrid w:val="0"/>
              <w:jc w:val="center"/>
              <w:rPr>
                <w:rFonts w:hint="default" w:ascii="Times New Roman" w:hAnsi="Times New Roman" w:eastAsia="宋体" w:cs="Times New Roman"/>
                <w:sz w:val="24"/>
                <w:szCs w:val="24"/>
                <w:lang w:val="en-US" w:eastAsia="zh-CN"/>
              </w:rPr>
            </w:pPr>
            <w:r>
              <w:rPr>
                <w:rFonts w:hint="eastAsia" w:cs="Times New Roman"/>
                <w:sz w:val="24"/>
                <w:szCs w:val="24"/>
                <w:lang w:val="en-US" w:eastAsia="zh-CN"/>
              </w:rPr>
              <w:t>4月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04" w:type="pct"/>
            <w:noWrap w:val="0"/>
            <w:tcMar>
              <w:top w:w="16" w:type="dxa"/>
              <w:left w:w="16" w:type="dxa"/>
              <w:right w:w="16" w:type="dxa"/>
            </w:tcMar>
            <w:vAlign w:val="center"/>
          </w:tcPr>
          <w:p>
            <w:pPr>
              <w:adjustRightInd w:val="0"/>
              <w:snapToGrid w:val="0"/>
              <w:jc w:val="center"/>
              <w:rPr>
                <w:rFonts w:hint="default" w:ascii="Times New Roman" w:hAnsi="Times New Roman" w:cs="Times New Roman"/>
                <w:sz w:val="24"/>
                <w:szCs w:val="24"/>
              </w:rPr>
            </w:pPr>
            <w:r>
              <w:rPr>
                <w:rFonts w:hint="default" w:ascii="Times New Roman" w:hAnsi="Times New Roman" w:cs="Times New Roman"/>
                <w:sz w:val="24"/>
                <w:szCs w:val="24"/>
              </w:rPr>
              <w:t>是否开工建设</w:t>
            </w:r>
          </w:p>
        </w:tc>
        <w:tc>
          <w:tcPr>
            <w:tcW w:w="827" w:type="pct"/>
            <w:noWrap w:val="0"/>
            <w:vAlign w:val="center"/>
          </w:tcPr>
          <w:p>
            <w:pPr>
              <w:adjustRightInd w:val="0"/>
              <w:snapToGrid w:val="0"/>
              <w:rPr>
                <w:rFonts w:hint="default" w:ascii="Times New Roman" w:hAnsi="Times New Roman" w:cs="Times New Roman"/>
                <w:sz w:val="24"/>
                <w:szCs w:val="24"/>
              </w:rPr>
            </w:pPr>
            <w:r>
              <w:rPr>
                <w:rFonts w:hint="default" w:ascii="Times New Roman" w:hAnsi="Times New Roman" w:cs="Times New Roman"/>
                <w:szCs w:val="21"/>
                <w:lang w:eastAsia="zh-CN"/>
              </w:rPr>
              <w:t>☑</w:t>
            </w:r>
            <w:r>
              <w:rPr>
                <w:rFonts w:hint="default" w:ascii="Times New Roman" w:hAnsi="Times New Roman" w:cs="Times New Roman"/>
                <w:sz w:val="24"/>
                <w:szCs w:val="24"/>
              </w:rPr>
              <w:t>否</w:t>
            </w:r>
          </w:p>
          <w:p>
            <w:pPr>
              <w:adjustRightInd w:val="0"/>
              <w:snapToGrid w:val="0"/>
              <w:rPr>
                <w:rFonts w:hint="default" w:ascii="Times New Roman" w:hAnsi="Times New Roman" w:cs="Times New Roman"/>
                <w:sz w:val="24"/>
                <w:szCs w:val="24"/>
              </w:rPr>
            </w:pPr>
            <w:r>
              <w:rPr>
                <w:rFonts w:hint="default" w:ascii="Times New Roman" w:hAnsi="Times New Roman" w:cs="Times New Roman"/>
                <w:szCs w:val="21"/>
                <w:lang w:eastAsia="zh-CN"/>
              </w:rPr>
              <w:t>□</w:t>
            </w:r>
            <w:r>
              <w:rPr>
                <w:rFonts w:hint="default" w:ascii="Times New Roman" w:hAnsi="Times New Roman" w:cs="Times New Roman"/>
                <w:sz w:val="24"/>
                <w:szCs w:val="24"/>
              </w:rPr>
              <w:t>是：</w:t>
            </w:r>
            <w:r>
              <w:rPr>
                <w:rFonts w:hint="default" w:ascii="Times New Roman" w:hAnsi="Times New Roman" w:cs="Times New Roman"/>
                <w:sz w:val="24"/>
                <w:szCs w:val="24"/>
                <w:u w:val="single"/>
              </w:rPr>
              <w:t xml:space="preserve">      </w:t>
            </w:r>
            <w:r>
              <w:rPr>
                <w:rFonts w:hint="default" w:ascii="Times New Roman" w:hAnsi="Times New Roman" w:cs="Times New Roman"/>
                <w:sz w:val="24"/>
                <w:szCs w:val="24"/>
                <w:u w:val="single"/>
                <w:lang w:val="en-US" w:eastAsia="zh-CN"/>
              </w:rPr>
              <w:t>/</w:t>
            </w:r>
            <w:r>
              <w:rPr>
                <w:rFonts w:hint="default" w:ascii="Times New Roman" w:hAnsi="Times New Roman" w:cs="Times New Roman"/>
                <w:sz w:val="24"/>
                <w:szCs w:val="24"/>
                <w:u w:val="single"/>
              </w:rPr>
              <w:t xml:space="preserve">       </w:t>
            </w:r>
          </w:p>
        </w:tc>
        <w:tc>
          <w:tcPr>
            <w:tcW w:w="1170" w:type="pct"/>
            <w:noWrap w:val="0"/>
            <w:tcMar>
              <w:top w:w="16" w:type="dxa"/>
              <w:left w:w="16" w:type="dxa"/>
              <w:right w:w="16" w:type="dxa"/>
            </w:tcMar>
            <w:vAlign w:val="center"/>
          </w:tcPr>
          <w:p>
            <w:pPr>
              <w:adjustRightInd w:val="0"/>
              <w:snapToGrid w:val="0"/>
              <w:jc w:val="center"/>
              <w:rPr>
                <w:rFonts w:hint="default" w:ascii="Times New Roman" w:hAnsi="Times New Roman" w:cs="Times New Roman"/>
                <w:spacing w:val="-6"/>
                <w:sz w:val="24"/>
                <w:szCs w:val="24"/>
              </w:rPr>
            </w:pPr>
            <w:r>
              <w:rPr>
                <w:rFonts w:hint="default" w:ascii="Times New Roman" w:hAnsi="Times New Roman" w:cs="Times New Roman"/>
                <w:spacing w:val="-6"/>
                <w:sz w:val="24"/>
                <w:szCs w:val="24"/>
              </w:rPr>
              <w:t>用地（用海）</w:t>
            </w:r>
          </w:p>
          <w:p>
            <w:pPr>
              <w:adjustRightInd w:val="0"/>
              <w:snapToGrid w:val="0"/>
              <w:jc w:val="center"/>
              <w:rPr>
                <w:rFonts w:hint="default" w:ascii="Times New Roman" w:hAnsi="Times New Roman" w:cs="Times New Roman"/>
                <w:sz w:val="24"/>
                <w:szCs w:val="24"/>
              </w:rPr>
            </w:pPr>
            <w:r>
              <w:rPr>
                <w:rFonts w:hint="default" w:ascii="Times New Roman" w:hAnsi="Times New Roman" w:cs="Times New Roman"/>
                <w:spacing w:val="-6"/>
                <w:sz w:val="24"/>
                <w:szCs w:val="24"/>
              </w:rPr>
              <w:t>面积（m</w:t>
            </w:r>
            <w:r>
              <w:rPr>
                <w:rFonts w:hint="default" w:ascii="Times New Roman" w:hAnsi="Times New Roman" w:cs="Times New Roman"/>
                <w:spacing w:val="-6"/>
                <w:sz w:val="24"/>
                <w:szCs w:val="24"/>
                <w:vertAlign w:val="superscript"/>
              </w:rPr>
              <w:t>2</w:t>
            </w:r>
            <w:r>
              <w:rPr>
                <w:rFonts w:hint="default" w:ascii="Times New Roman" w:hAnsi="Times New Roman" w:cs="Times New Roman"/>
                <w:spacing w:val="-6"/>
                <w:sz w:val="24"/>
                <w:szCs w:val="24"/>
              </w:rPr>
              <w:t>）</w:t>
            </w:r>
          </w:p>
        </w:tc>
        <w:tc>
          <w:tcPr>
            <w:tcW w:w="1897" w:type="pct"/>
            <w:noWrap w:val="0"/>
            <w:vAlign w:val="center"/>
          </w:tcPr>
          <w:p>
            <w:pPr>
              <w:adjustRightInd w:val="0"/>
              <w:snapToGrid w:val="0"/>
              <w:jc w:val="center"/>
              <w:rPr>
                <w:rFonts w:hint="default" w:ascii="Times New Roman" w:hAnsi="Times New Roman" w:cs="Times New Roman"/>
                <w:sz w:val="24"/>
                <w:szCs w:val="24"/>
              </w:rPr>
            </w:pPr>
            <w:r>
              <w:rPr>
                <w:rFonts w:hint="eastAsia" w:cs="Times New Roman"/>
                <w:szCs w:val="21"/>
                <w:lang w:val="en-US" w:eastAsia="zh-CN"/>
              </w:rPr>
              <w:t>3333.3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04" w:type="pct"/>
            <w:noWrap w:val="0"/>
            <w:vAlign w:val="center"/>
          </w:tcPr>
          <w:p>
            <w:pPr>
              <w:autoSpaceDE w:val="0"/>
              <w:autoSpaceDN w:val="0"/>
              <w:adjustRightInd w:val="0"/>
              <w:snapToGrid w:val="0"/>
              <w:jc w:val="center"/>
              <w:rPr>
                <w:rFonts w:hint="default" w:ascii="Times New Roman" w:hAnsi="Times New Roman" w:cs="Times New Roman"/>
                <w:kern w:val="0"/>
                <w:sz w:val="24"/>
                <w:szCs w:val="24"/>
              </w:rPr>
            </w:pPr>
            <w:r>
              <w:rPr>
                <w:rFonts w:hint="default" w:ascii="Times New Roman" w:hAnsi="Times New Roman" w:cs="Times New Roman"/>
                <w:kern w:val="0"/>
                <w:sz w:val="24"/>
                <w:szCs w:val="24"/>
              </w:rPr>
              <w:t>专项评价设置情况</w:t>
            </w:r>
          </w:p>
        </w:tc>
        <w:tc>
          <w:tcPr>
            <w:tcW w:w="3895" w:type="pct"/>
            <w:gridSpan w:val="3"/>
            <w:noWrap w:val="0"/>
            <w:vAlign w:val="center"/>
          </w:tcPr>
          <w:p>
            <w:pPr>
              <w:jc w:val="center"/>
              <w:rPr>
                <w:rFonts w:hint="default" w:ascii="Times New Roman" w:hAnsi="Times New Roman" w:cs="Times New Roman"/>
                <w:kern w:val="0"/>
                <w:sz w:val="24"/>
                <w:szCs w:val="24"/>
              </w:rPr>
            </w:pPr>
            <w:r>
              <w:rPr>
                <w:rFonts w:hint="default" w:ascii="Times New Roman" w:hAnsi="Times New Roman" w:cs="Times New Roman"/>
                <w:sz w:val="24"/>
                <w:szCs w:val="24"/>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04" w:type="pct"/>
            <w:noWrap w:val="0"/>
            <w:vAlign w:val="center"/>
          </w:tcPr>
          <w:p>
            <w:pPr>
              <w:autoSpaceDE w:val="0"/>
              <w:autoSpaceDN w:val="0"/>
              <w:adjustRightInd w:val="0"/>
              <w:snapToGrid w:val="0"/>
              <w:jc w:val="center"/>
              <w:rPr>
                <w:rFonts w:hint="default" w:ascii="Times New Roman" w:hAnsi="Times New Roman" w:cs="Times New Roman"/>
                <w:color w:val="FF0000"/>
                <w:kern w:val="0"/>
                <w:szCs w:val="21"/>
              </w:rPr>
            </w:pPr>
            <w:r>
              <w:rPr>
                <w:rFonts w:hint="default" w:ascii="Times New Roman" w:hAnsi="Times New Roman" w:cs="Times New Roman"/>
                <w:color w:val="auto"/>
                <w:sz w:val="24"/>
                <w:szCs w:val="24"/>
              </w:rPr>
              <w:t>规划情况</w:t>
            </w:r>
          </w:p>
        </w:tc>
        <w:tc>
          <w:tcPr>
            <w:tcW w:w="3895" w:type="pct"/>
            <w:gridSpan w:val="3"/>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outlineLvl w:val="9"/>
              <w:rPr>
                <w:rFonts w:hint="eastAsia" w:ascii="Times New Roman" w:hAnsi="Times New Roman" w:eastAsia="宋体" w:cs="Times New Roman"/>
                <w:kern w:val="0"/>
                <w:szCs w:val="21"/>
                <w:lang w:eastAsia="zh-CN"/>
              </w:rPr>
            </w:pPr>
            <w:r>
              <w:rPr>
                <w:rFonts w:hint="eastAsia" w:cs="Times New Roman"/>
                <w:lang w:eastAsia="zh-CN"/>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04" w:type="pct"/>
            <w:noWrap w:val="0"/>
            <w:vAlign w:val="center"/>
          </w:tcPr>
          <w:p>
            <w:pPr>
              <w:adjustRightInd w:val="0"/>
              <w:snapToGrid w:val="0"/>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规划环境影响</w:t>
            </w:r>
          </w:p>
          <w:p>
            <w:pPr>
              <w:adjustRightInd w:val="0"/>
              <w:snapToGrid w:val="0"/>
              <w:jc w:val="center"/>
              <w:rPr>
                <w:rFonts w:hint="default" w:ascii="Times New Roman" w:hAnsi="Times New Roman" w:cs="Times New Roman"/>
                <w:color w:val="FF0000"/>
                <w:kern w:val="0"/>
                <w:sz w:val="24"/>
                <w:szCs w:val="24"/>
              </w:rPr>
            </w:pPr>
            <w:r>
              <w:rPr>
                <w:rFonts w:hint="default" w:ascii="Times New Roman" w:hAnsi="Times New Roman" w:cs="Times New Roman"/>
                <w:color w:val="auto"/>
                <w:sz w:val="24"/>
                <w:szCs w:val="24"/>
              </w:rPr>
              <w:t>评价情况</w:t>
            </w:r>
          </w:p>
        </w:tc>
        <w:tc>
          <w:tcPr>
            <w:tcW w:w="3895" w:type="pct"/>
            <w:gridSpan w:val="3"/>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outlineLvl w:val="9"/>
              <w:rPr>
                <w:rFonts w:hint="default" w:ascii="Times New Roman" w:hAnsi="Times New Roman" w:cs="Times New Roman"/>
              </w:rPr>
            </w:pPr>
            <w:r>
              <w:rPr>
                <w:rFonts w:hint="eastAsia" w:cs="Times New Roman"/>
                <w:sz w:val="24"/>
                <w:szCs w:val="32"/>
                <w:lang w:eastAsia="zh-CN"/>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04" w:type="pct"/>
            <w:noWrap w:val="0"/>
            <w:vAlign w:val="center"/>
          </w:tcPr>
          <w:p>
            <w:pPr>
              <w:autoSpaceDE w:val="0"/>
              <w:autoSpaceDN w:val="0"/>
              <w:adjustRightInd w:val="0"/>
              <w:snapToGrid w:val="0"/>
              <w:jc w:val="center"/>
              <w:rPr>
                <w:rFonts w:hint="default" w:ascii="Times New Roman" w:hAnsi="Times New Roman" w:cs="Times New Roman"/>
                <w:kern w:val="0"/>
                <w:szCs w:val="21"/>
              </w:rPr>
            </w:pPr>
            <w:r>
              <w:rPr>
                <w:rFonts w:hint="default" w:ascii="Times New Roman" w:hAnsi="Times New Roman" w:cs="Times New Roman"/>
                <w:color w:val="auto"/>
                <w:kern w:val="0"/>
                <w:sz w:val="24"/>
                <w:szCs w:val="24"/>
              </w:rPr>
              <w:t>规划及规划环境影响评价符合性分析</w:t>
            </w:r>
          </w:p>
        </w:tc>
        <w:tc>
          <w:tcPr>
            <w:tcW w:w="3895" w:type="pct"/>
            <w:gridSpan w:val="3"/>
            <w:noWrap w:val="0"/>
            <w:vAlign w:val="center"/>
          </w:tcPr>
          <w:p>
            <w:pPr>
              <w:pStyle w:val="18"/>
              <w:jc w:val="center"/>
              <w:rPr>
                <w:rFonts w:hint="default" w:ascii="Times New Roman" w:hAnsi="Times New Roman" w:cs="Times New Roman"/>
                <w:lang w:val="en-US" w:eastAsia="zh-CN"/>
              </w:rPr>
            </w:pPr>
            <w:r>
              <w:rPr>
                <w:rFonts w:hint="eastAsia" w:cs="Times New Roman"/>
                <w:lang w:val="en-US" w:eastAsia="zh-CN"/>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388" w:hRule="atLeast"/>
          <w:jc w:val="center"/>
        </w:trPr>
        <w:tc>
          <w:tcPr>
            <w:tcW w:w="1104" w:type="pct"/>
            <w:noWrap w:val="0"/>
            <w:vAlign w:val="center"/>
          </w:tcPr>
          <w:p>
            <w:pPr>
              <w:autoSpaceDE w:val="0"/>
              <w:autoSpaceDN w:val="0"/>
              <w:adjustRightInd w:val="0"/>
              <w:snapToGrid w:val="0"/>
              <w:jc w:val="center"/>
              <w:rPr>
                <w:rFonts w:hint="default" w:ascii="Times New Roman" w:hAnsi="Times New Roman" w:cs="Times New Roman"/>
                <w:kern w:val="0"/>
                <w:szCs w:val="21"/>
              </w:rPr>
            </w:pPr>
            <w:r>
              <w:rPr>
                <w:rFonts w:hint="default" w:ascii="Times New Roman" w:hAnsi="Times New Roman" w:cs="Times New Roman"/>
                <w:kern w:val="0"/>
                <w:sz w:val="24"/>
                <w:szCs w:val="24"/>
              </w:rPr>
              <w:t>其他符合性分析</w:t>
            </w:r>
          </w:p>
        </w:tc>
        <w:tc>
          <w:tcPr>
            <w:tcW w:w="3895" w:type="pct"/>
            <w:gridSpan w:val="3"/>
            <w:noWrap w:val="0"/>
            <w:vAlign w:val="center"/>
          </w:tcPr>
          <w:p>
            <w:pPr>
              <w:pStyle w:val="14"/>
              <w:bidi w:val="0"/>
              <w:rPr>
                <w:rFonts w:hint="default"/>
              </w:rPr>
            </w:pPr>
            <w:r>
              <w:rPr>
                <w:rFonts w:hint="eastAsia"/>
                <w:lang w:val="en-US" w:eastAsia="zh-CN"/>
              </w:rPr>
              <w:t>1</w:t>
            </w:r>
            <w:r>
              <w:rPr>
                <w:rFonts w:hint="default"/>
              </w:rPr>
              <w:t>、产业政策符合性分析</w:t>
            </w:r>
          </w:p>
          <w:p>
            <w:pPr>
              <w:pStyle w:val="14"/>
              <w:ind w:firstLine="480"/>
            </w:pPr>
            <w:r>
              <w:t>对照国家发改委颁布的《产业结构调整指导目录》（</w:t>
            </w:r>
            <w:r>
              <w:rPr>
                <w:rFonts w:hint="eastAsia"/>
                <w:lang w:val="en-US" w:eastAsia="zh-CN"/>
              </w:rPr>
              <w:t>2021年修订本</w:t>
            </w:r>
            <w:r>
              <w:t>），</w:t>
            </w:r>
            <w:r>
              <w:rPr>
                <w:rFonts w:hint="eastAsia"/>
              </w:rPr>
              <w:t>不属于“鼓励类、限制类、淘汰类”项目。根据《促进产业结构调整方向暂行规定》中第十三条“不属于鼓励类、限制类和淘汰类，且符合国家有关法律、法规规定的，为允许类”的规定，是国家允许建设的项目。因此本项目建设符合国家产业政策要求</w:t>
            </w:r>
            <w:r>
              <w:t>。</w:t>
            </w:r>
          </w:p>
          <w:p>
            <w:pPr>
              <w:pStyle w:val="14"/>
              <w:bidi w:val="0"/>
              <w:rPr>
                <w:rFonts w:hint="default"/>
              </w:rPr>
            </w:pPr>
            <w:r>
              <w:rPr>
                <w:rFonts w:hint="eastAsia"/>
                <w:lang w:val="en-US" w:eastAsia="zh-CN"/>
              </w:rPr>
              <w:t>2</w:t>
            </w:r>
            <w:r>
              <w:rPr>
                <w:rFonts w:hint="default"/>
                <w:lang w:val="en-US" w:eastAsia="zh-CN"/>
              </w:rPr>
              <w:t>、</w:t>
            </w:r>
            <w:r>
              <w:rPr>
                <w:rFonts w:hint="default"/>
              </w:rPr>
              <w:t>选址合理性分析</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outlineLvl w:val="9"/>
              <w:rPr>
                <w:rFonts w:hint="default"/>
                <w:lang w:val="en-US" w:eastAsia="zh-CN"/>
              </w:rPr>
            </w:pPr>
            <w:r>
              <w:rPr>
                <w:rFonts w:hint="default"/>
                <w:lang w:val="en-US" w:eastAsia="zh-CN"/>
              </w:rPr>
              <w:t>加油站及储油罐选址、总平面布置应符合《汽车加油加气加氢站技术标准》GB 50156-2021）的相关标准要求。</w:t>
            </w:r>
            <w:r>
              <w:t>本项目拟选址于</w:t>
            </w:r>
            <w:r>
              <w:rPr>
                <w:rFonts w:hint="eastAsia"/>
                <w:lang w:eastAsia="zh-CN"/>
              </w:rPr>
              <w:t>祁东县永昌街道南山大道南侧（南山大道与永湘路交叉口东南角）</w:t>
            </w:r>
            <w:r>
              <w:t>。</w:t>
            </w:r>
            <w:r>
              <w:rPr>
                <w:rFonts w:hint="default"/>
                <w:lang w:val="en-US" w:eastAsia="zh-CN"/>
              </w:rPr>
              <w:t>本项目设计建设情况与相关要求合理性分析情况见</w:t>
            </w:r>
            <w:r>
              <w:rPr>
                <w:rFonts w:hint="eastAsia"/>
                <w:lang w:val="en-US" w:eastAsia="zh-CN"/>
              </w:rPr>
              <w:t>下表</w:t>
            </w:r>
            <w:r>
              <w:rPr>
                <w:rFonts w:hint="default"/>
                <w:lang w:val="en-US" w:eastAsia="zh-CN"/>
              </w:rPr>
              <w:t>。</w:t>
            </w:r>
          </w:p>
          <w:p>
            <w:pPr>
              <w:pStyle w:val="36"/>
              <w:tabs>
                <w:tab w:val="left" w:pos="1021"/>
              </w:tabs>
              <w:rPr>
                <w:rFonts w:hint="default"/>
                <w:lang w:val="en-US" w:eastAsia="zh-CN"/>
              </w:rPr>
            </w:pPr>
            <w:r>
              <w:t>表</w:t>
            </w:r>
            <w:r>
              <w:rPr>
                <w:rFonts w:hint="eastAsia"/>
                <w:lang w:val="en-US" w:eastAsia="zh-CN"/>
              </w:rPr>
              <w:t>1-1</w:t>
            </w:r>
            <w:r>
              <w:rPr>
                <w:rFonts w:hint="default"/>
                <w:lang w:val="en-US" w:eastAsia="zh-CN"/>
              </w:rPr>
              <w:t>本项目选址与标准对比情况</w:t>
            </w:r>
          </w:p>
          <w:tbl>
            <w:tblPr>
              <w:tblStyle w:val="31"/>
              <w:tblW w:w="4997" w:type="pct"/>
              <w:tblInd w:w="-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6"/>
              <w:gridCol w:w="2219"/>
              <w:gridCol w:w="2504"/>
              <w:gridCol w:w="8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4" w:type="pct"/>
                  <w:tcBorders>
                    <w:tl2br w:val="nil"/>
                    <w:tr2bl w:val="nil"/>
                  </w:tcBorders>
                  <w:noWrap w:val="0"/>
                  <w:vAlign w:val="center"/>
                </w:tcPr>
                <w:p>
                  <w:pPr>
                    <w:pStyle w:val="35"/>
                    <w:bidi w:val="0"/>
                    <w:rPr>
                      <w:rFonts w:hint="default"/>
                      <w:lang w:val="en-US" w:eastAsia="zh-CN"/>
                    </w:rPr>
                  </w:pPr>
                  <w:r>
                    <w:rPr>
                      <w:rFonts w:hint="default"/>
                      <w:lang w:val="en-US" w:eastAsia="zh-CN"/>
                    </w:rPr>
                    <w:t>序号</w:t>
                  </w:r>
                </w:p>
              </w:tc>
              <w:tc>
                <w:tcPr>
                  <w:tcW w:w="1772" w:type="pct"/>
                  <w:tcBorders>
                    <w:tl2br w:val="nil"/>
                    <w:tr2bl w:val="nil"/>
                  </w:tcBorders>
                  <w:noWrap w:val="0"/>
                  <w:vAlign w:val="center"/>
                </w:tcPr>
                <w:p>
                  <w:pPr>
                    <w:pStyle w:val="35"/>
                    <w:bidi w:val="0"/>
                    <w:rPr>
                      <w:rFonts w:hint="default"/>
                      <w:lang w:val="en-US" w:eastAsia="zh-CN"/>
                    </w:rPr>
                  </w:pPr>
                  <w:r>
                    <w:rPr>
                      <w:rFonts w:hint="default"/>
                      <w:lang w:val="en-US" w:eastAsia="zh-CN"/>
                    </w:rPr>
                    <w:t>标准要求</w:t>
                  </w:r>
                </w:p>
              </w:tc>
              <w:tc>
                <w:tcPr>
                  <w:tcW w:w="1999" w:type="pct"/>
                  <w:tcBorders>
                    <w:tl2br w:val="nil"/>
                    <w:tr2bl w:val="nil"/>
                  </w:tcBorders>
                  <w:noWrap w:val="0"/>
                  <w:vAlign w:val="center"/>
                </w:tcPr>
                <w:p>
                  <w:pPr>
                    <w:pStyle w:val="35"/>
                    <w:bidi w:val="0"/>
                    <w:rPr>
                      <w:rFonts w:hint="default"/>
                      <w:lang w:val="en-US" w:eastAsia="zh-CN"/>
                    </w:rPr>
                  </w:pPr>
                  <w:r>
                    <w:rPr>
                      <w:rFonts w:hint="default"/>
                      <w:lang w:val="en-US" w:eastAsia="zh-CN"/>
                    </w:rPr>
                    <w:t>实际情况</w:t>
                  </w:r>
                </w:p>
              </w:tc>
              <w:tc>
                <w:tcPr>
                  <w:tcW w:w="663" w:type="pct"/>
                  <w:tcBorders>
                    <w:tl2br w:val="nil"/>
                    <w:tr2bl w:val="nil"/>
                  </w:tcBorders>
                  <w:noWrap w:val="0"/>
                  <w:vAlign w:val="center"/>
                </w:tcPr>
                <w:p>
                  <w:pPr>
                    <w:pStyle w:val="35"/>
                    <w:bidi w:val="0"/>
                    <w:rPr>
                      <w:rFonts w:hint="default"/>
                      <w:lang w:val="en-US" w:eastAsia="zh-CN"/>
                    </w:rPr>
                  </w:pPr>
                  <w:r>
                    <w:rPr>
                      <w:rFonts w:hint="default"/>
                      <w:lang w:val="en-US" w:eastAsia="zh-CN"/>
                    </w:rPr>
                    <w:t>符合情况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4" w:type="pct"/>
                  <w:tcBorders>
                    <w:tl2br w:val="nil"/>
                    <w:tr2bl w:val="nil"/>
                  </w:tcBorders>
                  <w:noWrap w:val="0"/>
                  <w:vAlign w:val="center"/>
                </w:tcPr>
                <w:p>
                  <w:pPr>
                    <w:pStyle w:val="35"/>
                    <w:bidi w:val="0"/>
                    <w:rPr>
                      <w:rFonts w:hint="default"/>
                      <w:lang w:val="en-US" w:eastAsia="zh-CN"/>
                    </w:rPr>
                  </w:pPr>
                  <w:r>
                    <w:rPr>
                      <w:rFonts w:hint="default"/>
                      <w:lang w:val="en-US" w:eastAsia="zh-CN"/>
                    </w:rPr>
                    <w:t>1</w:t>
                  </w:r>
                </w:p>
              </w:tc>
              <w:tc>
                <w:tcPr>
                  <w:tcW w:w="1772" w:type="pct"/>
                  <w:tcBorders>
                    <w:tl2br w:val="nil"/>
                    <w:tr2bl w:val="nil"/>
                  </w:tcBorders>
                  <w:noWrap w:val="0"/>
                  <w:vAlign w:val="center"/>
                </w:tcPr>
                <w:p>
                  <w:pPr>
                    <w:pStyle w:val="35"/>
                    <w:bidi w:val="0"/>
                    <w:rPr>
                      <w:rFonts w:hint="default"/>
                      <w:lang w:val="en-US" w:eastAsia="zh-CN"/>
                    </w:rPr>
                  </w:pPr>
                  <w:r>
                    <w:rPr>
                      <w:rFonts w:hint="default"/>
                      <w:lang w:val="en-US" w:eastAsia="zh-CN"/>
                    </w:rPr>
                    <w:t>汽车加油加气加氢站的站址选择，应符合有关规划、环境保护和防火安全的要求，并应选在交通便利、用户使用方便的地方。</w:t>
                  </w:r>
                </w:p>
              </w:tc>
              <w:tc>
                <w:tcPr>
                  <w:tcW w:w="1999" w:type="pct"/>
                  <w:tcBorders>
                    <w:tl2br w:val="nil"/>
                    <w:tr2bl w:val="nil"/>
                  </w:tcBorders>
                  <w:noWrap w:val="0"/>
                  <w:vAlign w:val="center"/>
                </w:tcPr>
                <w:p>
                  <w:pPr>
                    <w:pStyle w:val="35"/>
                    <w:bidi w:val="0"/>
                    <w:rPr>
                      <w:rFonts w:hint="default"/>
                      <w:lang w:val="en-US" w:eastAsia="zh-CN"/>
                    </w:rPr>
                  </w:pPr>
                  <w:r>
                    <w:rPr>
                      <w:rFonts w:hint="default"/>
                      <w:lang w:val="en-US" w:eastAsia="zh-CN"/>
                    </w:rPr>
                    <w:t>根据</w:t>
                  </w:r>
                  <w:r>
                    <w:rPr>
                      <w:rFonts w:hint="eastAsia"/>
                      <w:lang w:val="en-US" w:eastAsia="zh-CN"/>
                    </w:rPr>
                    <w:t>工程建设用地规划许可证</w:t>
                  </w:r>
                  <w:r>
                    <w:rPr>
                      <w:rFonts w:hint="default"/>
                      <w:lang w:val="en-US" w:eastAsia="zh-CN"/>
                    </w:rPr>
                    <w:t>和不动产权证，项目用地为加油站用地，符合土地规划要求，项目安全距离符合规定要求。项目位于</w:t>
                  </w:r>
                  <w:r>
                    <w:rPr>
                      <w:rFonts w:hint="eastAsia"/>
                      <w:lang w:eastAsia="zh-CN"/>
                    </w:rPr>
                    <w:t>祁东县永昌街道南山大道南侧（南山大道与永湘路交叉口东南角）</w:t>
                  </w:r>
                  <w:r>
                    <w:rPr>
                      <w:rFonts w:hint="default"/>
                      <w:lang w:val="en-US" w:eastAsia="zh-CN"/>
                    </w:rPr>
                    <w:t>，交通便利。</w:t>
                  </w:r>
                </w:p>
              </w:tc>
              <w:tc>
                <w:tcPr>
                  <w:tcW w:w="663" w:type="pct"/>
                  <w:tcBorders>
                    <w:tl2br w:val="nil"/>
                    <w:tr2bl w:val="nil"/>
                  </w:tcBorders>
                  <w:noWrap w:val="0"/>
                  <w:vAlign w:val="center"/>
                </w:tcPr>
                <w:p>
                  <w:pPr>
                    <w:pStyle w:val="35"/>
                    <w:bidi w:val="0"/>
                    <w:rPr>
                      <w:rFonts w:hint="default"/>
                      <w:lang w:val="en-US" w:eastAsia="zh-CN"/>
                    </w:rPr>
                  </w:pPr>
                  <w:r>
                    <w:rPr>
                      <w:rFonts w:hint="default"/>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4" w:type="pct"/>
                  <w:tcBorders>
                    <w:tl2br w:val="nil"/>
                    <w:tr2bl w:val="nil"/>
                  </w:tcBorders>
                  <w:noWrap w:val="0"/>
                  <w:vAlign w:val="center"/>
                </w:tcPr>
                <w:p>
                  <w:pPr>
                    <w:pStyle w:val="35"/>
                    <w:bidi w:val="0"/>
                    <w:rPr>
                      <w:rFonts w:hint="default"/>
                      <w:lang w:val="en-US" w:eastAsia="zh-CN"/>
                    </w:rPr>
                  </w:pPr>
                  <w:r>
                    <w:rPr>
                      <w:rFonts w:hint="default"/>
                      <w:lang w:val="en-US" w:eastAsia="zh-CN"/>
                    </w:rPr>
                    <w:t>2</w:t>
                  </w:r>
                </w:p>
              </w:tc>
              <w:tc>
                <w:tcPr>
                  <w:tcW w:w="1772" w:type="pct"/>
                  <w:tcBorders>
                    <w:tl2br w:val="nil"/>
                    <w:tr2bl w:val="nil"/>
                  </w:tcBorders>
                  <w:noWrap w:val="0"/>
                  <w:vAlign w:val="center"/>
                </w:tcPr>
                <w:p>
                  <w:pPr>
                    <w:pStyle w:val="35"/>
                    <w:bidi w:val="0"/>
                    <w:rPr>
                      <w:rFonts w:hint="default"/>
                      <w:lang w:val="en-US" w:eastAsia="zh-CN"/>
                    </w:rPr>
                  </w:pPr>
                  <w:r>
                    <w:rPr>
                      <w:rFonts w:hint="default"/>
                      <w:lang w:val="en-US" w:eastAsia="zh-CN"/>
                    </w:rPr>
                    <w:t>在城市中心区不宜建一级汽车加油加气加氢站、CNG加气母站。</w:t>
                  </w:r>
                </w:p>
              </w:tc>
              <w:tc>
                <w:tcPr>
                  <w:tcW w:w="1999" w:type="pct"/>
                  <w:tcBorders>
                    <w:tl2br w:val="nil"/>
                    <w:tr2bl w:val="nil"/>
                  </w:tcBorders>
                  <w:noWrap w:val="0"/>
                  <w:vAlign w:val="center"/>
                </w:tcPr>
                <w:p>
                  <w:pPr>
                    <w:pStyle w:val="35"/>
                    <w:bidi w:val="0"/>
                    <w:rPr>
                      <w:rFonts w:hint="default"/>
                      <w:lang w:val="en-US" w:eastAsia="zh-CN"/>
                    </w:rPr>
                  </w:pPr>
                  <w:r>
                    <w:rPr>
                      <w:rFonts w:hint="default"/>
                      <w:lang w:val="en-US" w:eastAsia="zh-CN"/>
                    </w:rPr>
                    <w:t>本项目为</w:t>
                  </w:r>
                  <w:r>
                    <w:rPr>
                      <w:rFonts w:hint="eastAsia"/>
                      <w:lang w:val="en-US" w:eastAsia="zh-CN"/>
                    </w:rPr>
                    <w:t>二</w:t>
                  </w:r>
                  <w:r>
                    <w:rPr>
                      <w:rFonts w:hint="default"/>
                      <w:lang w:val="en-US" w:eastAsia="zh-CN"/>
                    </w:rPr>
                    <w:t>级加油站。</w:t>
                  </w:r>
                </w:p>
              </w:tc>
              <w:tc>
                <w:tcPr>
                  <w:tcW w:w="663" w:type="pct"/>
                  <w:tcBorders>
                    <w:tl2br w:val="nil"/>
                    <w:tr2bl w:val="nil"/>
                  </w:tcBorders>
                  <w:noWrap w:val="0"/>
                  <w:vAlign w:val="center"/>
                </w:tcPr>
                <w:p>
                  <w:pPr>
                    <w:pStyle w:val="35"/>
                    <w:bidi w:val="0"/>
                    <w:rPr>
                      <w:rFonts w:hint="default"/>
                      <w:lang w:val="en-US" w:eastAsia="zh-CN"/>
                    </w:rPr>
                  </w:pPr>
                  <w:r>
                    <w:rPr>
                      <w:rFonts w:hint="default"/>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4" w:type="pct"/>
                  <w:tcBorders>
                    <w:tl2br w:val="nil"/>
                    <w:tr2bl w:val="nil"/>
                  </w:tcBorders>
                  <w:noWrap w:val="0"/>
                  <w:vAlign w:val="center"/>
                </w:tcPr>
                <w:p>
                  <w:pPr>
                    <w:pStyle w:val="35"/>
                    <w:bidi w:val="0"/>
                    <w:rPr>
                      <w:rFonts w:hint="default"/>
                      <w:lang w:val="en-US" w:eastAsia="zh-CN"/>
                    </w:rPr>
                  </w:pPr>
                  <w:r>
                    <w:rPr>
                      <w:rFonts w:hint="default"/>
                      <w:lang w:val="en-US" w:eastAsia="zh-CN"/>
                    </w:rPr>
                    <w:t>3</w:t>
                  </w:r>
                </w:p>
              </w:tc>
              <w:tc>
                <w:tcPr>
                  <w:tcW w:w="1772" w:type="pct"/>
                  <w:tcBorders>
                    <w:tl2br w:val="nil"/>
                    <w:tr2bl w:val="nil"/>
                  </w:tcBorders>
                  <w:noWrap w:val="0"/>
                  <w:vAlign w:val="center"/>
                </w:tcPr>
                <w:p>
                  <w:pPr>
                    <w:pStyle w:val="35"/>
                    <w:bidi w:val="0"/>
                    <w:rPr>
                      <w:rFonts w:hint="default"/>
                      <w:lang w:val="en-US" w:eastAsia="zh-CN"/>
                    </w:rPr>
                  </w:pPr>
                  <w:r>
                    <w:rPr>
                      <w:rFonts w:hint="default"/>
                      <w:lang w:val="en-US" w:eastAsia="zh-CN"/>
                    </w:rPr>
                    <w:t>城市建成区内的汽车加油加气加氢站宜靠近城市道路，但不宜选在城市干道的交叉路口附近。</w:t>
                  </w:r>
                </w:p>
              </w:tc>
              <w:tc>
                <w:tcPr>
                  <w:tcW w:w="1999" w:type="pct"/>
                  <w:tcBorders>
                    <w:tl2br w:val="nil"/>
                    <w:tr2bl w:val="nil"/>
                  </w:tcBorders>
                  <w:noWrap w:val="0"/>
                  <w:vAlign w:val="center"/>
                </w:tcPr>
                <w:p>
                  <w:pPr>
                    <w:pStyle w:val="35"/>
                    <w:bidi w:val="0"/>
                    <w:rPr>
                      <w:rFonts w:hint="default"/>
                      <w:lang w:val="en-US" w:eastAsia="zh-CN"/>
                    </w:rPr>
                  </w:pPr>
                  <w:r>
                    <w:rPr>
                      <w:rFonts w:hint="default"/>
                      <w:lang w:val="en-US" w:eastAsia="zh-CN"/>
                    </w:rPr>
                    <w:t>项目位于</w:t>
                  </w:r>
                  <w:r>
                    <w:rPr>
                      <w:rFonts w:hint="eastAsia"/>
                      <w:lang w:val="en-US" w:eastAsia="zh-CN"/>
                    </w:rPr>
                    <w:t>祁东县永昌街道南山大道南侧（南山大道与永湘路交叉口东南角）</w:t>
                  </w:r>
                  <w:r>
                    <w:rPr>
                      <w:rFonts w:hint="default"/>
                      <w:lang w:val="en-US" w:eastAsia="zh-CN"/>
                    </w:rPr>
                    <w:t>，靠近城市道路。本加油站距离</w:t>
                  </w:r>
                  <w:r>
                    <w:rPr>
                      <w:rFonts w:hint="eastAsia"/>
                      <w:lang w:val="en-US" w:eastAsia="zh-CN"/>
                    </w:rPr>
                    <w:t>日升路</w:t>
                  </w:r>
                  <w:r>
                    <w:rPr>
                      <w:rFonts w:hint="default"/>
                      <w:lang w:val="en-US" w:eastAsia="zh-CN"/>
                    </w:rPr>
                    <w:t>的安全间距符合要求</w:t>
                  </w:r>
                  <w:r>
                    <w:rPr>
                      <w:rFonts w:hint="eastAsia"/>
                      <w:lang w:val="en-US" w:eastAsia="zh-CN"/>
                    </w:rPr>
                    <w:t>。</w:t>
                  </w:r>
                </w:p>
              </w:tc>
              <w:tc>
                <w:tcPr>
                  <w:tcW w:w="663" w:type="pct"/>
                  <w:tcBorders>
                    <w:tl2br w:val="nil"/>
                    <w:tr2bl w:val="nil"/>
                  </w:tcBorders>
                  <w:noWrap w:val="0"/>
                  <w:vAlign w:val="center"/>
                </w:tcPr>
                <w:p>
                  <w:pPr>
                    <w:pStyle w:val="35"/>
                    <w:bidi w:val="0"/>
                    <w:rPr>
                      <w:rFonts w:hint="default"/>
                      <w:lang w:val="en-US" w:eastAsia="zh-CN"/>
                    </w:rPr>
                  </w:pPr>
                  <w:r>
                    <w:rPr>
                      <w:rFonts w:hint="default"/>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4" w:type="pct"/>
                  <w:tcBorders>
                    <w:tl2br w:val="nil"/>
                    <w:tr2bl w:val="nil"/>
                  </w:tcBorders>
                  <w:noWrap w:val="0"/>
                  <w:vAlign w:val="center"/>
                </w:tcPr>
                <w:p>
                  <w:pPr>
                    <w:pStyle w:val="35"/>
                    <w:bidi w:val="0"/>
                    <w:rPr>
                      <w:rFonts w:hint="default"/>
                      <w:lang w:val="en-US" w:eastAsia="zh-CN"/>
                    </w:rPr>
                  </w:pPr>
                  <w:r>
                    <w:rPr>
                      <w:rFonts w:hint="default"/>
                      <w:lang w:val="en-US" w:eastAsia="zh-CN"/>
                    </w:rPr>
                    <w:t>4</w:t>
                  </w:r>
                </w:p>
              </w:tc>
              <w:tc>
                <w:tcPr>
                  <w:tcW w:w="1772" w:type="pct"/>
                  <w:tcBorders>
                    <w:tl2br w:val="nil"/>
                    <w:tr2bl w:val="nil"/>
                  </w:tcBorders>
                  <w:noWrap w:val="0"/>
                  <w:vAlign w:val="center"/>
                </w:tcPr>
                <w:p>
                  <w:pPr>
                    <w:pStyle w:val="35"/>
                    <w:bidi w:val="0"/>
                    <w:rPr>
                      <w:rFonts w:hint="default"/>
                      <w:lang w:val="en-US" w:eastAsia="zh-CN"/>
                    </w:rPr>
                  </w:pPr>
                  <w:r>
                    <w:rPr>
                      <w:rFonts w:hint="default"/>
                      <w:lang w:val="en-US" w:eastAsia="zh-CN"/>
                    </w:rPr>
                    <w:t>加油站、各类合建站的汽油、柴油工艺设备与站外建{构}筑物的安全间距，不应小于表4.0.4 中规定。</w:t>
                  </w:r>
                </w:p>
              </w:tc>
              <w:tc>
                <w:tcPr>
                  <w:tcW w:w="1999" w:type="pct"/>
                  <w:tcBorders>
                    <w:tl2br w:val="nil"/>
                    <w:tr2bl w:val="nil"/>
                  </w:tcBorders>
                  <w:noWrap w:val="0"/>
                  <w:vAlign w:val="center"/>
                </w:tcPr>
                <w:p>
                  <w:pPr>
                    <w:pStyle w:val="35"/>
                    <w:bidi w:val="0"/>
                    <w:rPr>
                      <w:rFonts w:hint="default"/>
                      <w:lang w:val="en-US" w:eastAsia="zh-CN"/>
                    </w:rPr>
                  </w:pPr>
                  <w:r>
                    <w:rPr>
                      <w:rFonts w:hint="default"/>
                      <w:lang w:val="en-US" w:eastAsia="zh-CN"/>
                    </w:rPr>
                    <w:t>根据表1-</w:t>
                  </w:r>
                  <w:r>
                    <w:rPr>
                      <w:rFonts w:hint="eastAsia"/>
                      <w:lang w:val="en-US" w:eastAsia="zh-CN"/>
                    </w:rPr>
                    <w:t>2</w:t>
                  </w:r>
                  <w:r>
                    <w:rPr>
                      <w:rFonts w:hint="default"/>
                      <w:lang w:val="en-US" w:eastAsia="zh-CN"/>
                    </w:rPr>
                    <w:t>，项目安全间距符合要求。</w:t>
                  </w:r>
                </w:p>
              </w:tc>
              <w:tc>
                <w:tcPr>
                  <w:tcW w:w="663" w:type="pct"/>
                  <w:tcBorders>
                    <w:tl2br w:val="nil"/>
                    <w:tr2bl w:val="nil"/>
                  </w:tcBorders>
                  <w:noWrap w:val="0"/>
                  <w:vAlign w:val="center"/>
                </w:tcPr>
                <w:p>
                  <w:pPr>
                    <w:pStyle w:val="35"/>
                    <w:bidi w:val="0"/>
                    <w:rPr>
                      <w:rFonts w:hint="default"/>
                      <w:lang w:val="en-US" w:eastAsia="zh-CN"/>
                    </w:rPr>
                  </w:pPr>
                  <w:r>
                    <w:rPr>
                      <w:rFonts w:hint="default"/>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4" w:type="pct"/>
                  <w:tcBorders>
                    <w:tl2br w:val="nil"/>
                    <w:tr2bl w:val="nil"/>
                  </w:tcBorders>
                  <w:noWrap w:val="0"/>
                  <w:vAlign w:val="center"/>
                </w:tcPr>
                <w:p>
                  <w:pPr>
                    <w:pStyle w:val="35"/>
                    <w:bidi w:val="0"/>
                    <w:rPr>
                      <w:rFonts w:hint="default"/>
                      <w:lang w:val="en-US" w:eastAsia="zh-CN"/>
                    </w:rPr>
                  </w:pPr>
                  <w:r>
                    <w:rPr>
                      <w:rFonts w:hint="default"/>
                      <w:lang w:val="en-US" w:eastAsia="zh-CN"/>
                    </w:rPr>
                    <w:t>5</w:t>
                  </w:r>
                </w:p>
              </w:tc>
              <w:tc>
                <w:tcPr>
                  <w:tcW w:w="1772" w:type="pct"/>
                  <w:tcBorders>
                    <w:tl2br w:val="nil"/>
                    <w:tr2bl w:val="nil"/>
                  </w:tcBorders>
                  <w:noWrap w:val="0"/>
                  <w:vAlign w:val="center"/>
                </w:tcPr>
                <w:p>
                  <w:pPr>
                    <w:pStyle w:val="35"/>
                    <w:bidi w:val="0"/>
                    <w:rPr>
                      <w:rFonts w:hint="default"/>
                      <w:lang w:val="en-US" w:eastAsia="zh-CN"/>
                    </w:rPr>
                  </w:pPr>
                  <w:r>
                    <w:rPr>
                      <w:rFonts w:hint="default"/>
                      <w:lang w:val="en-US" w:eastAsia="zh-CN"/>
                    </w:rPr>
                    <w:t>架空电力线路不应跨越汽车加油加气加氢站的作业区</w:t>
                  </w:r>
                  <w:r>
                    <w:rPr>
                      <w:rFonts w:hint="eastAsia"/>
                      <w:lang w:val="en-US" w:eastAsia="zh-CN"/>
                    </w:rPr>
                    <w:t>。</w:t>
                  </w:r>
                </w:p>
              </w:tc>
              <w:tc>
                <w:tcPr>
                  <w:tcW w:w="1999" w:type="pct"/>
                  <w:tcBorders>
                    <w:tl2br w:val="nil"/>
                    <w:tr2bl w:val="nil"/>
                  </w:tcBorders>
                  <w:noWrap w:val="0"/>
                  <w:vAlign w:val="center"/>
                </w:tcPr>
                <w:p>
                  <w:pPr>
                    <w:pStyle w:val="35"/>
                    <w:bidi w:val="0"/>
                    <w:rPr>
                      <w:rFonts w:hint="default"/>
                      <w:lang w:val="en-US" w:eastAsia="zh-CN"/>
                    </w:rPr>
                  </w:pPr>
                  <w:r>
                    <w:rPr>
                      <w:rFonts w:hint="default"/>
                      <w:lang w:val="en-US" w:eastAsia="zh-CN"/>
                    </w:rPr>
                    <w:t>根据现场勘查，加油站区域无架空电力线路。</w:t>
                  </w:r>
                </w:p>
              </w:tc>
              <w:tc>
                <w:tcPr>
                  <w:tcW w:w="663" w:type="pct"/>
                  <w:tcBorders>
                    <w:tl2br w:val="nil"/>
                    <w:tr2bl w:val="nil"/>
                  </w:tcBorders>
                  <w:noWrap w:val="0"/>
                  <w:vAlign w:val="center"/>
                </w:tcPr>
                <w:p>
                  <w:pPr>
                    <w:pStyle w:val="35"/>
                    <w:bidi w:val="0"/>
                    <w:rPr>
                      <w:rFonts w:hint="default"/>
                      <w:lang w:val="en-US" w:eastAsia="zh-CN"/>
                    </w:rPr>
                  </w:pPr>
                  <w:r>
                    <w:rPr>
                      <w:rFonts w:hint="default"/>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4" w:type="pct"/>
                  <w:tcBorders>
                    <w:tl2br w:val="nil"/>
                    <w:tr2bl w:val="nil"/>
                  </w:tcBorders>
                  <w:noWrap w:val="0"/>
                  <w:vAlign w:val="center"/>
                </w:tcPr>
                <w:p>
                  <w:pPr>
                    <w:pStyle w:val="35"/>
                    <w:bidi w:val="0"/>
                    <w:rPr>
                      <w:rFonts w:hint="default"/>
                      <w:lang w:val="en-US" w:eastAsia="zh-CN"/>
                    </w:rPr>
                  </w:pPr>
                  <w:r>
                    <w:rPr>
                      <w:rFonts w:hint="default"/>
                      <w:lang w:val="en-US" w:eastAsia="zh-CN"/>
                    </w:rPr>
                    <w:t>6</w:t>
                  </w:r>
                </w:p>
              </w:tc>
              <w:tc>
                <w:tcPr>
                  <w:tcW w:w="1772" w:type="pct"/>
                  <w:tcBorders>
                    <w:tl2br w:val="nil"/>
                    <w:tr2bl w:val="nil"/>
                  </w:tcBorders>
                  <w:noWrap w:val="0"/>
                  <w:vAlign w:val="center"/>
                </w:tcPr>
                <w:p>
                  <w:pPr>
                    <w:pStyle w:val="35"/>
                    <w:bidi w:val="0"/>
                    <w:rPr>
                      <w:rFonts w:hint="default"/>
                      <w:lang w:val="en-US" w:eastAsia="zh-CN"/>
                    </w:rPr>
                  </w:pPr>
                  <w:r>
                    <w:rPr>
                      <w:rFonts w:hint="default"/>
                      <w:lang w:val="en-US" w:eastAsia="zh-CN"/>
                    </w:rPr>
                    <w:t>与汽车加油加气加氢站无关的可燃介质管道不应穿越汽车加油加气加氢站用地范围。</w:t>
                  </w:r>
                </w:p>
              </w:tc>
              <w:tc>
                <w:tcPr>
                  <w:tcW w:w="1999" w:type="pct"/>
                  <w:tcBorders>
                    <w:tl2br w:val="nil"/>
                    <w:tr2bl w:val="nil"/>
                  </w:tcBorders>
                  <w:noWrap w:val="0"/>
                  <w:vAlign w:val="center"/>
                </w:tcPr>
                <w:p>
                  <w:pPr>
                    <w:pStyle w:val="35"/>
                    <w:bidi w:val="0"/>
                    <w:rPr>
                      <w:rFonts w:hint="default"/>
                      <w:lang w:val="en-US" w:eastAsia="zh-CN"/>
                    </w:rPr>
                  </w:pPr>
                  <w:r>
                    <w:rPr>
                      <w:rFonts w:hint="default"/>
                      <w:lang w:val="en-US" w:eastAsia="zh-CN"/>
                    </w:rPr>
                    <w:t>根据现场勘查，加油站用地范围下无可燃介质管道。</w:t>
                  </w:r>
                </w:p>
              </w:tc>
              <w:tc>
                <w:tcPr>
                  <w:tcW w:w="663" w:type="pct"/>
                  <w:tcBorders>
                    <w:tl2br w:val="nil"/>
                    <w:tr2bl w:val="nil"/>
                  </w:tcBorders>
                  <w:noWrap w:val="0"/>
                  <w:vAlign w:val="center"/>
                </w:tcPr>
                <w:p>
                  <w:pPr>
                    <w:pStyle w:val="35"/>
                    <w:bidi w:val="0"/>
                    <w:rPr>
                      <w:rFonts w:hint="default"/>
                      <w:lang w:val="en-US" w:eastAsia="zh-CN"/>
                    </w:rPr>
                  </w:pPr>
                  <w:r>
                    <w:rPr>
                      <w:rFonts w:hint="default"/>
                      <w:lang w:val="en-US" w:eastAsia="zh-CN"/>
                    </w:rPr>
                    <w:t>符合</w:t>
                  </w:r>
                </w:p>
              </w:tc>
            </w:tr>
          </w:tbl>
          <w:p>
            <w:pPr>
              <w:pStyle w:val="36"/>
              <w:tabs>
                <w:tab w:val="left" w:pos="1021"/>
              </w:tabs>
              <w:rPr>
                <w:rFonts w:hint="eastAsia" w:eastAsia="宋体"/>
                <w:lang w:eastAsia="zh-CN"/>
              </w:rPr>
            </w:pPr>
            <w:r>
              <w:t xml:space="preserve">表 </w:t>
            </w:r>
            <w:r>
              <w:rPr>
                <w:rFonts w:hint="eastAsia"/>
                <w:lang w:val="en-US" w:eastAsia="zh-CN"/>
              </w:rPr>
              <w:t>1-2</w:t>
            </w:r>
            <w:r>
              <w:t>汽油</w:t>
            </w:r>
            <w:r>
              <w:rPr>
                <w:rFonts w:hint="eastAsia"/>
                <w:lang w:eastAsia="zh-CN"/>
              </w:rPr>
              <w:t>（柴油）工艺</w:t>
            </w:r>
            <w:r>
              <w:t>设备与站外建（构）筑物的安全间距</w:t>
            </w:r>
            <w:r>
              <w:rPr>
                <w:rFonts w:hint="eastAsia"/>
                <w:lang w:eastAsia="zh-CN"/>
              </w:rPr>
              <w:t>（</w:t>
            </w:r>
            <w:r>
              <w:rPr>
                <w:rFonts w:hint="default" w:ascii="Times New Roman" w:hAnsi="Times New Roman" w:cs="Times New Roman"/>
                <w:lang w:eastAsia="zh-CN"/>
              </w:rPr>
              <w:t>m</w:t>
            </w:r>
            <w:r>
              <w:rPr>
                <w:rFonts w:hint="eastAsia"/>
                <w:lang w:eastAsia="zh-CN"/>
              </w:rPr>
              <w:t>）</w:t>
            </w:r>
          </w:p>
          <w:tbl>
            <w:tblPr>
              <w:tblStyle w:val="31"/>
              <w:tblW w:w="626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220"/>
              <w:gridCol w:w="455"/>
              <w:gridCol w:w="207"/>
              <w:gridCol w:w="1369"/>
              <w:gridCol w:w="1110"/>
              <w:gridCol w:w="826"/>
              <w:gridCol w:w="987"/>
              <w:gridCol w:w="10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797" w:type="pct"/>
                  <w:gridSpan w:val="4"/>
                  <w:vMerge w:val="restart"/>
                  <w:vAlign w:val="center"/>
                </w:tcPr>
                <w:p>
                  <w:pPr>
                    <w:pStyle w:val="35"/>
                    <w:tabs>
                      <w:tab w:val="left" w:pos="1021"/>
                    </w:tabs>
                  </w:pPr>
                  <w:r>
                    <w:t>站外建（构）筑物</w:t>
                  </w:r>
                </w:p>
              </w:tc>
              <w:tc>
                <w:tcPr>
                  <w:tcW w:w="3202" w:type="pct"/>
                  <w:gridSpan w:val="4"/>
                  <w:vAlign w:val="center"/>
                </w:tcPr>
                <w:p>
                  <w:pPr>
                    <w:pStyle w:val="35"/>
                    <w:tabs>
                      <w:tab w:val="left" w:pos="1021"/>
                    </w:tabs>
                  </w:pPr>
                  <w:r>
                    <w:t>站内汽油设备 (拟设卸油和加油油气回收系统)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797" w:type="pct"/>
                  <w:gridSpan w:val="4"/>
                  <w:vMerge w:val="continue"/>
                  <w:vAlign w:val="center"/>
                </w:tcPr>
                <w:p>
                  <w:pPr>
                    <w:pStyle w:val="35"/>
                    <w:tabs>
                      <w:tab w:val="left" w:pos="1021"/>
                    </w:tabs>
                  </w:pPr>
                </w:p>
              </w:tc>
              <w:tc>
                <w:tcPr>
                  <w:tcW w:w="1545" w:type="pct"/>
                  <w:gridSpan w:val="2"/>
                  <w:vAlign w:val="center"/>
                </w:tcPr>
                <w:p>
                  <w:pPr>
                    <w:pStyle w:val="35"/>
                    <w:tabs>
                      <w:tab w:val="left" w:pos="1021"/>
                    </w:tabs>
                  </w:pPr>
                  <w:r>
                    <w:t>埋地油罐</w:t>
                  </w:r>
                </w:p>
              </w:tc>
              <w:tc>
                <w:tcPr>
                  <w:tcW w:w="1656" w:type="pct"/>
                  <w:gridSpan w:val="2"/>
                  <w:vAlign w:val="center"/>
                </w:tcPr>
                <w:p>
                  <w:pPr>
                    <w:pStyle w:val="35"/>
                    <w:tabs>
                      <w:tab w:val="left" w:pos="1021"/>
                    </w:tabs>
                  </w:pPr>
                  <w:r>
                    <w:t>加油机</w:t>
                  </w:r>
                  <w:r>
                    <w:rPr>
                      <w:rFonts w:hint="eastAsia"/>
                      <w:lang w:eastAsia="zh-CN"/>
                    </w:rPr>
                    <w:t>、油罐通气管口、油气回收处理装置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797" w:type="pct"/>
                  <w:gridSpan w:val="4"/>
                  <w:vMerge w:val="continue"/>
                  <w:vAlign w:val="center"/>
                </w:tcPr>
                <w:p>
                  <w:pPr>
                    <w:pStyle w:val="35"/>
                    <w:tabs>
                      <w:tab w:val="left" w:pos="1021"/>
                    </w:tabs>
                  </w:pPr>
                </w:p>
              </w:tc>
              <w:tc>
                <w:tcPr>
                  <w:tcW w:w="1545" w:type="pct"/>
                  <w:gridSpan w:val="2"/>
                  <w:vAlign w:val="center"/>
                </w:tcPr>
                <w:p>
                  <w:pPr>
                    <w:pStyle w:val="35"/>
                    <w:tabs>
                      <w:tab w:val="left" w:pos="1021"/>
                    </w:tabs>
                  </w:pPr>
                  <w:r>
                    <w:rPr>
                      <w:rFonts w:hint="eastAsia"/>
                      <w:lang w:eastAsia="zh-CN"/>
                    </w:rPr>
                    <w:t>二级</w:t>
                  </w:r>
                  <w:r>
                    <w:t>站</w:t>
                  </w:r>
                </w:p>
              </w:tc>
              <w:tc>
                <w:tcPr>
                  <w:tcW w:w="788" w:type="pct"/>
                  <w:vMerge w:val="restart"/>
                  <w:vAlign w:val="center"/>
                </w:tcPr>
                <w:p>
                  <w:pPr>
                    <w:pStyle w:val="35"/>
                    <w:tabs>
                      <w:tab w:val="left" w:pos="1021"/>
                    </w:tabs>
                  </w:pPr>
                  <w:r>
                    <w:t>标准值</w:t>
                  </w:r>
                </w:p>
              </w:tc>
              <w:tc>
                <w:tcPr>
                  <w:tcW w:w="867" w:type="pct"/>
                  <w:vMerge w:val="restart"/>
                  <w:vAlign w:val="center"/>
                </w:tcPr>
                <w:p>
                  <w:pPr>
                    <w:pStyle w:val="35"/>
                    <w:tabs>
                      <w:tab w:val="left" w:pos="1021"/>
                    </w:tabs>
                  </w:pPr>
                  <w:r>
                    <w:t>测算值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797" w:type="pct"/>
                  <w:gridSpan w:val="4"/>
                  <w:vMerge w:val="continue"/>
                  <w:vAlign w:val="center"/>
                </w:tcPr>
                <w:p>
                  <w:pPr>
                    <w:pStyle w:val="35"/>
                    <w:tabs>
                      <w:tab w:val="left" w:pos="1021"/>
                    </w:tabs>
                  </w:pPr>
                </w:p>
              </w:tc>
              <w:tc>
                <w:tcPr>
                  <w:tcW w:w="886" w:type="pct"/>
                  <w:vAlign w:val="center"/>
                </w:tcPr>
                <w:p>
                  <w:pPr>
                    <w:pStyle w:val="35"/>
                    <w:tabs>
                      <w:tab w:val="left" w:pos="1021"/>
                    </w:tabs>
                  </w:pPr>
                  <w:r>
                    <w:t>标准值</w:t>
                  </w:r>
                </w:p>
              </w:tc>
              <w:tc>
                <w:tcPr>
                  <w:tcW w:w="659" w:type="pct"/>
                  <w:vAlign w:val="center"/>
                </w:tcPr>
                <w:p>
                  <w:pPr>
                    <w:pStyle w:val="35"/>
                    <w:tabs>
                      <w:tab w:val="left" w:pos="1021"/>
                    </w:tabs>
                  </w:pPr>
                  <w:r>
                    <w:t>测算值</w:t>
                  </w:r>
                </w:p>
              </w:tc>
              <w:tc>
                <w:tcPr>
                  <w:tcW w:w="788" w:type="pct"/>
                  <w:vMerge w:val="continue"/>
                  <w:vAlign w:val="center"/>
                </w:tcPr>
                <w:p>
                  <w:pPr>
                    <w:pStyle w:val="35"/>
                    <w:tabs>
                      <w:tab w:val="left" w:pos="1021"/>
                    </w:tabs>
                  </w:pPr>
                </w:p>
              </w:tc>
              <w:tc>
                <w:tcPr>
                  <w:tcW w:w="867" w:type="pct"/>
                  <w:vMerge w:val="continue"/>
                  <w:vAlign w:val="center"/>
                </w:tcPr>
                <w:p>
                  <w:pPr>
                    <w:pStyle w:val="35"/>
                    <w:tabs>
                      <w:tab w:val="left" w:pos="1021"/>
                    </w:tabs>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75" w:type="pct"/>
                  <w:vMerge w:val="restart"/>
                  <w:vAlign w:val="center"/>
                </w:tcPr>
                <w:p>
                  <w:pPr>
                    <w:pStyle w:val="35"/>
                    <w:tabs>
                      <w:tab w:val="left" w:pos="1021"/>
                    </w:tabs>
                  </w:pPr>
                </w:p>
                <w:p>
                  <w:pPr>
                    <w:pStyle w:val="35"/>
                    <w:tabs>
                      <w:tab w:val="left" w:pos="1021"/>
                    </w:tabs>
                  </w:pPr>
                </w:p>
                <w:p>
                  <w:pPr>
                    <w:pStyle w:val="35"/>
                    <w:tabs>
                      <w:tab w:val="left" w:pos="1021"/>
                    </w:tabs>
                  </w:pPr>
                </w:p>
                <w:p>
                  <w:pPr>
                    <w:pStyle w:val="35"/>
                    <w:tabs>
                      <w:tab w:val="left" w:pos="1021"/>
                    </w:tabs>
                  </w:pPr>
                </w:p>
                <w:p>
                  <w:pPr>
                    <w:pStyle w:val="35"/>
                    <w:tabs>
                      <w:tab w:val="left" w:pos="1021"/>
                    </w:tabs>
                  </w:pPr>
                </w:p>
                <w:p>
                  <w:pPr>
                    <w:pStyle w:val="35"/>
                    <w:tabs>
                      <w:tab w:val="left" w:pos="1021"/>
                    </w:tabs>
                  </w:pPr>
                </w:p>
                <w:p>
                  <w:pPr>
                    <w:pStyle w:val="35"/>
                    <w:tabs>
                      <w:tab w:val="left" w:pos="1021"/>
                    </w:tabs>
                  </w:pPr>
                </w:p>
                <w:p>
                  <w:pPr>
                    <w:pStyle w:val="35"/>
                    <w:tabs>
                      <w:tab w:val="left" w:pos="1021"/>
                    </w:tabs>
                  </w:pPr>
                </w:p>
                <w:p>
                  <w:pPr>
                    <w:pStyle w:val="35"/>
                    <w:tabs>
                      <w:tab w:val="left" w:pos="1021"/>
                    </w:tabs>
                  </w:pPr>
                </w:p>
                <w:p>
                  <w:pPr>
                    <w:pStyle w:val="35"/>
                    <w:tabs>
                      <w:tab w:val="left" w:pos="1021"/>
                    </w:tabs>
                  </w:pPr>
                </w:p>
                <w:p>
                  <w:pPr>
                    <w:pStyle w:val="35"/>
                    <w:tabs>
                      <w:tab w:val="left" w:pos="1021"/>
                    </w:tabs>
                  </w:pPr>
                </w:p>
                <w:p>
                  <w:pPr>
                    <w:pStyle w:val="35"/>
                    <w:tabs>
                      <w:tab w:val="left" w:pos="1021"/>
                    </w:tabs>
                  </w:pPr>
                </w:p>
                <w:p>
                  <w:pPr>
                    <w:pStyle w:val="35"/>
                    <w:tabs>
                      <w:tab w:val="left" w:pos="1021"/>
                    </w:tabs>
                  </w:pPr>
                  <w:r>
                    <w:t>项目</w:t>
                  </w:r>
                </w:p>
              </w:tc>
              <w:tc>
                <w:tcPr>
                  <w:tcW w:w="1622" w:type="pct"/>
                  <w:gridSpan w:val="3"/>
                  <w:vAlign w:val="center"/>
                </w:tcPr>
                <w:p>
                  <w:pPr>
                    <w:pStyle w:val="35"/>
                    <w:tabs>
                      <w:tab w:val="left" w:pos="1021"/>
                    </w:tabs>
                  </w:pPr>
                  <w:r>
                    <w:t>重要公共建筑物</w:t>
                  </w:r>
                </w:p>
              </w:tc>
              <w:tc>
                <w:tcPr>
                  <w:tcW w:w="886" w:type="pct"/>
                  <w:vAlign w:val="center"/>
                </w:tcPr>
                <w:p>
                  <w:pPr>
                    <w:pStyle w:val="35"/>
                    <w:tabs>
                      <w:tab w:val="left" w:pos="1021"/>
                    </w:tabs>
                    <w:rPr>
                      <w:rFonts w:hint="eastAsia" w:eastAsia="宋体"/>
                      <w:lang w:val="en-US" w:eastAsia="zh-CN"/>
                    </w:rPr>
                  </w:pPr>
                  <w:r>
                    <w:t>35</w:t>
                  </w:r>
                  <w:r>
                    <w:rPr>
                      <w:rFonts w:hint="eastAsia"/>
                      <w:lang w:eastAsia="zh-CN"/>
                    </w:rPr>
                    <w:t>（</w:t>
                  </w:r>
                  <w:r>
                    <w:rPr>
                      <w:rFonts w:hint="eastAsia"/>
                      <w:lang w:val="en-US" w:eastAsia="zh-CN"/>
                    </w:rPr>
                    <w:t>25）</w:t>
                  </w:r>
                </w:p>
              </w:tc>
              <w:tc>
                <w:tcPr>
                  <w:tcW w:w="659" w:type="pct"/>
                  <w:vAlign w:val="center"/>
                </w:tcPr>
                <w:p>
                  <w:pPr>
                    <w:pStyle w:val="35"/>
                    <w:tabs>
                      <w:tab w:val="left" w:pos="1021"/>
                    </w:tabs>
                    <w:rPr>
                      <w:rFonts w:hint="default"/>
                      <w:lang w:val="en-US" w:eastAsia="zh-CN"/>
                    </w:rPr>
                  </w:pPr>
                  <w:r>
                    <w:rPr>
                      <w:rFonts w:hint="eastAsia"/>
                      <w:lang w:val="en-US" w:eastAsia="zh-CN"/>
                    </w:rPr>
                    <w:t>无</w:t>
                  </w:r>
                </w:p>
              </w:tc>
              <w:tc>
                <w:tcPr>
                  <w:tcW w:w="788" w:type="pct"/>
                  <w:vAlign w:val="center"/>
                </w:tcPr>
                <w:p>
                  <w:pPr>
                    <w:pStyle w:val="35"/>
                    <w:tabs>
                      <w:tab w:val="left" w:pos="1021"/>
                    </w:tabs>
                  </w:pPr>
                  <w:r>
                    <w:t>35</w:t>
                  </w:r>
                  <w:r>
                    <w:rPr>
                      <w:rFonts w:hint="eastAsia"/>
                      <w:lang w:eastAsia="zh-CN"/>
                    </w:rPr>
                    <w:t>（</w:t>
                  </w:r>
                  <w:r>
                    <w:rPr>
                      <w:rFonts w:hint="eastAsia"/>
                      <w:lang w:val="en-US" w:eastAsia="zh-CN"/>
                    </w:rPr>
                    <w:t>25）</w:t>
                  </w:r>
                </w:p>
              </w:tc>
              <w:tc>
                <w:tcPr>
                  <w:tcW w:w="867" w:type="pct"/>
                  <w:vAlign w:val="center"/>
                </w:tcPr>
                <w:p>
                  <w:pPr>
                    <w:pStyle w:val="35"/>
                    <w:tabs>
                      <w:tab w:val="left" w:pos="1021"/>
                    </w:tabs>
                    <w:rPr>
                      <w:rFonts w:hint="default"/>
                      <w:lang w:val="en-US" w:eastAsia="zh-CN"/>
                    </w:rPr>
                  </w:pPr>
                  <w:r>
                    <w:rPr>
                      <w:rFonts w:hint="eastAsia"/>
                      <w:lang w:val="en-US" w:eastAsia="zh-CN"/>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75" w:type="pct"/>
                  <w:vMerge w:val="continue"/>
                  <w:vAlign w:val="center"/>
                </w:tcPr>
                <w:p>
                  <w:pPr>
                    <w:pStyle w:val="35"/>
                    <w:tabs>
                      <w:tab w:val="left" w:pos="1021"/>
                    </w:tabs>
                  </w:pPr>
                </w:p>
              </w:tc>
              <w:tc>
                <w:tcPr>
                  <w:tcW w:w="1622" w:type="pct"/>
                  <w:gridSpan w:val="3"/>
                  <w:vAlign w:val="center"/>
                </w:tcPr>
                <w:p>
                  <w:pPr>
                    <w:pStyle w:val="35"/>
                    <w:tabs>
                      <w:tab w:val="left" w:pos="1021"/>
                    </w:tabs>
                  </w:pPr>
                  <w:r>
                    <w:t>明火或散发火花地点</w:t>
                  </w:r>
                </w:p>
              </w:tc>
              <w:tc>
                <w:tcPr>
                  <w:tcW w:w="886" w:type="pct"/>
                  <w:vAlign w:val="center"/>
                </w:tcPr>
                <w:p>
                  <w:pPr>
                    <w:pStyle w:val="35"/>
                    <w:tabs>
                      <w:tab w:val="left" w:pos="1021"/>
                    </w:tabs>
                    <w:rPr>
                      <w:rFonts w:hint="default"/>
                      <w:lang w:val="en-US" w:eastAsia="zh-CN"/>
                    </w:rPr>
                  </w:pPr>
                  <w:r>
                    <w:rPr>
                      <w:rFonts w:hint="eastAsia"/>
                      <w:lang w:val="en-US" w:eastAsia="zh-CN"/>
                    </w:rPr>
                    <w:t>17.5（12.5）</w:t>
                  </w:r>
                </w:p>
              </w:tc>
              <w:tc>
                <w:tcPr>
                  <w:tcW w:w="659" w:type="pct"/>
                  <w:vAlign w:val="center"/>
                </w:tcPr>
                <w:p>
                  <w:pPr>
                    <w:pStyle w:val="35"/>
                    <w:tabs>
                      <w:tab w:val="left" w:pos="1021"/>
                    </w:tabs>
                  </w:pPr>
                  <w:r>
                    <w:t>无</w:t>
                  </w:r>
                </w:p>
              </w:tc>
              <w:tc>
                <w:tcPr>
                  <w:tcW w:w="788" w:type="pct"/>
                  <w:vAlign w:val="center"/>
                </w:tcPr>
                <w:p>
                  <w:pPr>
                    <w:pStyle w:val="35"/>
                    <w:tabs>
                      <w:tab w:val="left" w:pos="1021"/>
                    </w:tabs>
                  </w:pPr>
                  <w:r>
                    <w:t>12.5</w:t>
                  </w:r>
                  <w:r>
                    <w:rPr>
                      <w:rFonts w:hint="eastAsia"/>
                      <w:lang w:eastAsia="zh-CN"/>
                    </w:rPr>
                    <w:t>（</w:t>
                  </w:r>
                  <w:r>
                    <w:rPr>
                      <w:rFonts w:hint="eastAsia"/>
                      <w:lang w:val="en-US" w:eastAsia="zh-CN"/>
                    </w:rPr>
                    <w:t>10）</w:t>
                  </w:r>
                </w:p>
              </w:tc>
              <w:tc>
                <w:tcPr>
                  <w:tcW w:w="867" w:type="pct"/>
                  <w:vAlign w:val="center"/>
                </w:tcPr>
                <w:p>
                  <w:pPr>
                    <w:pStyle w:val="35"/>
                    <w:tabs>
                      <w:tab w:val="left" w:pos="1021"/>
                    </w:tabs>
                  </w:pPr>
                  <w: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75" w:type="pct"/>
                  <w:vMerge w:val="continue"/>
                  <w:vAlign w:val="center"/>
                </w:tcPr>
                <w:p>
                  <w:pPr>
                    <w:pStyle w:val="35"/>
                    <w:tabs>
                      <w:tab w:val="left" w:pos="1021"/>
                    </w:tabs>
                  </w:pPr>
                </w:p>
              </w:tc>
              <w:tc>
                <w:tcPr>
                  <w:tcW w:w="529" w:type="pct"/>
                  <w:gridSpan w:val="2"/>
                  <w:vMerge w:val="restart"/>
                  <w:vAlign w:val="center"/>
                </w:tcPr>
                <w:p>
                  <w:pPr>
                    <w:pStyle w:val="35"/>
                    <w:tabs>
                      <w:tab w:val="left" w:pos="1021"/>
                    </w:tabs>
                  </w:pPr>
                  <w:r>
                    <w:t>民用建筑物保护类别</w:t>
                  </w:r>
                </w:p>
              </w:tc>
              <w:tc>
                <w:tcPr>
                  <w:tcW w:w="1092" w:type="pct"/>
                  <w:vAlign w:val="center"/>
                </w:tcPr>
                <w:p>
                  <w:pPr>
                    <w:pStyle w:val="35"/>
                    <w:tabs>
                      <w:tab w:val="left" w:pos="1021"/>
                    </w:tabs>
                  </w:pPr>
                  <w:r>
                    <w:t>一类保护物</w:t>
                  </w:r>
                </w:p>
              </w:tc>
              <w:tc>
                <w:tcPr>
                  <w:tcW w:w="886" w:type="pct"/>
                  <w:vAlign w:val="center"/>
                </w:tcPr>
                <w:p>
                  <w:pPr>
                    <w:pStyle w:val="35"/>
                    <w:tabs>
                      <w:tab w:val="left" w:pos="1021"/>
                    </w:tabs>
                    <w:rPr>
                      <w:rFonts w:hint="eastAsia" w:eastAsia="宋体"/>
                      <w:lang w:val="en-US" w:eastAsia="zh-CN"/>
                    </w:rPr>
                  </w:pPr>
                  <w:r>
                    <w:rPr>
                      <w:rFonts w:hint="eastAsia"/>
                      <w:lang w:val="en-US" w:eastAsia="zh-CN"/>
                    </w:rPr>
                    <w:t>14（6）</w:t>
                  </w:r>
                </w:p>
              </w:tc>
              <w:tc>
                <w:tcPr>
                  <w:tcW w:w="659" w:type="pct"/>
                  <w:vAlign w:val="center"/>
                </w:tcPr>
                <w:p>
                  <w:pPr>
                    <w:pStyle w:val="35"/>
                    <w:tabs>
                      <w:tab w:val="left" w:pos="1021"/>
                    </w:tabs>
                    <w:rPr>
                      <w:rFonts w:hint="eastAsia"/>
                      <w:lang w:eastAsia="zh-CN"/>
                    </w:rPr>
                  </w:pPr>
                  <w:r>
                    <w:rPr>
                      <w:rFonts w:hint="eastAsia"/>
                      <w:lang w:eastAsia="zh-CN"/>
                    </w:rPr>
                    <w:t>无</w:t>
                  </w:r>
                </w:p>
              </w:tc>
              <w:tc>
                <w:tcPr>
                  <w:tcW w:w="788" w:type="pct"/>
                  <w:vAlign w:val="center"/>
                </w:tcPr>
                <w:p>
                  <w:pPr>
                    <w:pStyle w:val="35"/>
                    <w:tabs>
                      <w:tab w:val="left" w:pos="1021"/>
                    </w:tabs>
                  </w:pPr>
                  <w:r>
                    <w:t>11</w:t>
                  </w:r>
                  <w:r>
                    <w:rPr>
                      <w:rFonts w:hint="eastAsia"/>
                      <w:lang w:eastAsia="zh-CN"/>
                    </w:rPr>
                    <w:t>（</w:t>
                  </w:r>
                  <w:r>
                    <w:rPr>
                      <w:rFonts w:hint="eastAsia"/>
                      <w:lang w:val="en-US" w:eastAsia="zh-CN"/>
                    </w:rPr>
                    <w:t>6）</w:t>
                  </w:r>
                </w:p>
              </w:tc>
              <w:tc>
                <w:tcPr>
                  <w:tcW w:w="867" w:type="pct"/>
                  <w:vAlign w:val="center"/>
                </w:tcPr>
                <w:p>
                  <w:pPr>
                    <w:pStyle w:val="35"/>
                    <w:tabs>
                      <w:tab w:val="left" w:pos="1021"/>
                    </w:tabs>
                    <w:rPr>
                      <w:rFonts w:hint="eastAsia"/>
                      <w:lang w:eastAsia="zh-CN"/>
                    </w:rPr>
                  </w:pPr>
                  <w:r>
                    <w:rPr>
                      <w:rFonts w:hint="eastAsia"/>
                      <w:lang w:eastAsia="zh-CN"/>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75" w:type="pct"/>
                  <w:vMerge w:val="continue"/>
                  <w:vAlign w:val="center"/>
                </w:tcPr>
                <w:p>
                  <w:pPr>
                    <w:pStyle w:val="35"/>
                    <w:tabs>
                      <w:tab w:val="left" w:pos="1021"/>
                    </w:tabs>
                  </w:pPr>
                </w:p>
              </w:tc>
              <w:tc>
                <w:tcPr>
                  <w:tcW w:w="529" w:type="pct"/>
                  <w:gridSpan w:val="2"/>
                  <w:vMerge w:val="continue"/>
                  <w:vAlign w:val="center"/>
                </w:tcPr>
                <w:p>
                  <w:pPr>
                    <w:pStyle w:val="35"/>
                    <w:tabs>
                      <w:tab w:val="left" w:pos="1021"/>
                    </w:tabs>
                  </w:pPr>
                </w:p>
              </w:tc>
              <w:tc>
                <w:tcPr>
                  <w:tcW w:w="1092" w:type="pct"/>
                  <w:vAlign w:val="center"/>
                </w:tcPr>
                <w:p>
                  <w:pPr>
                    <w:pStyle w:val="35"/>
                    <w:tabs>
                      <w:tab w:val="left" w:pos="1021"/>
                    </w:tabs>
                  </w:pPr>
                  <w:r>
                    <w:t>二类保护物</w:t>
                  </w:r>
                </w:p>
              </w:tc>
              <w:tc>
                <w:tcPr>
                  <w:tcW w:w="886" w:type="pct"/>
                  <w:vAlign w:val="center"/>
                </w:tcPr>
                <w:p>
                  <w:pPr>
                    <w:pStyle w:val="35"/>
                    <w:tabs>
                      <w:tab w:val="left" w:pos="1021"/>
                    </w:tabs>
                    <w:rPr>
                      <w:rFonts w:hint="default"/>
                      <w:lang w:val="en-US" w:eastAsia="zh-CN"/>
                    </w:rPr>
                  </w:pPr>
                  <w:r>
                    <w:rPr>
                      <w:rFonts w:hint="eastAsia"/>
                      <w:lang w:val="en-US" w:eastAsia="zh-CN"/>
                    </w:rPr>
                    <w:t>11（6）</w:t>
                  </w:r>
                </w:p>
              </w:tc>
              <w:tc>
                <w:tcPr>
                  <w:tcW w:w="659" w:type="pct"/>
                  <w:vAlign w:val="center"/>
                </w:tcPr>
                <w:p>
                  <w:pPr>
                    <w:pStyle w:val="35"/>
                    <w:tabs>
                      <w:tab w:val="left" w:pos="1021"/>
                    </w:tabs>
                    <w:rPr>
                      <w:rFonts w:hint="default"/>
                      <w:lang w:val="en-US" w:eastAsia="zh-CN"/>
                    </w:rPr>
                  </w:pPr>
                  <w:r>
                    <w:rPr>
                      <w:rFonts w:hint="eastAsia"/>
                      <w:lang w:val="en-US" w:eastAsia="zh-CN"/>
                    </w:rPr>
                    <w:t>48.9</w:t>
                  </w:r>
                </w:p>
              </w:tc>
              <w:tc>
                <w:tcPr>
                  <w:tcW w:w="788" w:type="pct"/>
                  <w:vAlign w:val="center"/>
                </w:tcPr>
                <w:p>
                  <w:pPr>
                    <w:pStyle w:val="35"/>
                    <w:tabs>
                      <w:tab w:val="left" w:pos="1021"/>
                    </w:tabs>
                  </w:pPr>
                  <w:r>
                    <w:t>8.5</w:t>
                  </w:r>
                  <w:r>
                    <w:rPr>
                      <w:rFonts w:hint="eastAsia"/>
                      <w:lang w:eastAsia="zh-CN"/>
                    </w:rPr>
                    <w:t>（</w:t>
                  </w:r>
                  <w:r>
                    <w:rPr>
                      <w:rFonts w:hint="eastAsia"/>
                      <w:lang w:val="en-US" w:eastAsia="zh-CN"/>
                    </w:rPr>
                    <w:t>6）</w:t>
                  </w:r>
                </w:p>
              </w:tc>
              <w:tc>
                <w:tcPr>
                  <w:tcW w:w="867" w:type="pct"/>
                  <w:vAlign w:val="center"/>
                </w:tcPr>
                <w:p>
                  <w:pPr>
                    <w:pStyle w:val="35"/>
                    <w:tabs>
                      <w:tab w:val="left" w:pos="1021"/>
                    </w:tabs>
                  </w:pPr>
                  <w:r>
                    <w:rPr>
                      <w:rFonts w:hint="eastAsia"/>
                      <w:lang w:val="en-US" w:eastAsia="zh-CN"/>
                    </w:rPr>
                    <w:t>48.9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75" w:type="pct"/>
                  <w:vMerge w:val="continue"/>
                  <w:vAlign w:val="center"/>
                </w:tcPr>
                <w:p>
                  <w:pPr>
                    <w:pStyle w:val="35"/>
                    <w:tabs>
                      <w:tab w:val="left" w:pos="1021"/>
                    </w:tabs>
                  </w:pPr>
                </w:p>
              </w:tc>
              <w:tc>
                <w:tcPr>
                  <w:tcW w:w="529" w:type="pct"/>
                  <w:gridSpan w:val="2"/>
                  <w:vMerge w:val="continue"/>
                  <w:vAlign w:val="center"/>
                </w:tcPr>
                <w:p>
                  <w:pPr>
                    <w:pStyle w:val="35"/>
                    <w:tabs>
                      <w:tab w:val="left" w:pos="1021"/>
                    </w:tabs>
                  </w:pPr>
                </w:p>
              </w:tc>
              <w:tc>
                <w:tcPr>
                  <w:tcW w:w="1092" w:type="pct"/>
                  <w:vAlign w:val="center"/>
                </w:tcPr>
                <w:p>
                  <w:pPr>
                    <w:pStyle w:val="35"/>
                    <w:tabs>
                      <w:tab w:val="left" w:pos="1021"/>
                    </w:tabs>
                  </w:pPr>
                  <w:r>
                    <w:t>三类保护物</w:t>
                  </w:r>
                </w:p>
              </w:tc>
              <w:tc>
                <w:tcPr>
                  <w:tcW w:w="886" w:type="pct"/>
                  <w:vAlign w:val="center"/>
                </w:tcPr>
                <w:p>
                  <w:pPr>
                    <w:pStyle w:val="35"/>
                    <w:tabs>
                      <w:tab w:val="left" w:pos="1021"/>
                    </w:tabs>
                    <w:rPr>
                      <w:rFonts w:hint="default"/>
                      <w:lang w:val="en-US" w:eastAsia="zh-CN"/>
                    </w:rPr>
                  </w:pPr>
                  <w:r>
                    <w:rPr>
                      <w:rFonts w:hint="eastAsia"/>
                      <w:lang w:val="en-US" w:eastAsia="zh-CN"/>
                    </w:rPr>
                    <w:t>8.5（6）</w:t>
                  </w:r>
                </w:p>
              </w:tc>
              <w:tc>
                <w:tcPr>
                  <w:tcW w:w="659" w:type="pct"/>
                  <w:vAlign w:val="center"/>
                </w:tcPr>
                <w:p>
                  <w:pPr>
                    <w:pStyle w:val="35"/>
                    <w:tabs>
                      <w:tab w:val="left" w:pos="1021"/>
                    </w:tabs>
                    <w:rPr>
                      <w:rFonts w:hint="default"/>
                      <w:lang w:val="en-US" w:eastAsia="zh-CN"/>
                    </w:rPr>
                  </w:pPr>
                  <w:r>
                    <w:rPr>
                      <w:rFonts w:hint="eastAsia"/>
                      <w:lang w:val="en-US" w:eastAsia="zh-CN"/>
                    </w:rPr>
                    <w:t>无</w:t>
                  </w:r>
                </w:p>
              </w:tc>
              <w:tc>
                <w:tcPr>
                  <w:tcW w:w="788" w:type="pct"/>
                  <w:vAlign w:val="center"/>
                </w:tcPr>
                <w:p>
                  <w:pPr>
                    <w:pStyle w:val="35"/>
                    <w:tabs>
                      <w:tab w:val="left" w:pos="1021"/>
                    </w:tabs>
                  </w:pPr>
                  <w:r>
                    <w:t>7</w:t>
                  </w:r>
                  <w:r>
                    <w:rPr>
                      <w:rFonts w:hint="eastAsia"/>
                      <w:lang w:eastAsia="zh-CN"/>
                    </w:rPr>
                    <w:t>（</w:t>
                  </w:r>
                  <w:r>
                    <w:rPr>
                      <w:rFonts w:hint="eastAsia"/>
                      <w:lang w:val="en-US" w:eastAsia="zh-CN"/>
                    </w:rPr>
                    <w:t>6）</w:t>
                  </w:r>
                </w:p>
              </w:tc>
              <w:tc>
                <w:tcPr>
                  <w:tcW w:w="867" w:type="pct"/>
                  <w:vAlign w:val="center"/>
                </w:tcPr>
                <w:p>
                  <w:pPr>
                    <w:pStyle w:val="35"/>
                    <w:tabs>
                      <w:tab w:val="left" w:pos="1021"/>
                    </w:tabs>
                    <w:rPr>
                      <w:rFonts w:hint="default"/>
                      <w:lang w:val="en-US" w:eastAsia="zh-CN"/>
                    </w:rPr>
                  </w:pPr>
                  <w:r>
                    <w:rPr>
                      <w:rFonts w:hint="eastAsia"/>
                      <w:lang w:val="en-US" w:eastAsia="zh-CN"/>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75" w:type="pct"/>
                  <w:vMerge w:val="continue"/>
                  <w:vAlign w:val="center"/>
                </w:tcPr>
                <w:p>
                  <w:pPr>
                    <w:pStyle w:val="35"/>
                    <w:tabs>
                      <w:tab w:val="left" w:pos="1021"/>
                    </w:tabs>
                  </w:pPr>
                </w:p>
              </w:tc>
              <w:tc>
                <w:tcPr>
                  <w:tcW w:w="1622" w:type="pct"/>
                  <w:gridSpan w:val="3"/>
                  <w:vAlign w:val="center"/>
                </w:tcPr>
                <w:p>
                  <w:pPr>
                    <w:pStyle w:val="35"/>
                    <w:tabs>
                      <w:tab w:val="left" w:pos="1021"/>
                    </w:tabs>
                  </w:pPr>
                  <w:r>
                    <w:t>甲、乙类物品生产厂房、库房和甲、乙类 液体储罐</w:t>
                  </w:r>
                </w:p>
              </w:tc>
              <w:tc>
                <w:tcPr>
                  <w:tcW w:w="886" w:type="pct"/>
                  <w:vAlign w:val="center"/>
                </w:tcPr>
                <w:p>
                  <w:pPr>
                    <w:pStyle w:val="35"/>
                    <w:tabs>
                      <w:tab w:val="left" w:pos="1021"/>
                    </w:tabs>
                    <w:rPr>
                      <w:rFonts w:hint="default"/>
                      <w:lang w:val="en-US" w:eastAsia="zh-CN"/>
                    </w:rPr>
                  </w:pPr>
                  <w:r>
                    <w:rPr>
                      <w:rFonts w:hint="eastAsia"/>
                      <w:lang w:val="en-US" w:eastAsia="zh-CN"/>
                    </w:rPr>
                    <w:t>15.5（11）</w:t>
                  </w:r>
                </w:p>
              </w:tc>
              <w:tc>
                <w:tcPr>
                  <w:tcW w:w="659" w:type="pct"/>
                  <w:vAlign w:val="center"/>
                </w:tcPr>
                <w:p>
                  <w:pPr>
                    <w:pStyle w:val="35"/>
                    <w:tabs>
                      <w:tab w:val="left" w:pos="1021"/>
                    </w:tabs>
                  </w:pPr>
                  <w:r>
                    <w:t>无</w:t>
                  </w:r>
                </w:p>
              </w:tc>
              <w:tc>
                <w:tcPr>
                  <w:tcW w:w="788" w:type="pct"/>
                  <w:vAlign w:val="center"/>
                </w:tcPr>
                <w:p>
                  <w:pPr>
                    <w:pStyle w:val="35"/>
                    <w:tabs>
                      <w:tab w:val="left" w:pos="1021"/>
                    </w:tabs>
                  </w:pPr>
                  <w:r>
                    <w:t>12.5</w:t>
                  </w:r>
                  <w:r>
                    <w:rPr>
                      <w:rFonts w:hint="eastAsia"/>
                      <w:lang w:eastAsia="zh-CN"/>
                    </w:rPr>
                    <w:t>（</w:t>
                  </w:r>
                  <w:r>
                    <w:rPr>
                      <w:rFonts w:hint="eastAsia"/>
                      <w:lang w:val="en-US" w:eastAsia="zh-CN"/>
                    </w:rPr>
                    <w:t>9）</w:t>
                  </w:r>
                </w:p>
              </w:tc>
              <w:tc>
                <w:tcPr>
                  <w:tcW w:w="867" w:type="pct"/>
                  <w:vAlign w:val="center"/>
                </w:tcPr>
                <w:p>
                  <w:pPr>
                    <w:pStyle w:val="35"/>
                    <w:tabs>
                      <w:tab w:val="left" w:pos="1021"/>
                    </w:tabs>
                    <w:rPr>
                      <w:rFonts w:hint="default"/>
                      <w:lang w:val="en-US" w:eastAsia="zh-CN"/>
                    </w:rPr>
                  </w:pPr>
                  <w: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75" w:type="pct"/>
                  <w:vMerge w:val="continue"/>
                  <w:vAlign w:val="center"/>
                </w:tcPr>
                <w:p>
                  <w:pPr>
                    <w:pStyle w:val="35"/>
                    <w:tabs>
                      <w:tab w:val="left" w:pos="1021"/>
                    </w:tabs>
                  </w:pPr>
                </w:p>
              </w:tc>
              <w:tc>
                <w:tcPr>
                  <w:tcW w:w="1622" w:type="pct"/>
                  <w:gridSpan w:val="3"/>
                  <w:vAlign w:val="center"/>
                </w:tcPr>
                <w:p>
                  <w:pPr>
                    <w:pStyle w:val="35"/>
                    <w:tabs>
                      <w:tab w:val="left" w:pos="1021"/>
                    </w:tabs>
                  </w:pPr>
                  <w:r>
                    <w:t>丙、丁、戊类物品生产厂房、库房和丙类液体储罐以及容积不大于50m³的埋地甲、乙类液体储罐</w:t>
                  </w:r>
                </w:p>
              </w:tc>
              <w:tc>
                <w:tcPr>
                  <w:tcW w:w="886" w:type="pct"/>
                  <w:vAlign w:val="center"/>
                </w:tcPr>
                <w:p>
                  <w:pPr>
                    <w:pStyle w:val="35"/>
                    <w:tabs>
                      <w:tab w:val="left" w:pos="1021"/>
                    </w:tabs>
                  </w:pPr>
                </w:p>
                <w:p>
                  <w:pPr>
                    <w:pStyle w:val="35"/>
                    <w:tabs>
                      <w:tab w:val="left" w:pos="1021"/>
                    </w:tabs>
                  </w:pPr>
                </w:p>
                <w:p>
                  <w:pPr>
                    <w:pStyle w:val="35"/>
                    <w:tabs>
                      <w:tab w:val="left" w:pos="1021"/>
                    </w:tabs>
                    <w:rPr>
                      <w:rFonts w:hint="default"/>
                      <w:lang w:val="en-US" w:eastAsia="zh-CN"/>
                    </w:rPr>
                  </w:pPr>
                  <w:r>
                    <w:rPr>
                      <w:rFonts w:hint="eastAsia"/>
                      <w:lang w:val="en-US" w:eastAsia="zh-CN"/>
                    </w:rPr>
                    <w:t>11（9）</w:t>
                  </w:r>
                </w:p>
              </w:tc>
              <w:tc>
                <w:tcPr>
                  <w:tcW w:w="659" w:type="pct"/>
                  <w:vAlign w:val="center"/>
                </w:tcPr>
                <w:p>
                  <w:pPr>
                    <w:pStyle w:val="35"/>
                    <w:tabs>
                      <w:tab w:val="left" w:pos="1021"/>
                    </w:tabs>
                  </w:pPr>
                </w:p>
                <w:p>
                  <w:pPr>
                    <w:pStyle w:val="35"/>
                    <w:tabs>
                      <w:tab w:val="left" w:pos="1021"/>
                    </w:tabs>
                  </w:pPr>
                </w:p>
                <w:p>
                  <w:pPr>
                    <w:pStyle w:val="35"/>
                    <w:tabs>
                      <w:tab w:val="left" w:pos="1021"/>
                    </w:tabs>
                  </w:pPr>
                  <w:r>
                    <w:t>无</w:t>
                  </w:r>
                </w:p>
              </w:tc>
              <w:tc>
                <w:tcPr>
                  <w:tcW w:w="788" w:type="pct"/>
                  <w:vAlign w:val="center"/>
                </w:tcPr>
                <w:p>
                  <w:pPr>
                    <w:pStyle w:val="35"/>
                    <w:tabs>
                      <w:tab w:val="left" w:pos="1021"/>
                    </w:tabs>
                  </w:pPr>
                </w:p>
                <w:p>
                  <w:pPr>
                    <w:pStyle w:val="35"/>
                    <w:tabs>
                      <w:tab w:val="left" w:pos="1021"/>
                    </w:tabs>
                  </w:pPr>
                </w:p>
                <w:p>
                  <w:pPr>
                    <w:pStyle w:val="35"/>
                    <w:tabs>
                      <w:tab w:val="left" w:pos="1021"/>
                    </w:tabs>
                  </w:pPr>
                  <w:r>
                    <w:t>10.5</w:t>
                  </w:r>
                  <w:r>
                    <w:rPr>
                      <w:rFonts w:hint="eastAsia"/>
                      <w:lang w:eastAsia="zh-CN"/>
                    </w:rPr>
                    <w:t>（</w:t>
                  </w:r>
                  <w:r>
                    <w:rPr>
                      <w:rFonts w:hint="eastAsia"/>
                      <w:lang w:val="en-US" w:eastAsia="zh-CN"/>
                    </w:rPr>
                    <w:t>9）</w:t>
                  </w:r>
                </w:p>
              </w:tc>
              <w:tc>
                <w:tcPr>
                  <w:tcW w:w="867" w:type="pct"/>
                  <w:vAlign w:val="center"/>
                </w:tcPr>
                <w:p>
                  <w:pPr>
                    <w:pStyle w:val="35"/>
                    <w:tabs>
                      <w:tab w:val="left" w:pos="1021"/>
                    </w:tabs>
                  </w:pPr>
                </w:p>
                <w:p>
                  <w:pPr>
                    <w:pStyle w:val="35"/>
                    <w:tabs>
                      <w:tab w:val="left" w:pos="1021"/>
                    </w:tabs>
                  </w:pPr>
                </w:p>
                <w:p>
                  <w:pPr>
                    <w:pStyle w:val="35"/>
                    <w:tabs>
                      <w:tab w:val="left" w:pos="1021"/>
                    </w:tabs>
                  </w:pPr>
                  <w: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75" w:type="pct"/>
                  <w:vMerge w:val="continue"/>
                  <w:vAlign w:val="center"/>
                </w:tcPr>
                <w:p>
                  <w:pPr>
                    <w:pStyle w:val="35"/>
                    <w:tabs>
                      <w:tab w:val="left" w:pos="1021"/>
                    </w:tabs>
                  </w:pPr>
                </w:p>
              </w:tc>
              <w:tc>
                <w:tcPr>
                  <w:tcW w:w="1622" w:type="pct"/>
                  <w:gridSpan w:val="3"/>
                  <w:vAlign w:val="center"/>
                </w:tcPr>
                <w:p>
                  <w:pPr>
                    <w:pStyle w:val="35"/>
                    <w:tabs>
                      <w:tab w:val="left" w:pos="1021"/>
                    </w:tabs>
                  </w:pPr>
                  <w:r>
                    <w:t>室外变配电站</w:t>
                  </w:r>
                </w:p>
              </w:tc>
              <w:tc>
                <w:tcPr>
                  <w:tcW w:w="886" w:type="pct"/>
                  <w:vAlign w:val="center"/>
                </w:tcPr>
                <w:p>
                  <w:pPr>
                    <w:pStyle w:val="35"/>
                    <w:tabs>
                      <w:tab w:val="left" w:pos="1021"/>
                    </w:tabs>
                    <w:rPr>
                      <w:rFonts w:hint="default"/>
                      <w:lang w:val="en-US" w:eastAsia="zh-CN"/>
                    </w:rPr>
                  </w:pPr>
                  <w:r>
                    <w:rPr>
                      <w:rFonts w:hint="eastAsia"/>
                      <w:lang w:val="en-US" w:eastAsia="zh-CN"/>
                    </w:rPr>
                    <w:t>15.5（12.5）</w:t>
                  </w:r>
                </w:p>
              </w:tc>
              <w:tc>
                <w:tcPr>
                  <w:tcW w:w="659" w:type="pct"/>
                  <w:vAlign w:val="center"/>
                </w:tcPr>
                <w:p>
                  <w:pPr>
                    <w:pStyle w:val="35"/>
                    <w:tabs>
                      <w:tab w:val="left" w:pos="1021"/>
                    </w:tabs>
                  </w:pPr>
                  <w:r>
                    <w:t>无</w:t>
                  </w:r>
                </w:p>
              </w:tc>
              <w:tc>
                <w:tcPr>
                  <w:tcW w:w="788" w:type="pct"/>
                  <w:vAlign w:val="center"/>
                </w:tcPr>
                <w:p>
                  <w:pPr>
                    <w:pStyle w:val="35"/>
                    <w:tabs>
                      <w:tab w:val="left" w:pos="1021"/>
                    </w:tabs>
                  </w:pPr>
                  <w:r>
                    <w:t>12.5</w:t>
                  </w:r>
                  <w:r>
                    <w:rPr>
                      <w:rFonts w:hint="eastAsia"/>
                      <w:lang w:eastAsia="zh-CN"/>
                    </w:rPr>
                    <w:t>（</w:t>
                  </w:r>
                  <w:r>
                    <w:rPr>
                      <w:rFonts w:hint="eastAsia"/>
                      <w:lang w:val="en-US" w:eastAsia="zh-CN"/>
                    </w:rPr>
                    <w:t>12.5）</w:t>
                  </w:r>
                </w:p>
              </w:tc>
              <w:tc>
                <w:tcPr>
                  <w:tcW w:w="867" w:type="pct"/>
                  <w:vAlign w:val="center"/>
                </w:tcPr>
                <w:p>
                  <w:pPr>
                    <w:pStyle w:val="35"/>
                    <w:tabs>
                      <w:tab w:val="left" w:pos="1021"/>
                    </w:tabs>
                  </w:pPr>
                  <w: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75" w:type="pct"/>
                  <w:vMerge w:val="continue"/>
                  <w:vAlign w:val="center"/>
                </w:tcPr>
                <w:p>
                  <w:pPr>
                    <w:pStyle w:val="35"/>
                    <w:tabs>
                      <w:tab w:val="left" w:pos="1021"/>
                    </w:tabs>
                  </w:pPr>
                </w:p>
              </w:tc>
              <w:tc>
                <w:tcPr>
                  <w:tcW w:w="1622" w:type="pct"/>
                  <w:gridSpan w:val="3"/>
                  <w:vAlign w:val="center"/>
                </w:tcPr>
                <w:p>
                  <w:pPr>
                    <w:pStyle w:val="35"/>
                    <w:tabs>
                      <w:tab w:val="left" w:pos="1021"/>
                    </w:tabs>
                  </w:pPr>
                  <w:r>
                    <w:t>铁路</w:t>
                  </w:r>
                </w:p>
              </w:tc>
              <w:tc>
                <w:tcPr>
                  <w:tcW w:w="886" w:type="pct"/>
                  <w:vAlign w:val="center"/>
                </w:tcPr>
                <w:p>
                  <w:pPr>
                    <w:pStyle w:val="35"/>
                    <w:tabs>
                      <w:tab w:val="left" w:pos="1021"/>
                    </w:tabs>
                  </w:pPr>
                  <w:r>
                    <w:t>15.5</w:t>
                  </w:r>
                  <w:r>
                    <w:rPr>
                      <w:rFonts w:hint="eastAsia"/>
                      <w:lang w:val="en-US" w:eastAsia="zh-CN"/>
                    </w:rPr>
                    <w:t>（15）</w:t>
                  </w:r>
                </w:p>
              </w:tc>
              <w:tc>
                <w:tcPr>
                  <w:tcW w:w="659" w:type="pct"/>
                  <w:vAlign w:val="center"/>
                </w:tcPr>
                <w:p>
                  <w:pPr>
                    <w:pStyle w:val="35"/>
                    <w:tabs>
                      <w:tab w:val="left" w:pos="1021"/>
                    </w:tabs>
                  </w:pPr>
                  <w:r>
                    <w:t>无</w:t>
                  </w:r>
                </w:p>
              </w:tc>
              <w:tc>
                <w:tcPr>
                  <w:tcW w:w="788" w:type="pct"/>
                  <w:vAlign w:val="center"/>
                </w:tcPr>
                <w:p>
                  <w:pPr>
                    <w:pStyle w:val="35"/>
                    <w:tabs>
                      <w:tab w:val="left" w:pos="1021"/>
                    </w:tabs>
                  </w:pPr>
                  <w:r>
                    <w:t>15.5</w:t>
                  </w:r>
                  <w:r>
                    <w:rPr>
                      <w:rFonts w:hint="eastAsia"/>
                      <w:lang w:eastAsia="zh-CN"/>
                    </w:rPr>
                    <w:t>（</w:t>
                  </w:r>
                  <w:r>
                    <w:rPr>
                      <w:rFonts w:hint="eastAsia"/>
                      <w:lang w:val="en-US" w:eastAsia="zh-CN"/>
                    </w:rPr>
                    <w:t>15）</w:t>
                  </w:r>
                </w:p>
              </w:tc>
              <w:tc>
                <w:tcPr>
                  <w:tcW w:w="867" w:type="pct"/>
                  <w:vAlign w:val="center"/>
                </w:tcPr>
                <w:p>
                  <w:pPr>
                    <w:pStyle w:val="35"/>
                    <w:tabs>
                      <w:tab w:val="left" w:pos="1021"/>
                    </w:tabs>
                  </w:pPr>
                  <w: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75" w:type="pct"/>
                  <w:vMerge w:val="continue"/>
                  <w:vAlign w:val="center"/>
                </w:tcPr>
                <w:p>
                  <w:pPr>
                    <w:pStyle w:val="35"/>
                    <w:tabs>
                      <w:tab w:val="left" w:pos="1021"/>
                    </w:tabs>
                  </w:pPr>
                </w:p>
              </w:tc>
              <w:tc>
                <w:tcPr>
                  <w:tcW w:w="364" w:type="pct"/>
                  <w:vMerge w:val="restart"/>
                  <w:vAlign w:val="center"/>
                </w:tcPr>
                <w:p>
                  <w:pPr>
                    <w:pStyle w:val="35"/>
                    <w:tabs>
                      <w:tab w:val="left" w:pos="1021"/>
                    </w:tabs>
                  </w:pPr>
                </w:p>
                <w:p>
                  <w:pPr>
                    <w:pStyle w:val="35"/>
                    <w:tabs>
                      <w:tab w:val="left" w:pos="1021"/>
                    </w:tabs>
                  </w:pPr>
                  <w:r>
                    <w:t>城市道路</w:t>
                  </w:r>
                </w:p>
              </w:tc>
              <w:tc>
                <w:tcPr>
                  <w:tcW w:w="1258" w:type="pct"/>
                  <w:gridSpan w:val="2"/>
                  <w:vAlign w:val="center"/>
                </w:tcPr>
                <w:p>
                  <w:pPr>
                    <w:pStyle w:val="35"/>
                    <w:tabs>
                      <w:tab w:val="left" w:pos="1021"/>
                    </w:tabs>
                  </w:pPr>
                  <w:r>
                    <w:t>快速路、主干路</w:t>
                  </w:r>
                </w:p>
              </w:tc>
              <w:tc>
                <w:tcPr>
                  <w:tcW w:w="886" w:type="pct"/>
                  <w:vAlign w:val="center"/>
                </w:tcPr>
                <w:p>
                  <w:pPr>
                    <w:pStyle w:val="35"/>
                    <w:tabs>
                      <w:tab w:val="left" w:pos="1021"/>
                    </w:tabs>
                  </w:pPr>
                  <w:r>
                    <w:t>5.5</w:t>
                  </w:r>
                  <w:r>
                    <w:rPr>
                      <w:rFonts w:hint="eastAsia"/>
                      <w:lang w:val="en-US" w:eastAsia="zh-CN"/>
                    </w:rPr>
                    <w:t>（3）</w:t>
                  </w:r>
                </w:p>
              </w:tc>
              <w:tc>
                <w:tcPr>
                  <w:tcW w:w="659" w:type="pct"/>
                  <w:vAlign w:val="center"/>
                </w:tcPr>
                <w:p>
                  <w:pPr>
                    <w:pStyle w:val="35"/>
                    <w:tabs>
                      <w:tab w:val="left" w:pos="1021"/>
                    </w:tabs>
                    <w:rPr>
                      <w:rFonts w:hint="eastAsia"/>
                      <w:lang w:eastAsia="zh-CN"/>
                    </w:rPr>
                  </w:pPr>
                  <w:r>
                    <w:rPr>
                      <w:rFonts w:hint="eastAsia"/>
                      <w:lang w:eastAsia="zh-CN"/>
                    </w:rPr>
                    <w:t>无</w:t>
                  </w:r>
                </w:p>
              </w:tc>
              <w:tc>
                <w:tcPr>
                  <w:tcW w:w="788" w:type="pct"/>
                  <w:vAlign w:val="center"/>
                </w:tcPr>
                <w:p>
                  <w:pPr>
                    <w:pStyle w:val="35"/>
                    <w:tabs>
                      <w:tab w:val="left" w:pos="1021"/>
                    </w:tabs>
                  </w:pPr>
                  <w:r>
                    <w:t>5</w:t>
                  </w:r>
                  <w:r>
                    <w:rPr>
                      <w:rFonts w:hint="eastAsia"/>
                      <w:lang w:eastAsia="zh-CN"/>
                    </w:rPr>
                    <w:t>（</w:t>
                  </w:r>
                  <w:r>
                    <w:rPr>
                      <w:rFonts w:hint="eastAsia"/>
                      <w:lang w:val="en-US" w:eastAsia="zh-CN"/>
                    </w:rPr>
                    <w:t>3）</w:t>
                  </w:r>
                </w:p>
              </w:tc>
              <w:tc>
                <w:tcPr>
                  <w:tcW w:w="867" w:type="pct"/>
                  <w:vAlign w:val="center"/>
                </w:tcPr>
                <w:p>
                  <w:pPr>
                    <w:pStyle w:val="35"/>
                    <w:tabs>
                      <w:tab w:val="left" w:pos="1021"/>
                    </w:tabs>
                    <w:rPr>
                      <w:rFonts w:hint="eastAsia"/>
                      <w:lang w:eastAsia="zh-CN"/>
                    </w:rPr>
                  </w:pPr>
                  <w:r>
                    <w:rPr>
                      <w:rFonts w:hint="eastAsia"/>
                      <w:lang w:eastAsia="zh-CN"/>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75" w:type="pct"/>
                  <w:vMerge w:val="continue"/>
                  <w:vAlign w:val="center"/>
                </w:tcPr>
                <w:p>
                  <w:pPr>
                    <w:pStyle w:val="35"/>
                    <w:tabs>
                      <w:tab w:val="left" w:pos="1021"/>
                    </w:tabs>
                  </w:pPr>
                </w:p>
              </w:tc>
              <w:tc>
                <w:tcPr>
                  <w:tcW w:w="364" w:type="pct"/>
                  <w:vMerge w:val="continue"/>
                  <w:vAlign w:val="center"/>
                </w:tcPr>
                <w:p>
                  <w:pPr>
                    <w:pStyle w:val="35"/>
                    <w:tabs>
                      <w:tab w:val="left" w:pos="1021"/>
                    </w:tabs>
                  </w:pPr>
                </w:p>
              </w:tc>
              <w:tc>
                <w:tcPr>
                  <w:tcW w:w="1258" w:type="pct"/>
                  <w:gridSpan w:val="2"/>
                  <w:vAlign w:val="center"/>
                </w:tcPr>
                <w:p>
                  <w:pPr>
                    <w:pStyle w:val="35"/>
                    <w:tabs>
                      <w:tab w:val="left" w:pos="1021"/>
                    </w:tabs>
                  </w:pPr>
                  <w:r>
                    <w:t>次干路、支路</w:t>
                  </w:r>
                </w:p>
              </w:tc>
              <w:tc>
                <w:tcPr>
                  <w:tcW w:w="886" w:type="pct"/>
                  <w:vAlign w:val="center"/>
                </w:tcPr>
                <w:p>
                  <w:pPr>
                    <w:pStyle w:val="35"/>
                    <w:tabs>
                      <w:tab w:val="left" w:pos="1021"/>
                    </w:tabs>
                  </w:pPr>
                  <w:r>
                    <w:t>5</w:t>
                  </w:r>
                  <w:r>
                    <w:rPr>
                      <w:rFonts w:hint="eastAsia"/>
                      <w:lang w:val="en-US" w:eastAsia="zh-CN"/>
                    </w:rPr>
                    <w:t>（3）</w:t>
                  </w:r>
                </w:p>
              </w:tc>
              <w:tc>
                <w:tcPr>
                  <w:tcW w:w="659" w:type="pct"/>
                  <w:vAlign w:val="center"/>
                </w:tcPr>
                <w:p>
                  <w:pPr>
                    <w:pStyle w:val="35"/>
                    <w:tabs>
                      <w:tab w:val="left" w:pos="1021"/>
                    </w:tabs>
                    <w:rPr>
                      <w:rFonts w:hint="default"/>
                      <w:lang w:val="en-US" w:eastAsia="zh-CN"/>
                    </w:rPr>
                  </w:pPr>
                  <w:r>
                    <w:rPr>
                      <w:rFonts w:hint="eastAsia"/>
                      <w:lang w:val="en-US" w:eastAsia="zh-CN"/>
                    </w:rPr>
                    <w:t>20.2</w:t>
                  </w:r>
                </w:p>
              </w:tc>
              <w:tc>
                <w:tcPr>
                  <w:tcW w:w="788" w:type="pct"/>
                  <w:vAlign w:val="center"/>
                </w:tcPr>
                <w:p>
                  <w:pPr>
                    <w:pStyle w:val="35"/>
                    <w:tabs>
                      <w:tab w:val="left" w:pos="1021"/>
                    </w:tabs>
                  </w:pPr>
                  <w:r>
                    <w:t>5</w:t>
                  </w:r>
                  <w:r>
                    <w:rPr>
                      <w:rFonts w:hint="eastAsia"/>
                      <w:lang w:eastAsia="zh-CN"/>
                    </w:rPr>
                    <w:t>（</w:t>
                  </w:r>
                  <w:r>
                    <w:rPr>
                      <w:rFonts w:hint="eastAsia"/>
                      <w:lang w:val="en-US" w:eastAsia="zh-CN"/>
                    </w:rPr>
                    <w:t>3）</w:t>
                  </w:r>
                </w:p>
              </w:tc>
              <w:tc>
                <w:tcPr>
                  <w:tcW w:w="867" w:type="pct"/>
                  <w:vAlign w:val="center"/>
                </w:tcPr>
                <w:p>
                  <w:pPr>
                    <w:pStyle w:val="35"/>
                    <w:tabs>
                      <w:tab w:val="left" w:pos="1021"/>
                    </w:tabs>
                    <w:rPr>
                      <w:rFonts w:hint="default"/>
                      <w:lang w:val="en-US" w:eastAsia="zh-CN"/>
                    </w:rPr>
                  </w:pPr>
                  <w:r>
                    <w:rPr>
                      <w:rFonts w:hint="eastAsia"/>
                      <w:lang w:val="en-US" w:eastAsia="zh-CN"/>
                    </w:rPr>
                    <w:t>20.2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75" w:type="pct"/>
                  <w:vMerge w:val="continue"/>
                  <w:vAlign w:val="center"/>
                </w:tcPr>
                <w:p>
                  <w:pPr>
                    <w:pStyle w:val="35"/>
                    <w:tabs>
                      <w:tab w:val="left" w:pos="1021"/>
                    </w:tabs>
                  </w:pPr>
                </w:p>
              </w:tc>
              <w:tc>
                <w:tcPr>
                  <w:tcW w:w="1622" w:type="pct"/>
                  <w:gridSpan w:val="3"/>
                  <w:vAlign w:val="center"/>
                </w:tcPr>
                <w:p>
                  <w:pPr>
                    <w:pStyle w:val="35"/>
                    <w:tabs>
                      <w:tab w:val="left" w:pos="1021"/>
                    </w:tabs>
                  </w:pPr>
                  <w:r>
                    <w:t>架空通信线</w:t>
                  </w:r>
                </w:p>
              </w:tc>
              <w:tc>
                <w:tcPr>
                  <w:tcW w:w="886" w:type="pct"/>
                  <w:vAlign w:val="center"/>
                </w:tcPr>
                <w:p>
                  <w:pPr>
                    <w:pStyle w:val="35"/>
                    <w:tabs>
                      <w:tab w:val="left" w:pos="1021"/>
                    </w:tabs>
                  </w:pPr>
                  <w:r>
                    <w:t>5</w:t>
                  </w:r>
                  <w:r>
                    <w:rPr>
                      <w:rFonts w:hint="eastAsia"/>
                      <w:lang w:val="en-US" w:eastAsia="zh-CN"/>
                    </w:rPr>
                    <w:t>（5）</w:t>
                  </w:r>
                </w:p>
              </w:tc>
              <w:tc>
                <w:tcPr>
                  <w:tcW w:w="659" w:type="pct"/>
                  <w:vAlign w:val="center"/>
                </w:tcPr>
                <w:p>
                  <w:pPr>
                    <w:pStyle w:val="35"/>
                    <w:tabs>
                      <w:tab w:val="left" w:pos="1021"/>
                    </w:tabs>
                  </w:pPr>
                  <w:r>
                    <w:t>无</w:t>
                  </w:r>
                </w:p>
              </w:tc>
              <w:tc>
                <w:tcPr>
                  <w:tcW w:w="788" w:type="pct"/>
                  <w:vAlign w:val="center"/>
                </w:tcPr>
                <w:p>
                  <w:pPr>
                    <w:pStyle w:val="35"/>
                    <w:tabs>
                      <w:tab w:val="left" w:pos="1021"/>
                    </w:tabs>
                  </w:pPr>
                  <w:r>
                    <w:t>5</w:t>
                  </w:r>
                  <w:r>
                    <w:rPr>
                      <w:rFonts w:hint="eastAsia"/>
                      <w:lang w:eastAsia="zh-CN"/>
                    </w:rPr>
                    <w:t>（</w:t>
                  </w:r>
                  <w:r>
                    <w:rPr>
                      <w:rFonts w:hint="eastAsia"/>
                      <w:lang w:val="en-US" w:eastAsia="zh-CN"/>
                    </w:rPr>
                    <w:t>3）</w:t>
                  </w:r>
                </w:p>
              </w:tc>
              <w:tc>
                <w:tcPr>
                  <w:tcW w:w="867" w:type="pct"/>
                  <w:vAlign w:val="center"/>
                </w:tcPr>
                <w:p>
                  <w:pPr>
                    <w:pStyle w:val="35"/>
                    <w:tabs>
                      <w:tab w:val="left" w:pos="1021"/>
                    </w:tabs>
                  </w:pPr>
                  <w: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75" w:type="pct"/>
                  <w:vMerge w:val="continue"/>
                  <w:vAlign w:val="center"/>
                </w:tcPr>
                <w:p>
                  <w:pPr>
                    <w:pStyle w:val="35"/>
                    <w:tabs>
                      <w:tab w:val="left" w:pos="1021"/>
                    </w:tabs>
                  </w:pPr>
                </w:p>
              </w:tc>
              <w:tc>
                <w:tcPr>
                  <w:tcW w:w="529" w:type="pct"/>
                  <w:gridSpan w:val="2"/>
                  <w:vMerge w:val="restart"/>
                  <w:vAlign w:val="center"/>
                </w:tcPr>
                <w:p>
                  <w:pPr>
                    <w:pStyle w:val="35"/>
                    <w:tabs>
                      <w:tab w:val="left" w:pos="1021"/>
                    </w:tabs>
                  </w:pPr>
                  <w:r>
                    <w:t>架空电力线路</w:t>
                  </w:r>
                </w:p>
              </w:tc>
              <w:tc>
                <w:tcPr>
                  <w:tcW w:w="1092" w:type="pct"/>
                  <w:vAlign w:val="center"/>
                </w:tcPr>
                <w:p>
                  <w:pPr>
                    <w:pStyle w:val="35"/>
                    <w:tabs>
                      <w:tab w:val="left" w:pos="1021"/>
                    </w:tabs>
                  </w:pPr>
                  <w:r>
                    <w:t>无绝缘层</w:t>
                  </w:r>
                </w:p>
              </w:tc>
              <w:tc>
                <w:tcPr>
                  <w:tcW w:w="886" w:type="pct"/>
                  <w:vAlign w:val="center"/>
                </w:tcPr>
                <w:p>
                  <w:pPr>
                    <w:pStyle w:val="35"/>
                    <w:tabs>
                      <w:tab w:val="left" w:pos="1021"/>
                    </w:tabs>
                    <w:rPr>
                      <w:rFonts w:hint="default" w:ascii="宋体" w:hAnsi="宋体" w:eastAsia="宋体" w:cs="宋体"/>
                      <w:lang w:val="en-US" w:eastAsia="zh-CN"/>
                    </w:rPr>
                  </w:pPr>
                  <w:r>
                    <w:rPr>
                      <w:rFonts w:hint="eastAsia"/>
                      <w:lang w:val="en-US" w:eastAsia="zh-CN"/>
                    </w:rPr>
                    <w:t>1.0（0.75）H，且</w:t>
                  </w:r>
                  <w:r>
                    <w:rPr>
                      <w:rFonts w:hint="eastAsia" w:ascii="宋体" w:hAnsi="宋体" w:eastAsia="宋体" w:cs="宋体"/>
                      <w:lang w:val="en-US" w:eastAsia="zh-CN"/>
                    </w:rPr>
                    <w:t>≥</w:t>
                  </w:r>
                  <w:r>
                    <w:rPr>
                      <w:rFonts w:hint="eastAsia" w:ascii="宋体" w:hAnsi="宋体" w:cs="宋体"/>
                      <w:lang w:val="en-US" w:eastAsia="zh-CN"/>
                    </w:rPr>
                    <w:t>6.5</w:t>
                  </w:r>
                  <w:r>
                    <w:rPr>
                      <w:rFonts w:hint="default" w:ascii="Times New Roman" w:hAnsi="Times New Roman" w:cs="Times New Roman"/>
                      <w:lang w:val="en-US" w:eastAsia="zh-CN"/>
                    </w:rPr>
                    <w:t>m</w:t>
                  </w:r>
                </w:p>
              </w:tc>
              <w:tc>
                <w:tcPr>
                  <w:tcW w:w="659" w:type="pct"/>
                  <w:vAlign w:val="center"/>
                </w:tcPr>
                <w:p>
                  <w:pPr>
                    <w:pStyle w:val="35"/>
                    <w:tabs>
                      <w:tab w:val="left" w:pos="1021"/>
                    </w:tabs>
                  </w:pPr>
                  <w:r>
                    <w:t>无</w:t>
                  </w:r>
                </w:p>
              </w:tc>
              <w:tc>
                <w:tcPr>
                  <w:tcW w:w="788" w:type="pct"/>
                  <w:vAlign w:val="center"/>
                </w:tcPr>
                <w:p>
                  <w:pPr>
                    <w:pStyle w:val="35"/>
                    <w:tabs>
                      <w:tab w:val="left" w:pos="1021"/>
                    </w:tabs>
                  </w:pPr>
                  <w:r>
                    <w:t>6.5</w:t>
                  </w:r>
                  <w:r>
                    <w:rPr>
                      <w:rFonts w:hint="eastAsia"/>
                      <w:lang w:eastAsia="zh-CN"/>
                    </w:rPr>
                    <w:t>（</w:t>
                  </w:r>
                  <w:r>
                    <w:rPr>
                      <w:rFonts w:hint="eastAsia"/>
                      <w:lang w:val="en-US" w:eastAsia="zh-CN"/>
                    </w:rPr>
                    <w:t>6.5）</w:t>
                  </w:r>
                </w:p>
              </w:tc>
              <w:tc>
                <w:tcPr>
                  <w:tcW w:w="867" w:type="pct"/>
                  <w:vAlign w:val="center"/>
                </w:tcPr>
                <w:p>
                  <w:pPr>
                    <w:pStyle w:val="35"/>
                    <w:tabs>
                      <w:tab w:val="left" w:pos="1021"/>
                    </w:tabs>
                  </w:pPr>
                  <w: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75" w:type="pct"/>
                  <w:vMerge w:val="continue"/>
                  <w:vAlign w:val="center"/>
                </w:tcPr>
                <w:p>
                  <w:pPr>
                    <w:pStyle w:val="35"/>
                    <w:tabs>
                      <w:tab w:val="left" w:pos="1021"/>
                    </w:tabs>
                  </w:pPr>
                </w:p>
              </w:tc>
              <w:tc>
                <w:tcPr>
                  <w:tcW w:w="529" w:type="pct"/>
                  <w:gridSpan w:val="2"/>
                  <w:vMerge w:val="continue"/>
                  <w:vAlign w:val="center"/>
                </w:tcPr>
                <w:p>
                  <w:pPr>
                    <w:pStyle w:val="35"/>
                    <w:tabs>
                      <w:tab w:val="left" w:pos="1021"/>
                    </w:tabs>
                  </w:pPr>
                </w:p>
              </w:tc>
              <w:tc>
                <w:tcPr>
                  <w:tcW w:w="1092" w:type="pct"/>
                  <w:vAlign w:val="center"/>
                </w:tcPr>
                <w:p>
                  <w:pPr>
                    <w:pStyle w:val="35"/>
                    <w:tabs>
                      <w:tab w:val="left" w:pos="1021"/>
                    </w:tabs>
                  </w:pPr>
                  <w:r>
                    <w:t>有绝缘层</w:t>
                  </w:r>
                </w:p>
              </w:tc>
              <w:tc>
                <w:tcPr>
                  <w:tcW w:w="886" w:type="pct"/>
                  <w:vAlign w:val="center"/>
                </w:tcPr>
                <w:p>
                  <w:pPr>
                    <w:pStyle w:val="35"/>
                    <w:tabs>
                      <w:tab w:val="left" w:pos="1021"/>
                    </w:tabs>
                    <w:rPr>
                      <w:rFonts w:hint="eastAsia"/>
                      <w:lang w:eastAsia="zh-CN"/>
                    </w:rPr>
                  </w:pPr>
                  <w:r>
                    <w:rPr>
                      <w:rFonts w:hint="eastAsia"/>
                      <w:lang w:val="en-US" w:eastAsia="zh-CN"/>
                    </w:rPr>
                    <w:t>0.75（0.5）H，且</w:t>
                  </w:r>
                  <w:r>
                    <w:rPr>
                      <w:rFonts w:hint="eastAsia" w:ascii="宋体" w:hAnsi="宋体" w:eastAsia="宋体" w:cs="宋体"/>
                      <w:lang w:val="en-US" w:eastAsia="zh-CN"/>
                    </w:rPr>
                    <w:t>≥</w:t>
                  </w:r>
                  <w:r>
                    <w:rPr>
                      <w:rFonts w:hint="eastAsia" w:ascii="宋体" w:hAnsi="宋体" w:cs="宋体"/>
                      <w:lang w:val="en-US" w:eastAsia="zh-CN"/>
                    </w:rPr>
                    <w:t>5</w:t>
                  </w:r>
                  <w:r>
                    <w:rPr>
                      <w:rFonts w:hint="default" w:ascii="Times New Roman" w:hAnsi="Times New Roman" w:cs="Times New Roman"/>
                      <w:lang w:val="en-US" w:eastAsia="zh-CN"/>
                    </w:rPr>
                    <w:t>m</w:t>
                  </w:r>
                </w:p>
              </w:tc>
              <w:tc>
                <w:tcPr>
                  <w:tcW w:w="659" w:type="pct"/>
                  <w:vAlign w:val="center"/>
                </w:tcPr>
                <w:p>
                  <w:pPr>
                    <w:pStyle w:val="35"/>
                    <w:tabs>
                      <w:tab w:val="left" w:pos="1021"/>
                    </w:tabs>
                  </w:pPr>
                  <w:r>
                    <w:t>无</w:t>
                  </w:r>
                </w:p>
              </w:tc>
              <w:tc>
                <w:tcPr>
                  <w:tcW w:w="788" w:type="pct"/>
                  <w:vAlign w:val="center"/>
                </w:tcPr>
                <w:p>
                  <w:pPr>
                    <w:pStyle w:val="35"/>
                    <w:tabs>
                      <w:tab w:val="left" w:pos="1021"/>
                    </w:tabs>
                  </w:pPr>
                  <w:r>
                    <w:t>5</w:t>
                  </w:r>
                  <w:r>
                    <w:rPr>
                      <w:rFonts w:hint="eastAsia"/>
                      <w:lang w:eastAsia="zh-CN"/>
                    </w:rPr>
                    <w:t>（</w:t>
                  </w:r>
                  <w:r>
                    <w:rPr>
                      <w:rFonts w:hint="eastAsia"/>
                      <w:lang w:val="en-US" w:eastAsia="zh-CN"/>
                    </w:rPr>
                    <w:t>5）</w:t>
                  </w:r>
                </w:p>
              </w:tc>
              <w:tc>
                <w:tcPr>
                  <w:tcW w:w="867" w:type="pct"/>
                  <w:vAlign w:val="center"/>
                </w:tcPr>
                <w:p>
                  <w:pPr>
                    <w:pStyle w:val="35"/>
                    <w:tabs>
                      <w:tab w:val="left" w:pos="1021"/>
                    </w:tabs>
                  </w:pPr>
                  <w: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704" w:type="pct"/>
                  <w:gridSpan w:val="3"/>
                  <w:vAlign w:val="center"/>
                </w:tcPr>
                <w:p>
                  <w:pPr>
                    <w:pStyle w:val="35"/>
                    <w:tabs>
                      <w:tab w:val="left" w:pos="1021"/>
                    </w:tabs>
                  </w:pPr>
                  <w:r>
                    <w:t>检查结论</w:t>
                  </w:r>
                </w:p>
              </w:tc>
              <w:tc>
                <w:tcPr>
                  <w:tcW w:w="4295" w:type="pct"/>
                  <w:gridSpan w:val="5"/>
                  <w:vAlign w:val="center"/>
                </w:tcPr>
                <w:p>
                  <w:pPr>
                    <w:pStyle w:val="35"/>
                    <w:tabs>
                      <w:tab w:val="left" w:pos="1021"/>
                    </w:tabs>
                  </w:pPr>
                  <w:r>
                    <w:rPr>
                      <w:rFonts w:hint="default"/>
                      <w:lang w:val="en-US" w:eastAsia="zh-CN"/>
                    </w:rPr>
                    <w:t>《汽车加油加气加氢站技术标准》GB 50156-2021）</w:t>
                  </w:r>
                  <w:r>
                    <w:t>的要求</w:t>
                  </w:r>
                </w:p>
              </w:tc>
            </w:tr>
          </w:tbl>
          <w:p>
            <w:pPr>
              <w:pStyle w:val="36"/>
              <w:tabs>
                <w:tab w:val="left" w:pos="1021"/>
              </w:tabs>
            </w:pPr>
            <w:r>
              <w:t>表</w:t>
            </w:r>
            <w:r>
              <w:rPr>
                <w:rFonts w:hint="eastAsia"/>
                <w:lang w:val="en-US" w:eastAsia="zh-CN"/>
              </w:rPr>
              <w:t>1-3</w:t>
            </w:r>
            <w:r>
              <w:t xml:space="preserve"> 环保设施对照检查表</w:t>
            </w:r>
          </w:p>
          <w:tbl>
            <w:tblPr>
              <w:tblStyle w:val="31"/>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809"/>
              <w:gridCol w:w="1072"/>
              <w:gridCol w:w="2847"/>
              <w:gridCol w:w="11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40" w:type="pct"/>
                  <w:vAlign w:val="center"/>
                </w:tcPr>
                <w:p>
                  <w:pPr>
                    <w:pStyle w:val="35"/>
                    <w:tabs>
                      <w:tab w:val="left" w:pos="1021"/>
                    </w:tabs>
                  </w:pPr>
                  <w:r>
                    <w:t>序号</w:t>
                  </w:r>
                </w:p>
              </w:tc>
              <w:tc>
                <w:tcPr>
                  <w:tcW w:w="647" w:type="pct"/>
                  <w:vAlign w:val="center"/>
                </w:tcPr>
                <w:p>
                  <w:pPr>
                    <w:pStyle w:val="35"/>
                    <w:tabs>
                      <w:tab w:val="left" w:pos="1021"/>
                    </w:tabs>
                  </w:pPr>
                  <w:r>
                    <w:t>加油站污染源</w:t>
                  </w:r>
                </w:p>
              </w:tc>
              <w:tc>
                <w:tcPr>
                  <w:tcW w:w="856" w:type="pct"/>
                  <w:vAlign w:val="center"/>
                </w:tcPr>
                <w:p>
                  <w:pPr>
                    <w:pStyle w:val="35"/>
                    <w:tabs>
                      <w:tab w:val="left" w:pos="1021"/>
                    </w:tabs>
                  </w:pPr>
                  <w:r>
                    <w:t>环保设施</w:t>
                  </w:r>
                </w:p>
              </w:tc>
              <w:tc>
                <w:tcPr>
                  <w:tcW w:w="2273" w:type="pct"/>
                  <w:vAlign w:val="center"/>
                </w:tcPr>
                <w:p>
                  <w:pPr>
                    <w:pStyle w:val="35"/>
                    <w:tabs>
                      <w:tab w:val="left" w:pos="1021"/>
                    </w:tabs>
                  </w:pPr>
                  <w:r>
                    <w:t>标准要求</w:t>
                  </w:r>
                </w:p>
              </w:tc>
              <w:tc>
                <w:tcPr>
                  <w:tcW w:w="882" w:type="pct"/>
                  <w:vAlign w:val="center"/>
                </w:tcPr>
                <w:p>
                  <w:pPr>
                    <w:pStyle w:val="35"/>
                    <w:tabs>
                      <w:tab w:val="left" w:pos="1021"/>
                    </w:tabs>
                  </w:pPr>
                  <w:r>
                    <w:t>是否符合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40" w:type="pct"/>
                  <w:vMerge w:val="restart"/>
                  <w:vAlign w:val="center"/>
                </w:tcPr>
                <w:p>
                  <w:pPr>
                    <w:pStyle w:val="35"/>
                    <w:tabs>
                      <w:tab w:val="left" w:pos="1021"/>
                    </w:tabs>
                  </w:pPr>
                  <w:r>
                    <w:t>1</w:t>
                  </w:r>
                </w:p>
              </w:tc>
              <w:tc>
                <w:tcPr>
                  <w:tcW w:w="647" w:type="pct"/>
                  <w:vMerge w:val="restart"/>
                  <w:vAlign w:val="center"/>
                </w:tcPr>
                <w:p>
                  <w:pPr>
                    <w:pStyle w:val="35"/>
                    <w:tabs>
                      <w:tab w:val="left" w:pos="1021"/>
                    </w:tabs>
                  </w:pPr>
                  <w:r>
                    <w:t>卸油</w:t>
                  </w:r>
                </w:p>
              </w:tc>
              <w:tc>
                <w:tcPr>
                  <w:tcW w:w="856" w:type="pct"/>
                  <w:vAlign w:val="center"/>
                </w:tcPr>
                <w:p>
                  <w:pPr>
                    <w:pStyle w:val="35"/>
                    <w:tabs>
                      <w:tab w:val="left" w:pos="1021"/>
                    </w:tabs>
                  </w:pPr>
                  <w:r>
                    <w:t>浸没式卸油方式</w:t>
                  </w:r>
                </w:p>
              </w:tc>
              <w:tc>
                <w:tcPr>
                  <w:tcW w:w="2273" w:type="pct"/>
                  <w:vAlign w:val="center"/>
                </w:tcPr>
                <w:p>
                  <w:pPr>
                    <w:pStyle w:val="35"/>
                    <w:tabs>
                      <w:tab w:val="left" w:pos="1021"/>
                    </w:tabs>
                  </w:pPr>
                  <w:r>
                    <w:t>卸油管出油口距罐底高度≤200mm</w:t>
                  </w:r>
                </w:p>
              </w:tc>
              <w:tc>
                <w:tcPr>
                  <w:tcW w:w="882" w:type="pct"/>
                  <w:vAlign w:val="center"/>
                </w:tcPr>
                <w:p>
                  <w:pPr>
                    <w:pStyle w:val="35"/>
                    <w:tabs>
                      <w:tab w:val="left" w:pos="1021"/>
                    </w:tabs>
                  </w:pPr>
                  <w: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40" w:type="pct"/>
                  <w:vMerge w:val="continue"/>
                  <w:vAlign w:val="center"/>
                </w:tcPr>
                <w:p>
                  <w:pPr>
                    <w:pStyle w:val="35"/>
                    <w:tabs>
                      <w:tab w:val="left" w:pos="1021"/>
                    </w:tabs>
                  </w:pPr>
                </w:p>
              </w:tc>
              <w:tc>
                <w:tcPr>
                  <w:tcW w:w="647" w:type="pct"/>
                  <w:vMerge w:val="continue"/>
                  <w:vAlign w:val="center"/>
                </w:tcPr>
                <w:p>
                  <w:pPr>
                    <w:pStyle w:val="35"/>
                    <w:tabs>
                      <w:tab w:val="left" w:pos="1021"/>
                    </w:tabs>
                  </w:pPr>
                </w:p>
              </w:tc>
              <w:tc>
                <w:tcPr>
                  <w:tcW w:w="856" w:type="pct"/>
                  <w:vAlign w:val="center"/>
                </w:tcPr>
                <w:p>
                  <w:pPr>
                    <w:pStyle w:val="35"/>
                    <w:tabs>
                      <w:tab w:val="left" w:pos="1021"/>
                    </w:tabs>
                  </w:pPr>
                  <w:r>
                    <w:t>油气回收接口</w:t>
                  </w:r>
                </w:p>
              </w:tc>
              <w:tc>
                <w:tcPr>
                  <w:tcW w:w="2273" w:type="pct"/>
                  <w:vAlign w:val="center"/>
                </w:tcPr>
                <w:p>
                  <w:pPr>
                    <w:pStyle w:val="35"/>
                    <w:tabs>
                      <w:tab w:val="left" w:pos="1021"/>
                    </w:tabs>
                  </w:pPr>
                  <w:r>
                    <w:t>卸油和油气回收接口应安装DN100的截流阀,密封式快速接头和帽盖；连接软管应采用DN100的密封式快速接头与卸油车连接，软管内不能有残油。</w:t>
                  </w:r>
                </w:p>
              </w:tc>
              <w:tc>
                <w:tcPr>
                  <w:tcW w:w="882" w:type="pct"/>
                  <w:vAlign w:val="center"/>
                </w:tcPr>
                <w:p>
                  <w:pPr>
                    <w:pStyle w:val="35"/>
                    <w:tabs>
                      <w:tab w:val="left" w:pos="1021"/>
                    </w:tabs>
                  </w:pPr>
                  <w: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40" w:type="pct"/>
                  <w:vMerge w:val="continue"/>
                  <w:vAlign w:val="center"/>
                </w:tcPr>
                <w:p>
                  <w:pPr>
                    <w:pStyle w:val="35"/>
                    <w:tabs>
                      <w:tab w:val="left" w:pos="1021"/>
                    </w:tabs>
                  </w:pPr>
                </w:p>
              </w:tc>
              <w:tc>
                <w:tcPr>
                  <w:tcW w:w="647" w:type="pct"/>
                  <w:vMerge w:val="continue"/>
                  <w:vAlign w:val="center"/>
                </w:tcPr>
                <w:p>
                  <w:pPr>
                    <w:pStyle w:val="35"/>
                    <w:tabs>
                      <w:tab w:val="left" w:pos="1021"/>
                    </w:tabs>
                  </w:pPr>
                </w:p>
              </w:tc>
              <w:tc>
                <w:tcPr>
                  <w:tcW w:w="856" w:type="pct"/>
                  <w:vAlign w:val="center"/>
                </w:tcPr>
                <w:p>
                  <w:pPr>
                    <w:pStyle w:val="35"/>
                    <w:tabs>
                      <w:tab w:val="left" w:pos="1021"/>
                    </w:tabs>
                  </w:pPr>
                  <w:r>
                    <w:t>地下油气管线</w:t>
                  </w:r>
                </w:p>
              </w:tc>
              <w:tc>
                <w:tcPr>
                  <w:tcW w:w="2273" w:type="pct"/>
                  <w:vAlign w:val="center"/>
                </w:tcPr>
                <w:p>
                  <w:pPr>
                    <w:pStyle w:val="35"/>
                    <w:tabs>
                      <w:tab w:val="left" w:pos="1021"/>
                    </w:tabs>
                  </w:pPr>
                  <w:r>
                    <w:t>管线坡度≥1%，直径≥DN50</w:t>
                  </w:r>
                </w:p>
              </w:tc>
              <w:tc>
                <w:tcPr>
                  <w:tcW w:w="882" w:type="pct"/>
                  <w:vAlign w:val="center"/>
                </w:tcPr>
                <w:p>
                  <w:pPr>
                    <w:pStyle w:val="35"/>
                    <w:tabs>
                      <w:tab w:val="left" w:pos="1021"/>
                    </w:tabs>
                  </w:pPr>
                  <w: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40" w:type="pct"/>
                  <w:vMerge w:val="restart"/>
                  <w:vAlign w:val="center"/>
                </w:tcPr>
                <w:p>
                  <w:pPr>
                    <w:pStyle w:val="35"/>
                    <w:tabs>
                      <w:tab w:val="left" w:pos="1021"/>
                    </w:tabs>
                  </w:pPr>
                  <w:r>
                    <w:t>2</w:t>
                  </w:r>
                </w:p>
              </w:tc>
              <w:tc>
                <w:tcPr>
                  <w:tcW w:w="647" w:type="pct"/>
                  <w:vMerge w:val="restart"/>
                  <w:vAlign w:val="center"/>
                </w:tcPr>
                <w:p>
                  <w:pPr>
                    <w:pStyle w:val="35"/>
                    <w:tabs>
                      <w:tab w:val="left" w:pos="1021"/>
                    </w:tabs>
                  </w:pPr>
                  <w:r>
                    <w:t>储油</w:t>
                  </w:r>
                </w:p>
              </w:tc>
              <w:tc>
                <w:tcPr>
                  <w:tcW w:w="856" w:type="pct"/>
                  <w:vAlign w:val="center"/>
                </w:tcPr>
                <w:p>
                  <w:pPr>
                    <w:pStyle w:val="35"/>
                    <w:tabs>
                      <w:tab w:val="left" w:pos="1021"/>
                    </w:tabs>
                  </w:pPr>
                  <w:r>
                    <w:t>电子式液位计</w:t>
                  </w:r>
                </w:p>
              </w:tc>
              <w:tc>
                <w:tcPr>
                  <w:tcW w:w="2273" w:type="pct"/>
                  <w:vAlign w:val="center"/>
                </w:tcPr>
                <w:p>
                  <w:pPr>
                    <w:pStyle w:val="35"/>
                    <w:tabs>
                      <w:tab w:val="left" w:pos="1021"/>
                    </w:tabs>
                  </w:pPr>
                  <w:r>
                    <w:t>具有测漏功能</w:t>
                  </w:r>
                </w:p>
              </w:tc>
              <w:tc>
                <w:tcPr>
                  <w:tcW w:w="882" w:type="pct"/>
                  <w:vAlign w:val="center"/>
                </w:tcPr>
                <w:p>
                  <w:pPr>
                    <w:pStyle w:val="35"/>
                    <w:tabs>
                      <w:tab w:val="left" w:pos="1021"/>
                    </w:tabs>
                  </w:pPr>
                  <w:r>
                    <w:t>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40" w:type="pct"/>
                  <w:vMerge w:val="continue"/>
                  <w:vAlign w:val="center"/>
                </w:tcPr>
                <w:p>
                  <w:pPr>
                    <w:pStyle w:val="35"/>
                    <w:tabs>
                      <w:tab w:val="left" w:pos="1021"/>
                    </w:tabs>
                  </w:pPr>
                </w:p>
              </w:tc>
              <w:tc>
                <w:tcPr>
                  <w:tcW w:w="647" w:type="pct"/>
                  <w:vMerge w:val="continue"/>
                  <w:vAlign w:val="center"/>
                </w:tcPr>
                <w:p>
                  <w:pPr>
                    <w:pStyle w:val="35"/>
                    <w:tabs>
                      <w:tab w:val="left" w:pos="1021"/>
                    </w:tabs>
                  </w:pPr>
                </w:p>
              </w:tc>
              <w:tc>
                <w:tcPr>
                  <w:tcW w:w="856" w:type="pct"/>
                  <w:vAlign w:val="center"/>
                </w:tcPr>
                <w:p>
                  <w:pPr>
                    <w:pStyle w:val="35"/>
                    <w:tabs>
                      <w:tab w:val="left" w:pos="1021"/>
                    </w:tabs>
                  </w:pPr>
                  <w:r>
                    <w:t>储油油气密闭性的部件。</w:t>
                  </w:r>
                </w:p>
              </w:tc>
              <w:tc>
                <w:tcPr>
                  <w:tcW w:w="2273" w:type="pct"/>
                  <w:vAlign w:val="center"/>
                </w:tcPr>
                <w:p>
                  <w:pPr>
                    <w:pStyle w:val="35"/>
                    <w:tabs>
                      <w:tab w:val="left" w:pos="1021"/>
                    </w:tabs>
                  </w:pPr>
                  <w:r>
                    <w:t>所有影响储油油气密闭性的部件，都应保证在小于750Pa时不漏气。</w:t>
                  </w:r>
                </w:p>
              </w:tc>
              <w:tc>
                <w:tcPr>
                  <w:tcW w:w="882" w:type="pct"/>
                  <w:vAlign w:val="center"/>
                </w:tcPr>
                <w:p>
                  <w:pPr>
                    <w:pStyle w:val="35"/>
                    <w:tabs>
                      <w:tab w:val="left" w:pos="1021"/>
                    </w:tabs>
                  </w:pPr>
                  <w: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40" w:type="pct"/>
                  <w:vMerge w:val="restart"/>
                  <w:vAlign w:val="center"/>
                </w:tcPr>
                <w:p>
                  <w:pPr>
                    <w:pStyle w:val="35"/>
                    <w:tabs>
                      <w:tab w:val="left" w:pos="1021"/>
                    </w:tabs>
                  </w:pPr>
                  <w:r>
                    <w:t>3</w:t>
                  </w:r>
                </w:p>
              </w:tc>
              <w:tc>
                <w:tcPr>
                  <w:tcW w:w="647" w:type="pct"/>
                  <w:vMerge w:val="restart"/>
                  <w:vAlign w:val="center"/>
                </w:tcPr>
                <w:p>
                  <w:pPr>
                    <w:pStyle w:val="35"/>
                    <w:tabs>
                      <w:tab w:val="left" w:pos="1021"/>
                    </w:tabs>
                  </w:pPr>
                  <w:r>
                    <w:t>加油</w:t>
                  </w:r>
                </w:p>
              </w:tc>
              <w:tc>
                <w:tcPr>
                  <w:tcW w:w="856" w:type="pct"/>
                  <w:vMerge w:val="restart"/>
                  <w:vAlign w:val="center"/>
                </w:tcPr>
                <w:p>
                  <w:pPr>
                    <w:pStyle w:val="35"/>
                    <w:tabs>
                      <w:tab w:val="left" w:pos="1021"/>
                    </w:tabs>
                  </w:pPr>
                  <w:r>
                    <w:t>油气回收系统</w:t>
                  </w:r>
                </w:p>
              </w:tc>
              <w:tc>
                <w:tcPr>
                  <w:tcW w:w="2273" w:type="pct"/>
                  <w:vAlign w:val="center"/>
                </w:tcPr>
                <w:p>
                  <w:pPr>
                    <w:pStyle w:val="35"/>
                    <w:tabs>
                      <w:tab w:val="left" w:pos="1021"/>
                    </w:tabs>
                  </w:pPr>
                  <w:r>
                    <w:t>加油产生的油气应采用真空辅助方式密闭收集。</w:t>
                  </w:r>
                </w:p>
              </w:tc>
              <w:tc>
                <w:tcPr>
                  <w:tcW w:w="882" w:type="pct"/>
                  <w:vAlign w:val="center"/>
                </w:tcPr>
                <w:p>
                  <w:pPr>
                    <w:pStyle w:val="35"/>
                    <w:tabs>
                      <w:tab w:val="left" w:pos="1021"/>
                    </w:tabs>
                  </w:pPr>
                  <w: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40" w:type="pct"/>
                  <w:vMerge w:val="continue"/>
                  <w:vAlign w:val="center"/>
                </w:tcPr>
                <w:p>
                  <w:pPr>
                    <w:pStyle w:val="35"/>
                    <w:tabs>
                      <w:tab w:val="left" w:pos="1021"/>
                    </w:tabs>
                  </w:pPr>
                </w:p>
              </w:tc>
              <w:tc>
                <w:tcPr>
                  <w:tcW w:w="647" w:type="pct"/>
                  <w:vMerge w:val="continue"/>
                  <w:vAlign w:val="center"/>
                </w:tcPr>
                <w:p>
                  <w:pPr>
                    <w:pStyle w:val="35"/>
                    <w:tabs>
                      <w:tab w:val="left" w:pos="1021"/>
                    </w:tabs>
                  </w:pPr>
                </w:p>
              </w:tc>
              <w:tc>
                <w:tcPr>
                  <w:tcW w:w="856" w:type="pct"/>
                  <w:vMerge w:val="continue"/>
                  <w:vAlign w:val="center"/>
                </w:tcPr>
                <w:p>
                  <w:pPr>
                    <w:pStyle w:val="35"/>
                    <w:tabs>
                      <w:tab w:val="left" w:pos="1021"/>
                    </w:tabs>
                  </w:pPr>
                </w:p>
              </w:tc>
              <w:tc>
                <w:tcPr>
                  <w:tcW w:w="2273" w:type="pct"/>
                  <w:vAlign w:val="center"/>
                </w:tcPr>
                <w:p>
                  <w:pPr>
                    <w:pStyle w:val="35"/>
                    <w:tabs>
                      <w:tab w:val="left" w:pos="1021"/>
                    </w:tabs>
                  </w:pPr>
                  <w:r>
                    <w:t>加油软管应配备拉断截止阀，加油时应防止溢油和滴油。</w:t>
                  </w:r>
                </w:p>
              </w:tc>
              <w:tc>
                <w:tcPr>
                  <w:tcW w:w="882" w:type="pct"/>
                  <w:vAlign w:val="center"/>
                </w:tcPr>
                <w:p>
                  <w:pPr>
                    <w:pStyle w:val="35"/>
                    <w:tabs>
                      <w:tab w:val="left" w:pos="1021"/>
                    </w:tabs>
                  </w:pPr>
                  <w: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40" w:type="pct"/>
                  <w:vMerge w:val="continue"/>
                  <w:vAlign w:val="center"/>
                </w:tcPr>
                <w:p>
                  <w:pPr>
                    <w:pStyle w:val="35"/>
                    <w:tabs>
                      <w:tab w:val="left" w:pos="1021"/>
                    </w:tabs>
                  </w:pPr>
                </w:p>
              </w:tc>
              <w:tc>
                <w:tcPr>
                  <w:tcW w:w="647" w:type="pct"/>
                  <w:vMerge w:val="continue"/>
                  <w:vAlign w:val="center"/>
                </w:tcPr>
                <w:p>
                  <w:pPr>
                    <w:pStyle w:val="35"/>
                    <w:tabs>
                      <w:tab w:val="left" w:pos="1021"/>
                    </w:tabs>
                  </w:pPr>
                </w:p>
              </w:tc>
              <w:tc>
                <w:tcPr>
                  <w:tcW w:w="856" w:type="pct"/>
                  <w:vAlign w:val="center"/>
                </w:tcPr>
                <w:p>
                  <w:pPr>
                    <w:pStyle w:val="35"/>
                    <w:tabs>
                      <w:tab w:val="left" w:pos="1021"/>
                    </w:tabs>
                  </w:pPr>
                  <w:r>
                    <w:t>油气回收管线</w:t>
                  </w:r>
                </w:p>
              </w:tc>
              <w:tc>
                <w:tcPr>
                  <w:tcW w:w="2273" w:type="pct"/>
                  <w:vAlign w:val="center"/>
                </w:tcPr>
                <w:p>
                  <w:pPr>
                    <w:pStyle w:val="35"/>
                    <w:tabs>
                      <w:tab w:val="left" w:pos="1021"/>
                    </w:tabs>
                  </w:pPr>
                  <w:r>
                    <w:t>管线坡度≥1%，直径≥DN50。</w:t>
                  </w:r>
                </w:p>
              </w:tc>
              <w:tc>
                <w:tcPr>
                  <w:tcW w:w="882" w:type="pct"/>
                  <w:vAlign w:val="center"/>
                </w:tcPr>
                <w:p>
                  <w:pPr>
                    <w:pStyle w:val="35"/>
                    <w:tabs>
                      <w:tab w:val="left" w:pos="1021"/>
                    </w:tabs>
                  </w:pPr>
                  <w: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40" w:type="pct"/>
                  <w:vMerge w:val="continue"/>
                  <w:vAlign w:val="center"/>
                </w:tcPr>
                <w:p>
                  <w:pPr>
                    <w:pStyle w:val="35"/>
                    <w:tabs>
                      <w:tab w:val="left" w:pos="1021"/>
                    </w:tabs>
                  </w:pPr>
                </w:p>
              </w:tc>
              <w:tc>
                <w:tcPr>
                  <w:tcW w:w="647" w:type="pct"/>
                  <w:vMerge w:val="continue"/>
                  <w:vAlign w:val="center"/>
                </w:tcPr>
                <w:p>
                  <w:pPr>
                    <w:pStyle w:val="35"/>
                    <w:tabs>
                      <w:tab w:val="left" w:pos="1021"/>
                    </w:tabs>
                  </w:pPr>
                </w:p>
              </w:tc>
              <w:tc>
                <w:tcPr>
                  <w:tcW w:w="856" w:type="pct"/>
                  <w:vAlign w:val="center"/>
                </w:tcPr>
                <w:p>
                  <w:pPr>
                    <w:pStyle w:val="35"/>
                    <w:tabs>
                      <w:tab w:val="left" w:pos="1021"/>
                    </w:tabs>
                  </w:pPr>
                  <w:r>
                    <w:t>收集方式</w:t>
                  </w:r>
                </w:p>
              </w:tc>
              <w:tc>
                <w:tcPr>
                  <w:tcW w:w="2273" w:type="pct"/>
                  <w:vAlign w:val="center"/>
                </w:tcPr>
                <w:p>
                  <w:pPr>
                    <w:pStyle w:val="35"/>
                    <w:tabs>
                      <w:tab w:val="left" w:pos="1021"/>
                    </w:tabs>
                  </w:pPr>
                  <w:r>
                    <w:t>真空密闭收集</w:t>
                  </w:r>
                </w:p>
              </w:tc>
              <w:tc>
                <w:tcPr>
                  <w:tcW w:w="882" w:type="pct"/>
                  <w:vAlign w:val="center"/>
                </w:tcPr>
                <w:p>
                  <w:pPr>
                    <w:pStyle w:val="35"/>
                    <w:tabs>
                      <w:tab w:val="left" w:pos="1021"/>
                    </w:tabs>
                  </w:pPr>
                  <w:r>
                    <w:t>符合</w:t>
                  </w:r>
                </w:p>
              </w:tc>
            </w:tr>
          </w:tbl>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outlineLvl w:val="9"/>
              <w:rPr>
                <w:rFonts w:hint="default"/>
                <w:lang w:eastAsia="zh-CN"/>
              </w:rPr>
            </w:pPr>
            <w:r>
              <w:rPr>
                <w:rFonts w:hint="eastAsia"/>
                <w:lang w:eastAsia="zh-CN"/>
              </w:rPr>
              <w:t>参照《汽车加油加气加氢站技术标准》GB 50156-2021 ）中的有关规定，项目加油设备与站外建、构筑物的防火距离均符合《汽车加油加气加氢站技术标准》GB 50156-2021 ）相关规定。</w:t>
            </w:r>
            <w:r>
              <w:rPr>
                <w:rFonts w:hint="eastAsia"/>
              </w:rPr>
              <w:t>站内道路满足消防通道的要求。</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outlineLvl w:val="9"/>
              <w:rPr>
                <w:rFonts w:hint="default"/>
                <w:lang w:eastAsia="zh-CN"/>
              </w:rPr>
            </w:pPr>
            <w:r>
              <w:rPr>
                <w:rFonts w:hint="default"/>
              </w:rPr>
              <w:t>本项目</w:t>
            </w:r>
            <w:r>
              <w:rPr>
                <w:rFonts w:hint="eastAsia"/>
                <w:lang w:val="en-US" w:eastAsia="zh-CN"/>
              </w:rPr>
              <w:t>位于</w:t>
            </w:r>
            <w:r>
              <w:rPr>
                <w:rFonts w:hint="eastAsia"/>
                <w:lang w:eastAsia="zh-CN"/>
              </w:rPr>
              <w:t>祁东县永昌街道南山大道南侧（南山大道与永湘路交叉口东南角）</w:t>
            </w:r>
            <w:r>
              <w:rPr>
                <w:rFonts w:hint="default"/>
              </w:rPr>
              <w:t>，符合相关规划要求</w:t>
            </w:r>
            <w:r>
              <w:rPr>
                <w:rFonts w:hint="default"/>
                <w:lang w:eastAsia="zh-CN"/>
              </w:rPr>
              <w:t>，周围无自然保护区、风景名胜区、文物保护等环境敏感因素。</w:t>
            </w:r>
            <w:r>
              <w:rPr>
                <w:rFonts w:hint="default"/>
              </w:rPr>
              <w:t>项目所在地环境各要素质量满足环境功能区相关的国家标准要求，对本项目建设制约小。</w:t>
            </w:r>
            <w:r>
              <w:rPr>
                <w:rFonts w:hint="default"/>
                <w:lang w:eastAsia="zh-CN"/>
              </w:rPr>
              <w:t>本项目与周围环境相融，从环保的角度看，本项目的选址合理可行。</w:t>
            </w:r>
          </w:p>
          <w:p>
            <w:pPr>
              <w:pStyle w:val="14"/>
              <w:ind w:firstLine="480"/>
            </w:pPr>
            <w:r>
              <w:rPr>
                <w:rFonts w:hint="default"/>
                <w:lang w:eastAsia="zh-CN"/>
              </w:rPr>
              <w:t>本环评建议，本加油站周边新建有关项目时，应严格遵守《汽车加油加气加氢站技术标准》GB 50156-2021 ）有关规定，严禁新建项目超过与加油站有关单元的最小安全防护距离</w:t>
            </w:r>
            <w:r>
              <w:t>。</w:t>
            </w:r>
          </w:p>
          <w:p>
            <w:pPr>
              <w:pStyle w:val="14"/>
              <w:bidi w:val="0"/>
              <w:rPr>
                <w:rFonts w:hint="default"/>
              </w:rPr>
            </w:pPr>
            <w:r>
              <w:rPr>
                <w:rFonts w:hint="eastAsia"/>
                <w:lang w:val="en-US" w:eastAsia="zh-CN"/>
              </w:rPr>
              <w:t>3</w:t>
            </w:r>
            <w:r>
              <w:rPr>
                <w:rFonts w:hint="default"/>
                <w:lang w:val="en-US" w:eastAsia="zh-CN"/>
              </w:rPr>
              <w:t>、</w:t>
            </w:r>
            <w:r>
              <w:rPr>
                <w:rFonts w:hint="default"/>
              </w:rPr>
              <w:t>平面布局合理性分析</w:t>
            </w:r>
          </w:p>
          <w:p>
            <w:pPr>
              <w:pStyle w:val="14"/>
              <w:bidi w:val="0"/>
              <w:rPr>
                <w:rFonts w:hint="eastAsia"/>
                <w:lang w:val="en-US" w:eastAsia="zh-CN"/>
              </w:rPr>
            </w:pPr>
            <w:r>
              <w:rPr>
                <w:rFonts w:hint="eastAsia"/>
                <w:lang w:val="en-US" w:eastAsia="zh-CN"/>
              </w:rPr>
              <w:t>本项目根据站区地理位置、建设规模、交通运输等条件，本着有利生产、方便管理、确保安全、保护环境等原则进行平面布置，严格遵守《汽车加油加气加氢站技术标准》GB 50156-2021 ）、《建筑设计防火规范》(2018修订版)等要求，确保站内设备与站内外建筑物安全间距满足相关规范要求。站内由北向南依次为加油机（油罐区位于加油区下）、站房、洗车机、充电桩，站房设置在加油区南侧，辅助用房位于厂区西侧。项目拟设加油机4台24枪，均为潜油泵式油气回收型加油机。日升路上设进出口，进出口分开设置。</w:t>
            </w:r>
          </w:p>
          <w:p>
            <w:pPr>
              <w:pStyle w:val="36"/>
              <w:bidi w:val="0"/>
              <w:rPr>
                <w:rFonts w:hint="eastAsia"/>
                <w:lang w:val="en-US" w:eastAsia="zh-CN"/>
              </w:rPr>
            </w:pPr>
            <w:r>
              <w:rPr>
                <w:rFonts w:hint="eastAsia"/>
                <w:lang w:val="en-US" w:eastAsia="zh-CN"/>
              </w:rPr>
              <w:t>表 1-4 项目站区平面布置符合性</w:t>
            </w:r>
          </w:p>
          <w:tbl>
            <w:tblPr>
              <w:tblStyle w:val="3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3304"/>
              <w:gridCol w:w="2243"/>
              <w:gridCol w:w="7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639" w:type="pct"/>
                  <w:noWrap w:val="0"/>
                  <w:vAlign w:val="center"/>
                </w:tcPr>
                <w:p>
                  <w:pPr>
                    <w:pStyle w:val="35"/>
                    <w:bidi w:val="0"/>
                    <w:rPr>
                      <w:rFonts w:hint="default"/>
                      <w:lang w:val="en-US" w:eastAsia="en-US"/>
                    </w:rPr>
                  </w:pPr>
                  <w:r>
                    <w:rPr>
                      <w:rFonts w:hint="eastAsia"/>
                      <w:lang w:val="en-US" w:eastAsia="en-US"/>
                    </w:rPr>
                    <w:t>汽车加油加气加氢站技术标准</w:t>
                  </w:r>
                </w:p>
              </w:tc>
              <w:tc>
                <w:tcPr>
                  <w:tcW w:w="1791" w:type="pct"/>
                  <w:noWrap w:val="0"/>
                  <w:vAlign w:val="center"/>
                </w:tcPr>
                <w:p>
                  <w:pPr>
                    <w:pStyle w:val="35"/>
                    <w:bidi w:val="0"/>
                    <w:rPr>
                      <w:rFonts w:hint="default"/>
                      <w:lang w:val="en-US" w:eastAsia="en-US"/>
                    </w:rPr>
                  </w:pPr>
                  <w:r>
                    <w:rPr>
                      <w:rFonts w:hint="default"/>
                      <w:lang w:val="en-US" w:eastAsia="en-US"/>
                    </w:rPr>
                    <w:t>项目实际情况</w:t>
                  </w:r>
                </w:p>
              </w:tc>
              <w:tc>
                <w:tcPr>
                  <w:tcW w:w="569" w:type="pct"/>
                  <w:noWrap w:val="0"/>
                  <w:vAlign w:val="center"/>
                </w:tcPr>
                <w:p>
                  <w:pPr>
                    <w:pStyle w:val="35"/>
                    <w:bidi w:val="0"/>
                    <w:rPr>
                      <w:rFonts w:hint="default"/>
                      <w:lang w:val="en-US" w:eastAsia="en-US"/>
                    </w:rPr>
                  </w:pPr>
                  <w:r>
                    <w:rPr>
                      <w:rFonts w:hint="default"/>
                      <w:lang w:val="en-US" w:eastAsia="en-US"/>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639" w:type="pct"/>
                  <w:noWrap w:val="0"/>
                  <w:vAlign w:val="center"/>
                </w:tcPr>
                <w:p>
                  <w:pPr>
                    <w:pStyle w:val="35"/>
                    <w:bidi w:val="0"/>
                    <w:rPr>
                      <w:rFonts w:hint="default"/>
                      <w:lang w:val="en-US" w:eastAsia="en-US"/>
                    </w:rPr>
                  </w:pPr>
                  <w:r>
                    <w:rPr>
                      <w:rFonts w:hint="default"/>
                      <w:lang w:val="en-US" w:eastAsia="en-US"/>
                    </w:rPr>
                    <w:t>车辆入口和出口应分开设置</w:t>
                  </w:r>
                </w:p>
              </w:tc>
              <w:tc>
                <w:tcPr>
                  <w:tcW w:w="1791" w:type="pct"/>
                  <w:noWrap w:val="0"/>
                  <w:vAlign w:val="center"/>
                </w:tcPr>
                <w:p>
                  <w:pPr>
                    <w:pStyle w:val="35"/>
                    <w:bidi w:val="0"/>
                    <w:rPr>
                      <w:rFonts w:hint="default"/>
                      <w:lang w:val="en-US" w:eastAsia="en-US"/>
                    </w:rPr>
                  </w:pPr>
                  <w:r>
                    <w:rPr>
                      <w:rFonts w:hint="eastAsia"/>
                      <w:lang w:val="en-US" w:eastAsia="zh-CN"/>
                    </w:rPr>
                    <w:t>日升路</w:t>
                  </w:r>
                  <w:r>
                    <w:rPr>
                      <w:rFonts w:hint="default"/>
                      <w:lang w:val="en-US" w:eastAsia="en-US"/>
                    </w:rPr>
                    <w:t>上设进出口，进出口分开设置</w:t>
                  </w:r>
                </w:p>
              </w:tc>
              <w:tc>
                <w:tcPr>
                  <w:tcW w:w="569" w:type="pct"/>
                  <w:noWrap w:val="0"/>
                  <w:vAlign w:val="center"/>
                </w:tcPr>
                <w:p>
                  <w:pPr>
                    <w:pStyle w:val="35"/>
                    <w:bidi w:val="0"/>
                    <w:rPr>
                      <w:rFonts w:hint="default"/>
                      <w:lang w:val="en-US" w:eastAsia="en-US"/>
                    </w:rPr>
                  </w:pPr>
                  <w:r>
                    <w:rPr>
                      <w:rFonts w:hint="default"/>
                      <w:lang w:val="en-US" w:eastAsia="en-US"/>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639" w:type="pct"/>
                  <w:noWrap w:val="0"/>
                  <w:vAlign w:val="center"/>
                </w:tcPr>
                <w:p>
                  <w:pPr>
                    <w:pStyle w:val="35"/>
                    <w:bidi w:val="0"/>
                    <w:rPr>
                      <w:rFonts w:hint="default"/>
                      <w:lang w:val="en-US" w:eastAsia="en-US"/>
                    </w:rPr>
                  </w:pPr>
                  <w:r>
                    <w:rPr>
                      <w:rFonts w:hint="default"/>
                      <w:lang w:val="en-US" w:eastAsia="en-US"/>
                    </w:rPr>
                    <w:t>单车道宽度≥4m，双车道宽度≥6m</w:t>
                  </w:r>
                </w:p>
              </w:tc>
              <w:tc>
                <w:tcPr>
                  <w:tcW w:w="1791" w:type="pct"/>
                  <w:noWrap w:val="0"/>
                  <w:vAlign w:val="center"/>
                </w:tcPr>
                <w:p>
                  <w:pPr>
                    <w:pStyle w:val="35"/>
                    <w:bidi w:val="0"/>
                    <w:rPr>
                      <w:rFonts w:hint="default"/>
                      <w:lang w:val="en-US" w:eastAsia="en-US"/>
                    </w:rPr>
                  </w:pPr>
                  <w:r>
                    <w:rPr>
                      <w:rFonts w:hint="default"/>
                      <w:lang w:val="en-US" w:eastAsia="en-US"/>
                    </w:rPr>
                    <w:t>站内双车停车位宽度大于 6m</w:t>
                  </w:r>
                </w:p>
              </w:tc>
              <w:tc>
                <w:tcPr>
                  <w:tcW w:w="569" w:type="pct"/>
                  <w:noWrap w:val="0"/>
                  <w:vAlign w:val="center"/>
                </w:tcPr>
                <w:p>
                  <w:pPr>
                    <w:pStyle w:val="35"/>
                    <w:bidi w:val="0"/>
                    <w:rPr>
                      <w:rFonts w:hint="default"/>
                      <w:lang w:val="en-US" w:eastAsia="en-US"/>
                    </w:rPr>
                  </w:pPr>
                  <w:r>
                    <w:rPr>
                      <w:rFonts w:hint="default"/>
                      <w:lang w:val="en-US" w:eastAsia="en-US"/>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639" w:type="pct"/>
                  <w:noWrap w:val="0"/>
                  <w:vAlign w:val="center"/>
                </w:tcPr>
                <w:p>
                  <w:pPr>
                    <w:pStyle w:val="35"/>
                    <w:bidi w:val="0"/>
                    <w:rPr>
                      <w:rFonts w:hint="default"/>
                      <w:lang w:val="en-US" w:eastAsia="en-US"/>
                    </w:rPr>
                  </w:pPr>
                  <w:r>
                    <w:rPr>
                      <w:rFonts w:hint="default"/>
                      <w:lang w:val="en-US" w:eastAsia="en-US"/>
                    </w:rPr>
                    <w:t>加油加气作业区内的停车位和道路路面不应采用沥青路面</w:t>
                  </w:r>
                </w:p>
              </w:tc>
              <w:tc>
                <w:tcPr>
                  <w:tcW w:w="1791" w:type="pct"/>
                  <w:noWrap w:val="0"/>
                  <w:vAlign w:val="center"/>
                </w:tcPr>
                <w:p>
                  <w:pPr>
                    <w:pStyle w:val="35"/>
                    <w:bidi w:val="0"/>
                    <w:rPr>
                      <w:rFonts w:hint="default"/>
                      <w:lang w:val="en-US" w:eastAsia="en-US"/>
                    </w:rPr>
                  </w:pPr>
                  <w:r>
                    <w:rPr>
                      <w:rFonts w:hint="default"/>
                      <w:lang w:val="en-US" w:eastAsia="en-US"/>
                    </w:rPr>
                    <w:t>拟采用混凝土路面</w:t>
                  </w:r>
                </w:p>
              </w:tc>
              <w:tc>
                <w:tcPr>
                  <w:tcW w:w="569" w:type="pct"/>
                  <w:noWrap w:val="0"/>
                  <w:vAlign w:val="center"/>
                </w:tcPr>
                <w:p>
                  <w:pPr>
                    <w:pStyle w:val="35"/>
                    <w:bidi w:val="0"/>
                    <w:rPr>
                      <w:rFonts w:hint="default"/>
                      <w:lang w:val="en-US" w:eastAsia="en-US"/>
                    </w:rPr>
                  </w:pPr>
                  <w:r>
                    <w:rPr>
                      <w:rFonts w:hint="default"/>
                      <w:lang w:val="en-US" w:eastAsia="en-US"/>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639" w:type="pct"/>
                  <w:noWrap w:val="0"/>
                  <w:vAlign w:val="center"/>
                </w:tcPr>
                <w:p>
                  <w:pPr>
                    <w:pStyle w:val="35"/>
                    <w:bidi w:val="0"/>
                    <w:rPr>
                      <w:rFonts w:hint="default"/>
                      <w:lang w:val="en-US" w:eastAsia="en-US"/>
                    </w:rPr>
                  </w:pPr>
                  <w:r>
                    <w:rPr>
                      <w:rFonts w:hint="default"/>
                      <w:lang w:val="en-US" w:eastAsia="en-US"/>
                    </w:rPr>
                    <w:t>加油作业区与辅助服务区之间应有界线标识</w:t>
                  </w:r>
                </w:p>
              </w:tc>
              <w:tc>
                <w:tcPr>
                  <w:tcW w:w="1791" w:type="pct"/>
                  <w:noWrap w:val="0"/>
                  <w:vAlign w:val="center"/>
                </w:tcPr>
                <w:p>
                  <w:pPr>
                    <w:pStyle w:val="35"/>
                    <w:bidi w:val="0"/>
                    <w:rPr>
                      <w:rFonts w:hint="default"/>
                      <w:lang w:val="en-US" w:eastAsia="en-US"/>
                    </w:rPr>
                  </w:pPr>
                  <w:r>
                    <w:rPr>
                      <w:rFonts w:hint="default"/>
                      <w:lang w:val="en-US" w:eastAsia="en-US"/>
                    </w:rPr>
                    <w:t>加油区和辅助服务区分开，并设置界线标识</w:t>
                  </w:r>
                </w:p>
              </w:tc>
              <w:tc>
                <w:tcPr>
                  <w:tcW w:w="569" w:type="pct"/>
                  <w:noWrap w:val="0"/>
                  <w:vAlign w:val="center"/>
                </w:tcPr>
                <w:p>
                  <w:pPr>
                    <w:pStyle w:val="35"/>
                    <w:bidi w:val="0"/>
                    <w:rPr>
                      <w:rFonts w:hint="default"/>
                      <w:lang w:val="en-US" w:eastAsia="en-US"/>
                    </w:rPr>
                  </w:pPr>
                  <w:r>
                    <w:rPr>
                      <w:rFonts w:hint="default"/>
                      <w:lang w:val="en-US" w:eastAsia="en-US"/>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639" w:type="pct"/>
                  <w:noWrap w:val="0"/>
                  <w:vAlign w:val="center"/>
                </w:tcPr>
                <w:p>
                  <w:pPr>
                    <w:pStyle w:val="35"/>
                    <w:bidi w:val="0"/>
                    <w:rPr>
                      <w:rFonts w:hint="default"/>
                      <w:lang w:val="en-US" w:eastAsia="en-US"/>
                    </w:rPr>
                  </w:pPr>
                  <w:r>
                    <w:rPr>
                      <w:rFonts w:hint="default"/>
                      <w:lang w:val="en-US" w:eastAsia="en-US"/>
                    </w:rPr>
                    <w:t>加油作业区内，不得有“明火地点”或“散发 火花地点”</w:t>
                  </w:r>
                </w:p>
              </w:tc>
              <w:tc>
                <w:tcPr>
                  <w:tcW w:w="1791" w:type="pct"/>
                  <w:noWrap w:val="0"/>
                  <w:vAlign w:val="center"/>
                </w:tcPr>
                <w:p>
                  <w:pPr>
                    <w:pStyle w:val="35"/>
                    <w:bidi w:val="0"/>
                    <w:rPr>
                      <w:rFonts w:hint="default"/>
                      <w:lang w:val="en-US" w:eastAsia="en-US"/>
                    </w:rPr>
                  </w:pPr>
                  <w:r>
                    <w:rPr>
                      <w:rFonts w:hint="default"/>
                      <w:lang w:val="en-US" w:eastAsia="en-US"/>
                    </w:rPr>
                    <w:t>加油作业区内无明火地点和散发火花地点</w:t>
                  </w:r>
                </w:p>
              </w:tc>
              <w:tc>
                <w:tcPr>
                  <w:tcW w:w="569" w:type="pct"/>
                  <w:noWrap w:val="0"/>
                  <w:vAlign w:val="center"/>
                </w:tcPr>
                <w:p>
                  <w:pPr>
                    <w:pStyle w:val="35"/>
                    <w:bidi w:val="0"/>
                    <w:rPr>
                      <w:rFonts w:hint="default"/>
                      <w:lang w:val="en-US" w:eastAsia="en-US"/>
                    </w:rPr>
                  </w:pPr>
                  <w:r>
                    <w:rPr>
                      <w:rFonts w:hint="default"/>
                      <w:lang w:val="en-US" w:eastAsia="en-US"/>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639" w:type="pct"/>
                  <w:noWrap w:val="0"/>
                  <w:vAlign w:val="center"/>
                </w:tcPr>
                <w:p>
                  <w:pPr>
                    <w:pStyle w:val="35"/>
                    <w:bidi w:val="0"/>
                    <w:rPr>
                      <w:rFonts w:hint="default"/>
                      <w:lang w:val="en-US" w:eastAsia="en-US"/>
                    </w:rPr>
                  </w:pPr>
                  <w:r>
                    <w:rPr>
                      <w:rFonts w:hint="default"/>
                      <w:lang w:val="en-US" w:eastAsia="en-US"/>
                    </w:rPr>
                    <w:t>站房可布置在加油加气作业区内，但应符合相关规定</w:t>
                  </w:r>
                </w:p>
              </w:tc>
              <w:tc>
                <w:tcPr>
                  <w:tcW w:w="1791" w:type="pct"/>
                  <w:noWrap w:val="0"/>
                  <w:vAlign w:val="center"/>
                </w:tcPr>
                <w:p>
                  <w:pPr>
                    <w:pStyle w:val="35"/>
                    <w:bidi w:val="0"/>
                    <w:rPr>
                      <w:rFonts w:hint="default"/>
                      <w:lang w:val="en-US" w:eastAsia="en-US"/>
                    </w:rPr>
                  </w:pPr>
                  <w:r>
                    <w:rPr>
                      <w:rFonts w:hint="default"/>
                      <w:lang w:val="en-US" w:eastAsia="en-US"/>
                    </w:rPr>
                    <w:t>站房布置在加油作业区外</w:t>
                  </w:r>
                </w:p>
              </w:tc>
              <w:tc>
                <w:tcPr>
                  <w:tcW w:w="569" w:type="pct"/>
                  <w:noWrap w:val="0"/>
                  <w:vAlign w:val="center"/>
                </w:tcPr>
                <w:p>
                  <w:pPr>
                    <w:pStyle w:val="35"/>
                    <w:bidi w:val="0"/>
                    <w:rPr>
                      <w:rFonts w:hint="default"/>
                      <w:lang w:val="en-US" w:eastAsia="en-US"/>
                    </w:rPr>
                  </w:pPr>
                  <w:r>
                    <w:rPr>
                      <w:rFonts w:hint="default"/>
                      <w:lang w:val="en-US" w:eastAsia="en-US"/>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639" w:type="pct"/>
                  <w:noWrap w:val="0"/>
                  <w:vAlign w:val="center"/>
                </w:tcPr>
                <w:p>
                  <w:pPr>
                    <w:pStyle w:val="35"/>
                    <w:bidi w:val="0"/>
                    <w:rPr>
                      <w:rFonts w:hint="default"/>
                      <w:lang w:val="en-US" w:eastAsia="en-US"/>
                    </w:rPr>
                  </w:pPr>
                  <w:r>
                    <w:rPr>
                      <w:rFonts w:hint="default"/>
                      <w:lang w:val="en-US" w:eastAsia="en-US"/>
                    </w:rPr>
                    <w:t>加油加气站内设置的经营性餐饮、汽车服务等非站房所属建筑物或设施，不应布置在加油加气作业区内，其与站内可燃液体或可燃气体设备的防火间距，应符合相关规定。经营性餐饮、汽车服务等设施内设置明火设备时，则应视为“明火地点”或“散发火花地点</w:t>
                  </w:r>
                </w:p>
              </w:tc>
              <w:tc>
                <w:tcPr>
                  <w:tcW w:w="1791" w:type="pct"/>
                  <w:noWrap w:val="0"/>
                  <w:vAlign w:val="center"/>
                </w:tcPr>
                <w:p>
                  <w:pPr>
                    <w:pStyle w:val="35"/>
                    <w:bidi w:val="0"/>
                    <w:rPr>
                      <w:rFonts w:hint="default"/>
                      <w:lang w:val="en-US" w:eastAsia="en-US"/>
                    </w:rPr>
                  </w:pPr>
                  <w:r>
                    <w:rPr>
                      <w:rFonts w:hint="eastAsia"/>
                      <w:lang w:val="en-US" w:eastAsia="zh-CN"/>
                    </w:rPr>
                    <w:t>项目</w:t>
                  </w:r>
                  <w:r>
                    <w:rPr>
                      <w:rFonts w:hint="default"/>
                      <w:lang w:val="en-US" w:eastAsia="en-US"/>
                    </w:rPr>
                    <w:t>洗车服务</w:t>
                  </w:r>
                  <w:r>
                    <w:rPr>
                      <w:rFonts w:hint="eastAsia"/>
                      <w:lang w:val="en-US" w:eastAsia="zh-CN"/>
                    </w:rPr>
                    <w:t>设置在站房南侧</w:t>
                  </w:r>
                  <w:r>
                    <w:rPr>
                      <w:rFonts w:hint="default"/>
                      <w:lang w:val="en-US" w:eastAsia="en-US"/>
                    </w:rPr>
                    <w:t>，站房与站内可燃液体或可燃气体设备的防火间距符合相关规定</w:t>
                  </w:r>
                </w:p>
              </w:tc>
              <w:tc>
                <w:tcPr>
                  <w:tcW w:w="569" w:type="pct"/>
                  <w:noWrap w:val="0"/>
                  <w:vAlign w:val="center"/>
                </w:tcPr>
                <w:p>
                  <w:pPr>
                    <w:pStyle w:val="35"/>
                    <w:bidi w:val="0"/>
                    <w:rPr>
                      <w:rFonts w:hint="default"/>
                      <w:lang w:val="en-US" w:eastAsia="en-US"/>
                    </w:rPr>
                  </w:pPr>
                  <w:r>
                    <w:rPr>
                      <w:rFonts w:hint="default"/>
                      <w:lang w:val="en-US" w:eastAsia="en-US"/>
                    </w:rPr>
                    <w:t>符合</w:t>
                  </w:r>
                </w:p>
              </w:tc>
            </w:tr>
          </w:tbl>
          <w:p>
            <w:pPr>
              <w:pStyle w:val="14"/>
              <w:bidi w:val="0"/>
              <w:rPr>
                <w:rFonts w:hint="default"/>
                <w:lang w:val="en-US"/>
              </w:rPr>
            </w:pPr>
            <w:r>
              <w:rPr>
                <w:rFonts w:hint="eastAsia"/>
                <w:lang w:val="en-US" w:eastAsia="zh-CN"/>
              </w:rPr>
              <w:t>另外考虑到加油枪工作时车辆进入应畅通无阻，站内罩棚加油岛之间采用双车道设计，进出站口的转弯半径大于等于15m，满足加油车及消防车的转弯半径要求，站内道路按0.5%坡度设计，槽车卸车位及加油罩棚内车位处均不设坡度。项目厂区的布置见附图2。</w:t>
            </w:r>
          </w:p>
          <w:p>
            <w:pPr>
              <w:pStyle w:val="14"/>
              <w:numPr>
                <w:ilvl w:val="0"/>
                <w:numId w:val="3"/>
              </w:numPr>
              <w:bidi w:val="0"/>
              <w:rPr>
                <w:rFonts w:hint="default"/>
                <w:lang w:val="en-US" w:eastAsia="zh-CN"/>
              </w:rPr>
            </w:pPr>
            <w:r>
              <w:rPr>
                <w:rFonts w:hint="default"/>
                <w:lang w:val="en-US" w:eastAsia="zh-CN"/>
              </w:rPr>
              <w:t>与</w:t>
            </w:r>
            <w:r>
              <w:rPr>
                <w:rFonts w:hint="eastAsia"/>
                <w:lang w:val="en-US" w:eastAsia="zh-CN"/>
              </w:rPr>
              <w:t>“</w:t>
            </w:r>
            <w:r>
              <w:rPr>
                <w:rFonts w:hint="default"/>
                <w:lang w:val="en-US" w:eastAsia="zh-CN"/>
              </w:rPr>
              <w:t>三线一单</w:t>
            </w:r>
            <w:r>
              <w:rPr>
                <w:rFonts w:hint="eastAsia"/>
                <w:lang w:val="en-US" w:eastAsia="zh-CN"/>
              </w:rPr>
              <w:t>”</w:t>
            </w:r>
            <w:r>
              <w:rPr>
                <w:rFonts w:hint="default"/>
                <w:lang w:val="en-US" w:eastAsia="zh-CN"/>
              </w:rPr>
              <w:t>要求相符性分析</w:t>
            </w:r>
          </w:p>
          <w:p>
            <w:pPr>
              <w:spacing w:line="360" w:lineRule="auto"/>
              <w:ind w:firstLine="480" w:firstLineChars="200"/>
              <w:rPr>
                <w:rFonts w:hint="default"/>
              </w:rPr>
            </w:pPr>
            <w:r>
              <w:rPr>
                <w:rFonts w:hint="default"/>
              </w:rPr>
              <w:t>根据《关于以改善环境质量为核心加强环境影响评价管理的通知》（环环评[2016]150号）：“为适应以改善环境质量为核心的环境管理要求，切实加强环境影响评价管理，落实“生态保护红线、环境质量底线、资源利用上线和环境准入负面清单”（以下简称“三线一单”）约束”要求，对项目进行“三线一单”符合性判定。</w:t>
            </w:r>
          </w:p>
          <w:p>
            <w:pPr>
              <w:pStyle w:val="14"/>
              <w:bidi w:val="0"/>
              <w:rPr>
                <w:rFonts w:hint="default"/>
              </w:rPr>
            </w:pPr>
            <w:r>
              <w:rPr>
                <w:rFonts w:hint="default"/>
              </w:rPr>
              <w:t>（1）生态保护红线</w:t>
            </w:r>
          </w:p>
          <w:p>
            <w:pPr>
              <w:pStyle w:val="14"/>
              <w:bidi w:val="0"/>
              <w:rPr>
                <w:rFonts w:hint="default"/>
              </w:rPr>
            </w:pPr>
            <w:r>
              <w:rPr>
                <w:rFonts w:hint="default"/>
              </w:rPr>
              <w:t>本项目位于祁东县</w:t>
            </w:r>
            <w:r>
              <w:rPr>
                <w:rFonts w:hint="eastAsia"/>
                <w:lang w:eastAsia="zh-CN"/>
              </w:rPr>
              <w:t>永昌街道兰芝社区2组</w:t>
            </w:r>
            <w:r>
              <w:rPr>
                <w:rFonts w:hint="default"/>
              </w:rPr>
              <w:t>。根据湖南省人民政府 2018年7月25日发布的《湖南省人民政府生态保护红线》和《衡阳市生态保护红线划定方案》，项目与祁东县生态保护红线位置关系详见附图</w:t>
            </w:r>
            <w:r>
              <w:rPr>
                <w:rFonts w:hint="eastAsia"/>
                <w:lang w:val="en-US" w:eastAsia="zh-CN"/>
              </w:rPr>
              <w:t>7</w:t>
            </w:r>
            <w:r>
              <w:rPr>
                <w:rFonts w:hint="default"/>
                <w:lang w:eastAsia="zh-CN"/>
              </w:rPr>
              <w:t>，</w:t>
            </w:r>
            <w:r>
              <w:rPr>
                <w:rFonts w:hint="default"/>
              </w:rPr>
              <w:t>本项目不在生态保护红线范围内，满足生态保护红线要求。</w:t>
            </w:r>
          </w:p>
          <w:p>
            <w:pPr>
              <w:pStyle w:val="14"/>
              <w:bidi w:val="0"/>
              <w:rPr>
                <w:rFonts w:hint="default"/>
              </w:rPr>
            </w:pPr>
            <w:r>
              <w:rPr>
                <w:rFonts w:hint="default"/>
              </w:rPr>
              <w:t>（2）环境质量底线</w:t>
            </w:r>
          </w:p>
          <w:p>
            <w:pPr>
              <w:pStyle w:val="14"/>
              <w:bidi w:val="0"/>
              <w:rPr>
                <w:rFonts w:hint="default"/>
              </w:rPr>
            </w:pPr>
            <w:r>
              <w:rPr>
                <w:rFonts w:hint="default"/>
              </w:rPr>
              <w:t>区域环境空气属于《环境空气质量标准》（GB3095-2012）中二类功能区、地表水水环境功能属于《地表水环境质量标准》（GB3838-2002）中Ⅲ类功能区、区域声环境属于《声环境质量标准》（GB3096-2008）中2类功能区。本项目大气环境、声环境、地表水环境质量均能够满足相应的标准要求；本项目废水、废气、噪声经治理后能够做到达标排放，固废可做到无害化处理、处置。项目自身产生的三废均能有效处理，因此本项目建设不会对当地环境质量底线造成冲击，项目的建设运营不会降低区域环境质量，满足环境质量底线要求。</w:t>
            </w:r>
          </w:p>
          <w:p>
            <w:pPr>
              <w:pStyle w:val="14"/>
              <w:bidi w:val="0"/>
              <w:rPr>
                <w:rFonts w:hint="default"/>
              </w:rPr>
            </w:pPr>
            <w:r>
              <w:rPr>
                <w:rFonts w:hint="default"/>
              </w:rPr>
              <w:t>（3）资源利用上线</w:t>
            </w:r>
          </w:p>
          <w:p>
            <w:pPr>
              <w:pStyle w:val="14"/>
              <w:bidi w:val="0"/>
              <w:rPr>
                <w:rFonts w:hint="eastAsia"/>
                <w:lang w:eastAsia="zh-CN"/>
              </w:rPr>
            </w:pPr>
            <w:r>
              <w:rPr>
                <w:rFonts w:hint="default"/>
              </w:rPr>
              <w:t>项目使用资源主要为水、电等，本项目给水系统在用地范围内新建，接通市政供水管网供水；供配电系统在用地范围内新建。本项目建成运行后通过内部管理、设备选择、污染治理等多方面采取可行的防治措施，以</w:t>
            </w:r>
            <w:r>
              <w:rPr>
                <w:rFonts w:hint="eastAsia"/>
                <w:lang w:eastAsia="zh-CN"/>
              </w:rPr>
              <w:t>“</w:t>
            </w:r>
            <w:r>
              <w:rPr>
                <w:rFonts w:hint="default"/>
              </w:rPr>
              <w:t>节能、降耗、减污</w:t>
            </w:r>
            <w:r>
              <w:rPr>
                <w:rFonts w:hint="eastAsia"/>
                <w:lang w:eastAsia="zh-CN"/>
              </w:rPr>
              <w:t>”</w:t>
            </w:r>
            <w:r>
              <w:rPr>
                <w:rFonts w:hint="default"/>
              </w:rPr>
              <w:t>为目标，项目的水、电等资源不会突破区域的资源利用上线。项目用地不涉及基本农田。项目资源利用满足要求</w:t>
            </w:r>
            <w:r>
              <w:rPr>
                <w:rFonts w:hint="eastAsia"/>
                <w:lang w:eastAsia="zh-CN"/>
              </w:rPr>
              <w:t>。</w:t>
            </w:r>
          </w:p>
          <w:p>
            <w:pPr>
              <w:pStyle w:val="14"/>
              <w:bidi w:val="0"/>
              <w:rPr>
                <w:rFonts w:hint="default"/>
              </w:rPr>
            </w:pPr>
            <w:r>
              <w:rPr>
                <w:rFonts w:hint="default"/>
              </w:rPr>
              <w:t>（4）</w:t>
            </w:r>
            <w:r>
              <w:rPr>
                <w:rFonts w:hint="default"/>
                <w:lang w:val="en-US" w:eastAsia="zh-CN"/>
              </w:rPr>
              <w:t>生态</w:t>
            </w:r>
            <w:r>
              <w:rPr>
                <w:rFonts w:hint="default"/>
              </w:rPr>
              <w:t>环境准入负面清单</w:t>
            </w:r>
          </w:p>
          <w:p>
            <w:pPr>
              <w:pStyle w:val="14"/>
              <w:bidi w:val="0"/>
              <w:rPr>
                <w:rFonts w:hint="default"/>
              </w:rPr>
            </w:pPr>
            <w:r>
              <w:rPr>
                <w:rFonts w:hint="default"/>
              </w:rPr>
              <w:t>根据《湖南省国家重点生态功能区产业准入负面清单（试行）》以及《湖南省新增19个国家重点生态功能区产业准入负面清单（试行）》，祁东县未在负面清单范围内。</w:t>
            </w:r>
          </w:p>
          <w:p>
            <w:pPr>
              <w:pStyle w:val="14"/>
              <w:numPr>
                <w:ilvl w:val="0"/>
                <w:numId w:val="4"/>
              </w:numPr>
              <w:bidi w:val="0"/>
              <w:rPr>
                <w:rFonts w:hint="default"/>
              </w:rPr>
            </w:pPr>
            <w:r>
              <w:rPr>
                <w:rFonts w:hint="default"/>
              </w:rPr>
              <w:t>与《衡阳市人民政府“关于实施“三线一单”生态环境分区管控的意见》相符性分析</w:t>
            </w:r>
          </w:p>
          <w:p>
            <w:pPr>
              <w:pStyle w:val="14"/>
              <w:numPr>
                <w:ilvl w:val="0"/>
                <w:numId w:val="4"/>
              </w:numPr>
              <w:bidi w:val="0"/>
              <w:rPr>
                <w:rFonts w:hint="default"/>
              </w:rPr>
            </w:pPr>
            <w:r>
              <w:rPr>
                <w:rFonts w:hint="default"/>
              </w:rPr>
              <w:t>本项目位于祁东县</w:t>
            </w:r>
            <w:r>
              <w:rPr>
                <w:rFonts w:hint="eastAsia"/>
                <w:lang w:eastAsia="zh-CN"/>
              </w:rPr>
              <w:t>永昌街道兰芝社区2组</w:t>
            </w:r>
            <w:r>
              <w:rPr>
                <w:rFonts w:hint="default"/>
              </w:rPr>
              <w:t>，根据衡阳市人民政府《关于印发&lt;关于实施</w:t>
            </w:r>
            <w:r>
              <w:rPr>
                <w:rFonts w:hint="eastAsia"/>
                <w:lang w:eastAsia="zh-CN"/>
              </w:rPr>
              <w:t>“</w:t>
            </w:r>
            <w:r>
              <w:rPr>
                <w:rFonts w:hint="default"/>
              </w:rPr>
              <w:t>三线一单</w:t>
            </w:r>
            <w:r>
              <w:rPr>
                <w:rFonts w:hint="eastAsia"/>
                <w:lang w:eastAsia="zh-CN"/>
              </w:rPr>
              <w:t>”</w:t>
            </w:r>
            <w:r>
              <w:rPr>
                <w:rFonts w:hint="default"/>
              </w:rPr>
              <w:t>生态环境分区管控的意见&gt;》（衡政发[2020]9号），属于优先保护单元，编码ZH430426</w:t>
            </w:r>
            <w:r>
              <w:rPr>
                <w:rFonts w:hint="eastAsia"/>
                <w:lang w:val="en-US" w:eastAsia="zh-CN"/>
              </w:rPr>
              <w:t>2</w:t>
            </w:r>
            <w:r>
              <w:rPr>
                <w:rFonts w:hint="default"/>
              </w:rPr>
              <w:t>000</w:t>
            </w:r>
            <w:r>
              <w:rPr>
                <w:rFonts w:hint="eastAsia"/>
                <w:lang w:val="en-US" w:eastAsia="zh-CN"/>
              </w:rPr>
              <w:t>3</w:t>
            </w:r>
            <w:r>
              <w:rPr>
                <w:rFonts w:hint="default"/>
              </w:rPr>
              <w:t>。本项目与衡政发[2020]9号符合性的分析见下表</w:t>
            </w:r>
            <w:r>
              <w:rPr>
                <w:rFonts w:hint="eastAsia"/>
                <w:lang w:eastAsia="zh-CN"/>
              </w:rPr>
              <w:t>。</w:t>
            </w:r>
          </w:p>
          <w:p>
            <w:pPr>
              <w:pStyle w:val="36"/>
              <w:bidi w:val="0"/>
              <w:rPr>
                <w:rFonts w:hint="default"/>
              </w:rPr>
            </w:pPr>
            <w:r>
              <w:rPr>
                <w:rFonts w:hint="default"/>
              </w:rPr>
              <w:t>表1-</w:t>
            </w:r>
            <w:r>
              <w:rPr>
                <w:rFonts w:hint="eastAsia"/>
                <w:lang w:val="en-US" w:eastAsia="zh-CN"/>
              </w:rPr>
              <w:t>5</w:t>
            </w:r>
            <w:r>
              <w:rPr>
                <w:rFonts w:hint="default"/>
              </w:rPr>
              <w:t xml:space="preserve">  生态空间管控区域规划保护内容</w:t>
            </w:r>
          </w:p>
          <w:tbl>
            <w:tblPr>
              <w:tblStyle w:val="3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24"/>
              <w:gridCol w:w="1169"/>
              <w:gridCol w:w="42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91" w:type="pct"/>
                  <w:gridSpan w:val="2"/>
                  <w:tcBorders>
                    <w:tl2br w:val="nil"/>
                    <w:tr2bl w:val="nil"/>
                  </w:tcBorders>
                  <w:noWrap w:val="0"/>
                  <w:vAlign w:val="center"/>
                </w:tcPr>
                <w:p>
                  <w:pPr>
                    <w:pStyle w:val="35"/>
                    <w:bidi w:val="0"/>
                    <w:rPr>
                      <w:rFonts w:hint="default"/>
                    </w:rPr>
                  </w:pPr>
                  <w:r>
                    <w:rPr>
                      <w:rFonts w:hint="default"/>
                    </w:rPr>
                    <w:t>环境管控单元编码</w:t>
                  </w:r>
                </w:p>
              </w:tc>
              <w:tc>
                <w:tcPr>
                  <w:tcW w:w="3408" w:type="pct"/>
                  <w:tcBorders>
                    <w:tl2br w:val="nil"/>
                    <w:tr2bl w:val="nil"/>
                  </w:tcBorders>
                  <w:noWrap w:val="0"/>
                  <w:vAlign w:val="center"/>
                </w:tcPr>
                <w:p>
                  <w:pPr>
                    <w:pStyle w:val="35"/>
                    <w:bidi w:val="0"/>
                    <w:rPr>
                      <w:rFonts w:hint="default"/>
                    </w:rPr>
                  </w:pPr>
                  <w:r>
                    <w:rPr>
                      <w:rFonts w:hint="default"/>
                    </w:rPr>
                    <w:t>ZH430426</w:t>
                  </w:r>
                  <w:r>
                    <w:rPr>
                      <w:rFonts w:hint="eastAsia"/>
                      <w:lang w:val="en-US" w:eastAsia="zh-CN"/>
                    </w:rPr>
                    <w:t>2</w:t>
                  </w:r>
                  <w:r>
                    <w:rPr>
                      <w:rFonts w:hint="default"/>
                    </w:rPr>
                    <w:t>000</w:t>
                  </w:r>
                  <w:r>
                    <w:rPr>
                      <w:rFonts w:hint="eastAsia"/>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8" w:type="pct"/>
                  <w:vMerge w:val="restart"/>
                  <w:tcBorders>
                    <w:tl2br w:val="nil"/>
                    <w:tr2bl w:val="nil"/>
                  </w:tcBorders>
                  <w:noWrap w:val="0"/>
                  <w:vAlign w:val="center"/>
                </w:tcPr>
                <w:p>
                  <w:pPr>
                    <w:pStyle w:val="35"/>
                    <w:bidi w:val="0"/>
                    <w:rPr>
                      <w:rFonts w:hint="default"/>
                    </w:rPr>
                  </w:pPr>
                  <w:r>
                    <w:rPr>
                      <w:rFonts w:hint="default"/>
                    </w:rPr>
                    <w:t>行政区划</w:t>
                  </w:r>
                </w:p>
              </w:tc>
              <w:tc>
                <w:tcPr>
                  <w:tcW w:w="932" w:type="pct"/>
                  <w:tcBorders>
                    <w:tl2br w:val="nil"/>
                    <w:tr2bl w:val="nil"/>
                  </w:tcBorders>
                  <w:noWrap w:val="0"/>
                  <w:vAlign w:val="center"/>
                </w:tcPr>
                <w:p>
                  <w:pPr>
                    <w:pStyle w:val="35"/>
                    <w:bidi w:val="0"/>
                    <w:rPr>
                      <w:rFonts w:hint="default"/>
                    </w:rPr>
                  </w:pPr>
                  <w:r>
                    <w:rPr>
                      <w:rFonts w:hint="default"/>
                    </w:rPr>
                    <w:t>省</w:t>
                  </w:r>
                </w:p>
              </w:tc>
              <w:tc>
                <w:tcPr>
                  <w:tcW w:w="3408" w:type="pct"/>
                  <w:tcBorders>
                    <w:tl2br w:val="nil"/>
                    <w:tr2bl w:val="nil"/>
                  </w:tcBorders>
                  <w:noWrap w:val="0"/>
                  <w:vAlign w:val="center"/>
                </w:tcPr>
                <w:p>
                  <w:pPr>
                    <w:pStyle w:val="35"/>
                    <w:bidi w:val="0"/>
                    <w:rPr>
                      <w:rFonts w:hint="default"/>
                    </w:rPr>
                  </w:pPr>
                  <w:r>
                    <w:rPr>
                      <w:rFonts w:hint="default"/>
                    </w:rPr>
                    <w:t>湖南省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8" w:type="pct"/>
                  <w:vMerge w:val="continue"/>
                  <w:tcBorders>
                    <w:tl2br w:val="nil"/>
                    <w:tr2bl w:val="nil"/>
                  </w:tcBorders>
                  <w:noWrap w:val="0"/>
                  <w:vAlign w:val="center"/>
                </w:tcPr>
                <w:p>
                  <w:pPr>
                    <w:pStyle w:val="35"/>
                    <w:bidi w:val="0"/>
                    <w:rPr>
                      <w:rFonts w:hint="default"/>
                    </w:rPr>
                  </w:pPr>
                </w:p>
              </w:tc>
              <w:tc>
                <w:tcPr>
                  <w:tcW w:w="932" w:type="pct"/>
                  <w:tcBorders>
                    <w:tl2br w:val="nil"/>
                    <w:tr2bl w:val="nil"/>
                  </w:tcBorders>
                  <w:noWrap w:val="0"/>
                  <w:vAlign w:val="center"/>
                </w:tcPr>
                <w:p>
                  <w:pPr>
                    <w:pStyle w:val="35"/>
                    <w:bidi w:val="0"/>
                    <w:rPr>
                      <w:rFonts w:hint="default"/>
                    </w:rPr>
                  </w:pPr>
                  <w:r>
                    <w:rPr>
                      <w:rFonts w:hint="default"/>
                    </w:rPr>
                    <w:t>市</w:t>
                  </w:r>
                </w:p>
              </w:tc>
              <w:tc>
                <w:tcPr>
                  <w:tcW w:w="3408" w:type="pct"/>
                  <w:tcBorders>
                    <w:tl2br w:val="nil"/>
                    <w:tr2bl w:val="nil"/>
                  </w:tcBorders>
                  <w:noWrap w:val="0"/>
                  <w:vAlign w:val="center"/>
                </w:tcPr>
                <w:p>
                  <w:pPr>
                    <w:pStyle w:val="35"/>
                    <w:bidi w:val="0"/>
                    <w:rPr>
                      <w:rFonts w:hint="default"/>
                    </w:rPr>
                  </w:pPr>
                  <w:r>
                    <w:rPr>
                      <w:rFonts w:hint="default"/>
                    </w:rPr>
                    <w:t>衡阳市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8" w:type="pct"/>
                  <w:vMerge w:val="continue"/>
                  <w:tcBorders>
                    <w:tl2br w:val="nil"/>
                    <w:tr2bl w:val="nil"/>
                  </w:tcBorders>
                  <w:noWrap w:val="0"/>
                  <w:vAlign w:val="center"/>
                </w:tcPr>
                <w:p>
                  <w:pPr>
                    <w:pStyle w:val="35"/>
                    <w:bidi w:val="0"/>
                    <w:rPr>
                      <w:rFonts w:hint="default"/>
                    </w:rPr>
                  </w:pPr>
                </w:p>
              </w:tc>
              <w:tc>
                <w:tcPr>
                  <w:tcW w:w="932" w:type="pct"/>
                  <w:tcBorders>
                    <w:tl2br w:val="nil"/>
                    <w:tr2bl w:val="nil"/>
                  </w:tcBorders>
                  <w:noWrap w:val="0"/>
                  <w:vAlign w:val="center"/>
                </w:tcPr>
                <w:p>
                  <w:pPr>
                    <w:pStyle w:val="35"/>
                    <w:bidi w:val="0"/>
                    <w:rPr>
                      <w:rFonts w:hint="default"/>
                    </w:rPr>
                  </w:pPr>
                  <w:r>
                    <w:rPr>
                      <w:rFonts w:hint="default"/>
                    </w:rPr>
                    <w:t>县</w:t>
                  </w:r>
                </w:p>
              </w:tc>
              <w:tc>
                <w:tcPr>
                  <w:tcW w:w="3408" w:type="pct"/>
                  <w:tcBorders>
                    <w:tl2br w:val="nil"/>
                    <w:tr2bl w:val="nil"/>
                  </w:tcBorders>
                  <w:noWrap w:val="0"/>
                  <w:vAlign w:val="center"/>
                </w:tcPr>
                <w:p>
                  <w:pPr>
                    <w:pStyle w:val="35"/>
                    <w:bidi w:val="0"/>
                    <w:rPr>
                      <w:rFonts w:hint="default"/>
                    </w:rPr>
                  </w:pPr>
                  <w:r>
                    <w:rPr>
                      <w:rFonts w:hint="default"/>
                    </w:rPr>
                    <w:t>祁东县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91" w:type="pct"/>
                  <w:gridSpan w:val="2"/>
                  <w:tcBorders>
                    <w:tl2br w:val="nil"/>
                    <w:tr2bl w:val="nil"/>
                  </w:tcBorders>
                  <w:noWrap w:val="0"/>
                  <w:vAlign w:val="center"/>
                </w:tcPr>
                <w:p>
                  <w:pPr>
                    <w:pStyle w:val="35"/>
                    <w:bidi w:val="0"/>
                    <w:rPr>
                      <w:rFonts w:hint="default"/>
                    </w:rPr>
                  </w:pPr>
                  <w:r>
                    <w:rPr>
                      <w:rFonts w:hint="default"/>
                    </w:rPr>
                    <w:t>单元分类</w:t>
                  </w:r>
                </w:p>
              </w:tc>
              <w:tc>
                <w:tcPr>
                  <w:tcW w:w="3408" w:type="pct"/>
                  <w:tcBorders>
                    <w:tl2br w:val="nil"/>
                    <w:tr2bl w:val="nil"/>
                  </w:tcBorders>
                  <w:noWrap w:val="0"/>
                  <w:vAlign w:val="center"/>
                </w:tcPr>
                <w:p>
                  <w:pPr>
                    <w:pStyle w:val="35"/>
                    <w:bidi w:val="0"/>
                    <w:rPr>
                      <w:rFonts w:hint="default"/>
                    </w:rPr>
                  </w:pPr>
                  <w:r>
                    <w:rPr>
                      <w:rFonts w:hint="default"/>
                    </w:rPr>
                    <w:t>重点管控单元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91" w:type="pct"/>
                  <w:gridSpan w:val="2"/>
                  <w:tcBorders>
                    <w:tl2br w:val="nil"/>
                    <w:tr2bl w:val="nil"/>
                  </w:tcBorders>
                  <w:noWrap w:val="0"/>
                  <w:vAlign w:val="center"/>
                </w:tcPr>
                <w:p>
                  <w:pPr>
                    <w:pStyle w:val="35"/>
                    <w:bidi w:val="0"/>
                    <w:rPr>
                      <w:rFonts w:hint="default"/>
                    </w:rPr>
                  </w:pPr>
                  <w:r>
                    <w:rPr>
                      <w:rFonts w:hint="default"/>
                    </w:rPr>
                    <w:t>单元面积</w:t>
                  </w:r>
                </w:p>
              </w:tc>
              <w:tc>
                <w:tcPr>
                  <w:tcW w:w="3408" w:type="pct"/>
                  <w:tcBorders>
                    <w:tl2br w:val="nil"/>
                    <w:tr2bl w:val="nil"/>
                  </w:tcBorders>
                  <w:noWrap w:val="0"/>
                  <w:vAlign w:val="center"/>
                </w:tcPr>
                <w:p>
                  <w:pPr>
                    <w:pStyle w:val="35"/>
                    <w:bidi w:val="0"/>
                    <w:rPr>
                      <w:rFonts w:hint="eastAsia"/>
                      <w:lang w:eastAsia="zh-CN"/>
                    </w:rPr>
                  </w:pPr>
                  <w:r>
                    <w:rPr>
                      <w:rFonts w:hint="eastAsia"/>
                      <w:lang w:val="en-US" w:eastAsia="zh-CN"/>
                    </w:rPr>
                    <w:t>52.77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91" w:type="pct"/>
                  <w:gridSpan w:val="2"/>
                  <w:tcBorders>
                    <w:tl2br w:val="nil"/>
                    <w:tr2bl w:val="nil"/>
                  </w:tcBorders>
                  <w:noWrap w:val="0"/>
                  <w:vAlign w:val="center"/>
                </w:tcPr>
                <w:p>
                  <w:pPr>
                    <w:pStyle w:val="35"/>
                    <w:bidi w:val="0"/>
                    <w:rPr>
                      <w:rFonts w:hint="default"/>
                    </w:rPr>
                  </w:pPr>
                  <w:r>
                    <w:rPr>
                      <w:rFonts w:hint="default"/>
                    </w:rPr>
                    <w:t>涉及乡镇（街道）</w:t>
                  </w:r>
                </w:p>
              </w:tc>
              <w:tc>
                <w:tcPr>
                  <w:tcW w:w="3408" w:type="pct"/>
                  <w:tcBorders>
                    <w:tl2br w:val="nil"/>
                    <w:tr2bl w:val="nil"/>
                  </w:tcBorders>
                  <w:noWrap w:val="0"/>
                  <w:vAlign w:val="center"/>
                </w:tcPr>
                <w:p>
                  <w:pPr>
                    <w:pStyle w:val="35"/>
                    <w:bidi w:val="0"/>
                    <w:rPr>
                      <w:rFonts w:hint="default"/>
                    </w:rPr>
                  </w:pPr>
                  <w:r>
                    <w:rPr>
                      <w:rFonts w:hint="default"/>
                    </w:rPr>
                    <w:t>洪桥街道/</w:t>
                  </w:r>
                  <w:r>
                    <w:rPr>
                      <w:rFonts w:hint="eastAsia"/>
                      <w:lang w:eastAsia="zh-CN"/>
                    </w:rPr>
                    <w:t>永昌街道</w:t>
                  </w:r>
                  <w:r>
                    <w:rPr>
                      <w:rFonts w:hint="eastAsia"/>
                      <w:lang w:val="en-US" w:eastAsia="zh-CN"/>
                    </w:rPr>
                    <w:t>/</w:t>
                  </w:r>
                  <w:r>
                    <w:rPr>
                      <w:rFonts w:hint="default"/>
                    </w:rPr>
                    <w:t>玉合街道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91" w:type="pct"/>
                  <w:gridSpan w:val="2"/>
                  <w:tcBorders>
                    <w:tl2br w:val="nil"/>
                    <w:tr2bl w:val="nil"/>
                  </w:tcBorders>
                  <w:noWrap w:val="0"/>
                  <w:vAlign w:val="center"/>
                </w:tcPr>
                <w:p>
                  <w:pPr>
                    <w:pStyle w:val="35"/>
                    <w:bidi w:val="0"/>
                    <w:rPr>
                      <w:rFonts w:hint="default"/>
                    </w:rPr>
                  </w:pPr>
                  <w:r>
                    <w:rPr>
                      <w:rFonts w:hint="default"/>
                    </w:rPr>
                    <w:t>主体功能定位</w:t>
                  </w:r>
                </w:p>
              </w:tc>
              <w:tc>
                <w:tcPr>
                  <w:tcW w:w="3408" w:type="pct"/>
                  <w:tcBorders>
                    <w:tl2br w:val="nil"/>
                    <w:tr2bl w:val="nil"/>
                  </w:tcBorders>
                  <w:noWrap w:val="0"/>
                  <w:vAlign w:val="center"/>
                </w:tcPr>
                <w:p>
                  <w:pPr>
                    <w:pStyle w:val="35"/>
                    <w:bidi w:val="0"/>
                    <w:rPr>
                      <w:rFonts w:hint="default"/>
                    </w:rPr>
                  </w:pPr>
                  <w:r>
                    <w:rPr>
                      <w:rFonts w:hint="default"/>
                    </w:rPr>
                    <w:t>国家层面农产品主产区（县城属于《湖南省主体功能区划》中附表5重点开发乡镇）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91" w:type="pct"/>
                  <w:gridSpan w:val="2"/>
                  <w:tcBorders>
                    <w:tl2br w:val="nil"/>
                    <w:tr2bl w:val="nil"/>
                  </w:tcBorders>
                  <w:noWrap w:val="0"/>
                  <w:vAlign w:val="center"/>
                </w:tcPr>
                <w:p>
                  <w:pPr>
                    <w:pStyle w:val="35"/>
                    <w:bidi w:val="0"/>
                    <w:rPr>
                      <w:rFonts w:hint="default"/>
                    </w:rPr>
                  </w:pPr>
                  <w:r>
                    <w:rPr>
                      <w:rFonts w:hint="default"/>
                    </w:rPr>
                    <w:t>经济产业布局</w:t>
                  </w:r>
                </w:p>
              </w:tc>
              <w:tc>
                <w:tcPr>
                  <w:tcW w:w="3408" w:type="pct"/>
                  <w:tcBorders>
                    <w:tl2br w:val="nil"/>
                    <w:tr2bl w:val="nil"/>
                  </w:tcBorders>
                  <w:noWrap w:val="0"/>
                  <w:vAlign w:val="center"/>
                </w:tcPr>
                <w:p>
                  <w:pPr>
                    <w:pStyle w:val="35"/>
                    <w:bidi w:val="0"/>
                    <w:rPr>
                      <w:rFonts w:hint="default"/>
                    </w:rPr>
                  </w:pPr>
                  <w:r>
                    <w:rPr>
                      <w:rFonts w:hint="default"/>
                    </w:rPr>
                    <w:t>铁矿采选、农副产品加工、生态农业、旅游、畜禽养殖等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91" w:type="pct"/>
                  <w:gridSpan w:val="2"/>
                  <w:tcBorders>
                    <w:tl2br w:val="nil"/>
                    <w:tr2bl w:val="nil"/>
                  </w:tcBorders>
                  <w:noWrap w:val="0"/>
                  <w:vAlign w:val="center"/>
                </w:tcPr>
                <w:p>
                  <w:pPr>
                    <w:pStyle w:val="35"/>
                    <w:bidi w:val="0"/>
                    <w:rPr>
                      <w:rFonts w:hint="default"/>
                    </w:rPr>
                  </w:pPr>
                  <w:r>
                    <w:rPr>
                      <w:rFonts w:hint="default"/>
                    </w:rPr>
                    <w:t>主要环境问题</w:t>
                  </w:r>
                </w:p>
              </w:tc>
              <w:tc>
                <w:tcPr>
                  <w:tcW w:w="3408" w:type="pct"/>
                  <w:tcBorders>
                    <w:tl2br w:val="nil"/>
                    <w:tr2bl w:val="nil"/>
                  </w:tcBorders>
                  <w:noWrap w:val="0"/>
                  <w:vAlign w:val="center"/>
                </w:tcPr>
                <w:p>
                  <w:pPr>
                    <w:pStyle w:val="35"/>
                    <w:bidi w:val="0"/>
                    <w:rPr>
                      <w:rFonts w:hint="default"/>
                    </w:rPr>
                  </w:pPr>
                  <w:r>
                    <w:rPr>
                      <w:rFonts w:hint="default"/>
                    </w:rPr>
                    <w:t>农村垃圾收集处理系统有待完善，城镇污水管网建设不完善</w:t>
                  </w:r>
                </w:p>
              </w:tc>
            </w:tr>
          </w:tbl>
          <w:p>
            <w:pPr>
              <w:pStyle w:val="36"/>
              <w:bidi w:val="0"/>
              <w:rPr>
                <w:rFonts w:hint="default"/>
              </w:rPr>
            </w:pPr>
            <w:r>
              <w:rPr>
                <w:rFonts w:hint="default"/>
              </w:rPr>
              <w:t>表1-</w:t>
            </w:r>
            <w:r>
              <w:rPr>
                <w:rFonts w:hint="eastAsia"/>
                <w:lang w:val="en-US" w:eastAsia="zh-CN"/>
              </w:rPr>
              <w:t>6</w:t>
            </w:r>
            <w:r>
              <w:rPr>
                <w:rFonts w:hint="default"/>
              </w:rPr>
              <w:t xml:space="preserve">  衡阳市</w:t>
            </w:r>
            <w:r>
              <w:rPr>
                <w:rFonts w:hint="eastAsia"/>
                <w:lang w:eastAsia="zh-CN"/>
              </w:rPr>
              <w:t>“</w:t>
            </w:r>
            <w:r>
              <w:rPr>
                <w:rFonts w:hint="default"/>
              </w:rPr>
              <w:t>三线一单</w:t>
            </w:r>
            <w:r>
              <w:rPr>
                <w:rFonts w:hint="eastAsia"/>
                <w:lang w:eastAsia="zh-CN"/>
              </w:rPr>
              <w:t>”</w:t>
            </w:r>
            <w:r>
              <w:rPr>
                <w:rFonts w:hint="default"/>
              </w:rPr>
              <w:t>文件管控要求符合性分析</w:t>
            </w:r>
          </w:p>
          <w:tbl>
            <w:tblPr>
              <w:tblStyle w:val="3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08"/>
              <w:gridCol w:w="3202"/>
              <w:gridCol w:w="1890"/>
              <w:gridCol w:w="5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86" w:type="pct"/>
                  <w:tcBorders>
                    <w:tl2br w:val="nil"/>
                    <w:tr2bl w:val="nil"/>
                  </w:tcBorders>
                  <w:noWrap w:val="0"/>
                  <w:vAlign w:val="center"/>
                </w:tcPr>
                <w:p>
                  <w:pPr>
                    <w:pStyle w:val="35"/>
                    <w:bidi w:val="0"/>
                    <w:rPr>
                      <w:rFonts w:hint="default"/>
                      <w:lang w:val="en-US" w:eastAsia="zh-CN"/>
                    </w:rPr>
                  </w:pPr>
                  <w:r>
                    <w:rPr>
                      <w:rFonts w:hint="default"/>
                      <w:lang w:val="en-US" w:eastAsia="zh-CN"/>
                    </w:rPr>
                    <w:t>管控维度</w:t>
                  </w:r>
                </w:p>
              </w:tc>
              <w:tc>
                <w:tcPr>
                  <w:tcW w:w="2555" w:type="pct"/>
                  <w:tcBorders>
                    <w:tl2br w:val="nil"/>
                    <w:tr2bl w:val="nil"/>
                  </w:tcBorders>
                  <w:noWrap w:val="0"/>
                  <w:vAlign w:val="center"/>
                </w:tcPr>
                <w:p>
                  <w:pPr>
                    <w:pStyle w:val="35"/>
                    <w:bidi w:val="0"/>
                    <w:rPr>
                      <w:rFonts w:hint="default"/>
                      <w:lang w:val="en-US" w:eastAsia="zh-CN"/>
                    </w:rPr>
                  </w:pPr>
                  <w:r>
                    <w:rPr>
                      <w:rFonts w:hint="default"/>
                      <w:lang w:val="en-US" w:eastAsia="zh-CN"/>
                    </w:rPr>
                    <w:t>环境准备及管控要求</w:t>
                  </w:r>
                </w:p>
              </w:tc>
              <w:tc>
                <w:tcPr>
                  <w:tcW w:w="1508" w:type="pct"/>
                  <w:tcBorders>
                    <w:tl2br w:val="nil"/>
                    <w:tr2bl w:val="nil"/>
                  </w:tcBorders>
                  <w:noWrap w:val="0"/>
                  <w:vAlign w:val="center"/>
                </w:tcPr>
                <w:p>
                  <w:pPr>
                    <w:pStyle w:val="35"/>
                    <w:bidi w:val="0"/>
                    <w:rPr>
                      <w:rFonts w:hint="default"/>
                      <w:lang w:val="en-US" w:eastAsia="zh-CN"/>
                    </w:rPr>
                  </w:pPr>
                  <w:r>
                    <w:rPr>
                      <w:rFonts w:hint="default"/>
                      <w:lang w:val="en-US" w:eastAsia="zh-CN"/>
                    </w:rPr>
                    <w:t>本项目情况</w:t>
                  </w:r>
                </w:p>
              </w:tc>
              <w:tc>
                <w:tcPr>
                  <w:tcW w:w="449" w:type="pct"/>
                  <w:tcBorders>
                    <w:tl2br w:val="nil"/>
                    <w:tr2bl w:val="nil"/>
                  </w:tcBorders>
                  <w:noWrap w:val="0"/>
                  <w:vAlign w:val="center"/>
                </w:tcPr>
                <w:p>
                  <w:pPr>
                    <w:pStyle w:val="35"/>
                    <w:bidi w:val="0"/>
                    <w:rPr>
                      <w:rFonts w:hint="default"/>
                      <w:lang w:val="en-US" w:eastAsia="zh-CN"/>
                    </w:rPr>
                  </w:pPr>
                  <w:r>
                    <w:rPr>
                      <w:rFonts w:hint="default"/>
                      <w:lang w:val="en-US" w:eastAsia="zh-CN"/>
                    </w:rPr>
                    <w:t>相符性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86" w:type="pct"/>
                  <w:vMerge w:val="restart"/>
                  <w:tcBorders>
                    <w:tl2br w:val="nil"/>
                    <w:tr2bl w:val="nil"/>
                  </w:tcBorders>
                  <w:noWrap w:val="0"/>
                  <w:vAlign w:val="center"/>
                </w:tcPr>
                <w:p>
                  <w:pPr>
                    <w:pStyle w:val="35"/>
                    <w:bidi w:val="0"/>
                    <w:rPr>
                      <w:rFonts w:hint="default"/>
                      <w:lang w:val="en-US" w:eastAsia="zh-CN"/>
                    </w:rPr>
                  </w:pPr>
                  <w:r>
                    <w:rPr>
                      <w:rFonts w:hint="default"/>
                      <w:lang w:val="en-US" w:eastAsia="zh-CN"/>
                    </w:rPr>
                    <w:t>空间布局约束</w:t>
                  </w:r>
                </w:p>
              </w:tc>
              <w:tc>
                <w:tcPr>
                  <w:tcW w:w="2555" w:type="pct"/>
                  <w:tcBorders>
                    <w:tl2br w:val="nil"/>
                    <w:tr2bl w:val="nil"/>
                  </w:tcBorders>
                  <w:noWrap w:val="0"/>
                  <w:vAlign w:val="center"/>
                </w:tcPr>
                <w:p>
                  <w:pPr>
                    <w:pStyle w:val="35"/>
                    <w:bidi w:val="0"/>
                    <w:rPr>
                      <w:rFonts w:hint="default"/>
                      <w:lang w:val="en-US" w:eastAsia="zh-CN"/>
                    </w:rPr>
                  </w:pPr>
                  <w:r>
                    <w:rPr>
                      <w:rFonts w:hint="default"/>
                      <w:lang w:val="en-US" w:eastAsia="zh-CN"/>
                    </w:rPr>
                    <w:t>（1.1）积极发展生态农业、生态旅游；禁止建设水上餐饮项目，禁止建设高耗水、高污染、低效益的项目；根据资源</w:t>
                  </w:r>
                </w:p>
                <w:p>
                  <w:pPr>
                    <w:pStyle w:val="35"/>
                    <w:bidi w:val="0"/>
                    <w:rPr>
                      <w:rFonts w:hint="default"/>
                      <w:lang w:val="en-US" w:eastAsia="zh-CN"/>
                    </w:rPr>
                  </w:pPr>
                  <w:r>
                    <w:rPr>
                      <w:rFonts w:hint="default"/>
                      <w:lang w:val="en-US" w:eastAsia="zh-CN"/>
                    </w:rPr>
                    <w:t>优势、环境容量等因地制宜发展本地区特色产业并实施清洁化改造，积极引导污染较大的企业向园区集中。</w:t>
                  </w:r>
                </w:p>
              </w:tc>
              <w:tc>
                <w:tcPr>
                  <w:tcW w:w="1508" w:type="pct"/>
                  <w:tcBorders>
                    <w:tl2br w:val="nil"/>
                    <w:tr2bl w:val="nil"/>
                  </w:tcBorders>
                  <w:noWrap w:val="0"/>
                  <w:vAlign w:val="center"/>
                </w:tcPr>
                <w:p>
                  <w:pPr>
                    <w:pStyle w:val="35"/>
                    <w:bidi w:val="0"/>
                    <w:rPr>
                      <w:rFonts w:hint="default"/>
                      <w:lang w:val="en-US" w:eastAsia="zh-CN"/>
                    </w:rPr>
                  </w:pPr>
                  <w:r>
                    <w:rPr>
                      <w:rFonts w:hint="eastAsia"/>
                      <w:lang w:val="en-US" w:eastAsia="zh-CN"/>
                    </w:rPr>
                    <w:t>项目不属于</w:t>
                  </w:r>
                  <w:r>
                    <w:rPr>
                      <w:rFonts w:hint="default"/>
                      <w:lang w:val="en-US" w:eastAsia="zh-CN"/>
                    </w:rPr>
                    <w:t>高污染、高能耗产业</w:t>
                  </w:r>
                </w:p>
              </w:tc>
              <w:tc>
                <w:tcPr>
                  <w:tcW w:w="449" w:type="pct"/>
                  <w:tcBorders>
                    <w:tl2br w:val="nil"/>
                    <w:tr2bl w:val="nil"/>
                  </w:tcBorders>
                  <w:noWrap w:val="0"/>
                  <w:vAlign w:val="center"/>
                </w:tcPr>
                <w:p>
                  <w:pPr>
                    <w:pStyle w:val="35"/>
                    <w:bidi w:val="0"/>
                    <w:rPr>
                      <w:rFonts w:hint="default"/>
                      <w:lang w:val="en-US" w:eastAsia="zh-CN"/>
                    </w:rPr>
                  </w:pPr>
                  <w:r>
                    <w:rPr>
                      <w:rFonts w:hint="default"/>
                      <w:lang w:val="en-US" w:eastAsia="zh-CN"/>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86" w:type="pct"/>
                  <w:vMerge w:val="continue"/>
                  <w:tcBorders>
                    <w:tl2br w:val="nil"/>
                    <w:tr2bl w:val="nil"/>
                  </w:tcBorders>
                  <w:noWrap w:val="0"/>
                  <w:vAlign w:val="center"/>
                </w:tcPr>
                <w:p>
                  <w:pPr>
                    <w:pStyle w:val="35"/>
                    <w:bidi w:val="0"/>
                    <w:rPr>
                      <w:rFonts w:hint="default"/>
                      <w:lang w:val="en-US" w:eastAsia="zh-CN"/>
                    </w:rPr>
                  </w:pPr>
                </w:p>
              </w:tc>
              <w:tc>
                <w:tcPr>
                  <w:tcW w:w="2555" w:type="pct"/>
                  <w:tcBorders>
                    <w:tl2br w:val="nil"/>
                    <w:tr2bl w:val="nil"/>
                  </w:tcBorders>
                  <w:noWrap w:val="0"/>
                  <w:vAlign w:val="center"/>
                </w:tcPr>
                <w:p>
                  <w:pPr>
                    <w:pStyle w:val="35"/>
                    <w:bidi w:val="0"/>
                    <w:rPr>
                      <w:rFonts w:hint="default"/>
                      <w:lang w:val="en-US" w:eastAsia="zh-CN"/>
                    </w:rPr>
                  </w:pPr>
                  <w:r>
                    <w:rPr>
                      <w:rFonts w:hint="default"/>
                      <w:lang w:val="en-US" w:eastAsia="zh-CN"/>
                    </w:rPr>
                    <w:t>（1.2）依法划定畜禽养殖禁养区，严格禁养区管理。</w:t>
                  </w:r>
                </w:p>
              </w:tc>
              <w:tc>
                <w:tcPr>
                  <w:tcW w:w="1508" w:type="pct"/>
                  <w:tcBorders>
                    <w:tl2br w:val="nil"/>
                    <w:tr2bl w:val="nil"/>
                  </w:tcBorders>
                  <w:noWrap w:val="0"/>
                  <w:vAlign w:val="center"/>
                </w:tcPr>
                <w:p>
                  <w:pPr>
                    <w:pStyle w:val="35"/>
                    <w:bidi w:val="0"/>
                    <w:rPr>
                      <w:rFonts w:hint="default"/>
                      <w:lang w:val="en-US" w:eastAsia="zh-CN"/>
                    </w:rPr>
                  </w:pPr>
                  <w:r>
                    <w:rPr>
                      <w:rFonts w:hint="eastAsia"/>
                      <w:lang w:val="en-US" w:eastAsia="zh-CN"/>
                    </w:rPr>
                    <w:t>项目不属于畜禽养殖项目</w:t>
                  </w:r>
                </w:p>
              </w:tc>
              <w:tc>
                <w:tcPr>
                  <w:tcW w:w="449" w:type="pct"/>
                  <w:tcBorders>
                    <w:tl2br w:val="nil"/>
                    <w:tr2bl w:val="nil"/>
                  </w:tcBorders>
                  <w:noWrap w:val="0"/>
                  <w:vAlign w:val="center"/>
                </w:tcPr>
                <w:p>
                  <w:pPr>
                    <w:pStyle w:val="35"/>
                    <w:bidi w:val="0"/>
                    <w:rPr>
                      <w:rFonts w:hint="default"/>
                      <w:lang w:val="en-US" w:eastAsia="zh-CN"/>
                    </w:rPr>
                  </w:pPr>
                  <w:r>
                    <w:rPr>
                      <w:rFonts w:hint="default"/>
                      <w:lang w:val="en-US" w:eastAsia="zh-CN"/>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86" w:type="pct"/>
                  <w:vMerge w:val="continue"/>
                  <w:tcBorders>
                    <w:tl2br w:val="nil"/>
                    <w:tr2bl w:val="nil"/>
                  </w:tcBorders>
                  <w:noWrap w:val="0"/>
                  <w:vAlign w:val="center"/>
                </w:tcPr>
                <w:p>
                  <w:pPr>
                    <w:pStyle w:val="35"/>
                    <w:bidi w:val="0"/>
                    <w:rPr>
                      <w:rFonts w:hint="default"/>
                      <w:lang w:val="en-US" w:eastAsia="zh-CN"/>
                    </w:rPr>
                  </w:pPr>
                </w:p>
              </w:tc>
              <w:tc>
                <w:tcPr>
                  <w:tcW w:w="2555" w:type="pct"/>
                  <w:tcBorders>
                    <w:tl2br w:val="nil"/>
                    <w:tr2bl w:val="nil"/>
                  </w:tcBorders>
                  <w:noWrap w:val="0"/>
                  <w:vAlign w:val="center"/>
                </w:tcPr>
                <w:p>
                  <w:pPr>
                    <w:pStyle w:val="35"/>
                    <w:bidi w:val="0"/>
                    <w:rPr>
                      <w:rFonts w:hint="default"/>
                      <w:lang w:val="en-US" w:eastAsia="zh-CN"/>
                    </w:rPr>
                  </w:pPr>
                  <w:r>
                    <w:rPr>
                      <w:rFonts w:hint="default"/>
                      <w:lang w:val="en-US" w:eastAsia="zh-CN"/>
                    </w:rPr>
                    <w:t>（1.3）饮用水源保护区按市级生态环境准入总体清单中第 5 项“饮用水源保护区”相关要求管理。</w:t>
                  </w:r>
                </w:p>
              </w:tc>
              <w:tc>
                <w:tcPr>
                  <w:tcW w:w="1508" w:type="pct"/>
                  <w:tcBorders>
                    <w:tl2br w:val="nil"/>
                    <w:tr2bl w:val="nil"/>
                  </w:tcBorders>
                  <w:noWrap w:val="0"/>
                  <w:vAlign w:val="center"/>
                </w:tcPr>
                <w:p>
                  <w:pPr>
                    <w:pStyle w:val="35"/>
                    <w:bidi w:val="0"/>
                    <w:rPr>
                      <w:rFonts w:hint="default"/>
                      <w:lang w:val="en-US" w:eastAsia="zh-CN"/>
                    </w:rPr>
                  </w:pPr>
                  <w:r>
                    <w:rPr>
                      <w:rFonts w:hint="eastAsia"/>
                      <w:lang w:val="en-US" w:eastAsia="zh-CN"/>
                    </w:rPr>
                    <w:t>项目不涉及</w:t>
                  </w:r>
                  <w:r>
                    <w:rPr>
                      <w:rFonts w:hint="default"/>
                      <w:lang w:val="en-US" w:eastAsia="zh-CN"/>
                    </w:rPr>
                    <w:t>饮用水源保护区</w:t>
                  </w:r>
                </w:p>
              </w:tc>
              <w:tc>
                <w:tcPr>
                  <w:tcW w:w="449" w:type="pct"/>
                  <w:tcBorders>
                    <w:tl2br w:val="nil"/>
                    <w:tr2bl w:val="nil"/>
                  </w:tcBorders>
                  <w:noWrap w:val="0"/>
                  <w:vAlign w:val="center"/>
                </w:tcPr>
                <w:p>
                  <w:pPr>
                    <w:pStyle w:val="35"/>
                    <w:bidi w:val="0"/>
                    <w:rPr>
                      <w:rFonts w:hint="default"/>
                      <w:lang w:val="en-US" w:eastAsia="zh-CN"/>
                    </w:rPr>
                  </w:pPr>
                  <w:r>
                    <w:rPr>
                      <w:rFonts w:hint="default"/>
                      <w:lang w:val="en-US" w:eastAsia="zh-CN"/>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486" w:type="pct"/>
                  <w:vMerge w:val="restart"/>
                  <w:tcBorders>
                    <w:tl2br w:val="nil"/>
                    <w:tr2bl w:val="nil"/>
                  </w:tcBorders>
                  <w:noWrap w:val="0"/>
                  <w:vAlign w:val="center"/>
                </w:tcPr>
                <w:p>
                  <w:pPr>
                    <w:pStyle w:val="35"/>
                    <w:bidi w:val="0"/>
                    <w:rPr>
                      <w:rFonts w:hint="default"/>
                      <w:lang w:val="en-US" w:eastAsia="zh-CN"/>
                    </w:rPr>
                  </w:pPr>
                  <w:r>
                    <w:rPr>
                      <w:rFonts w:hint="default"/>
                      <w:lang w:val="en-US" w:eastAsia="zh-CN"/>
                    </w:rPr>
                    <w:t>污染物排放管控</w:t>
                  </w:r>
                </w:p>
              </w:tc>
              <w:tc>
                <w:tcPr>
                  <w:tcW w:w="2555" w:type="pct"/>
                  <w:tcBorders>
                    <w:tl2br w:val="nil"/>
                    <w:tr2bl w:val="nil"/>
                  </w:tcBorders>
                  <w:noWrap w:val="0"/>
                  <w:vAlign w:val="center"/>
                </w:tcPr>
                <w:p>
                  <w:pPr>
                    <w:pStyle w:val="35"/>
                    <w:bidi w:val="0"/>
                    <w:rPr>
                      <w:rFonts w:hint="default"/>
                      <w:lang w:val="en-US" w:eastAsia="zh-CN"/>
                    </w:rPr>
                  </w:pPr>
                  <w:r>
                    <w:rPr>
                      <w:rFonts w:hint="default"/>
                      <w:lang w:val="en-US" w:eastAsia="zh-CN"/>
                    </w:rPr>
                    <w:t>（2.1）完善区域污水处理设施及管网建设，按要求对区域内工业企业废水采取污染治理措施，确保达标排放。</w:t>
                  </w:r>
                </w:p>
              </w:tc>
              <w:tc>
                <w:tcPr>
                  <w:tcW w:w="1508" w:type="pct"/>
                  <w:tcBorders>
                    <w:tl2br w:val="nil"/>
                    <w:tr2bl w:val="nil"/>
                  </w:tcBorders>
                  <w:noWrap w:val="0"/>
                  <w:vAlign w:val="center"/>
                </w:tcPr>
                <w:p>
                  <w:pPr>
                    <w:pStyle w:val="35"/>
                    <w:bidi w:val="0"/>
                    <w:rPr>
                      <w:rFonts w:hint="default"/>
                      <w:lang w:val="en-US" w:eastAsia="zh-CN"/>
                    </w:rPr>
                  </w:pPr>
                  <w:r>
                    <w:rPr>
                      <w:rFonts w:hint="default"/>
                      <w:lang w:val="en-US" w:eastAsia="zh-CN"/>
                    </w:rPr>
                    <w:t>本项目实施雨污分流，生活污水经预处理后排入</w:t>
                  </w:r>
                  <w:r>
                    <w:rPr>
                      <w:rFonts w:hint="eastAsia"/>
                      <w:lang w:val="en-US" w:eastAsia="zh-CN"/>
                    </w:rPr>
                    <w:t>污水处理厂</w:t>
                  </w:r>
                  <w:r>
                    <w:rPr>
                      <w:rFonts w:hint="default"/>
                      <w:lang w:val="en-US" w:eastAsia="zh-CN"/>
                    </w:rPr>
                    <w:t>处理达标后外排至</w:t>
                  </w:r>
                  <w:r>
                    <w:rPr>
                      <w:rFonts w:hint="eastAsia"/>
                      <w:lang w:val="en-US" w:eastAsia="zh-CN"/>
                    </w:rPr>
                    <w:t>洪桥小溪</w:t>
                  </w:r>
                </w:p>
              </w:tc>
              <w:tc>
                <w:tcPr>
                  <w:tcW w:w="449" w:type="pct"/>
                  <w:tcBorders>
                    <w:tl2br w:val="nil"/>
                    <w:tr2bl w:val="nil"/>
                  </w:tcBorders>
                  <w:noWrap w:val="0"/>
                  <w:vAlign w:val="center"/>
                </w:tcPr>
                <w:p>
                  <w:pPr>
                    <w:pStyle w:val="35"/>
                    <w:bidi w:val="0"/>
                    <w:rPr>
                      <w:rFonts w:hint="default"/>
                      <w:lang w:val="en-US" w:eastAsia="zh-CN"/>
                    </w:rPr>
                  </w:pPr>
                  <w:r>
                    <w:rPr>
                      <w:rFonts w:hint="default"/>
                      <w:lang w:val="en-US" w:eastAsia="zh-CN"/>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86" w:type="pct"/>
                  <w:vMerge w:val="continue"/>
                  <w:tcBorders>
                    <w:tl2br w:val="nil"/>
                    <w:tr2bl w:val="nil"/>
                  </w:tcBorders>
                  <w:noWrap w:val="0"/>
                  <w:vAlign w:val="center"/>
                </w:tcPr>
                <w:p>
                  <w:pPr>
                    <w:pStyle w:val="35"/>
                    <w:bidi w:val="0"/>
                    <w:rPr>
                      <w:rFonts w:hint="default"/>
                      <w:lang w:val="en-US" w:eastAsia="zh-CN"/>
                    </w:rPr>
                  </w:pPr>
                </w:p>
              </w:tc>
              <w:tc>
                <w:tcPr>
                  <w:tcW w:w="2555" w:type="pct"/>
                  <w:tcBorders>
                    <w:tl2br w:val="nil"/>
                    <w:tr2bl w:val="nil"/>
                  </w:tcBorders>
                  <w:noWrap w:val="0"/>
                  <w:vAlign w:val="center"/>
                </w:tcPr>
                <w:p>
                  <w:pPr>
                    <w:pStyle w:val="35"/>
                    <w:bidi w:val="0"/>
                    <w:rPr>
                      <w:rFonts w:hint="default"/>
                      <w:lang w:val="en-US" w:eastAsia="zh-CN"/>
                    </w:rPr>
                  </w:pPr>
                  <w:r>
                    <w:rPr>
                      <w:rFonts w:hint="default"/>
                      <w:lang w:val="en-US" w:eastAsia="zh-CN"/>
                    </w:rPr>
                    <w:t>（2.2）辖区内涉气型污染企业应配置废气收集与净化处理装置，减少无组织排放，废气达到国家或地方排放标准要求。</w:t>
                  </w:r>
                </w:p>
              </w:tc>
              <w:tc>
                <w:tcPr>
                  <w:tcW w:w="1508" w:type="pct"/>
                  <w:tcBorders>
                    <w:tl2br w:val="nil"/>
                    <w:tr2bl w:val="nil"/>
                  </w:tcBorders>
                  <w:noWrap w:val="0"/>
                  <w:vAlign w:val="center"/>
                </w:tcPr>
                <w:p>
                  <w:pPr>
                    <w:pStyle w:val="35"/>
                    <w:bidi w:val="0"/>
                    <w:rPr>
                      <w:rFonts w:hint="default"/>
                      <w:lang w:val="en-US" w:eastAsia="zh-CN"/>
                    </w:rPr>
                  </w:pPr>
                  <w:r>
                    <w:rPr>
                      <w:rFonts w:hint="eastAsia"/>
                      <w:lang w:val="en-US" w:eastAsia="zh-CN"/>
                    </w:rPr>
                    <w:t>项目设有油气回收系统，对废气排放进行严格削减与控制，可实现达标排放</w:t>
                  </w:r>
                </w:p>
              </w:tc>
              <w:tc>
                <w:tcPr>
                  <w:tcW w:w="449" w:type="pct"/>
                  <w:tcBorders>
                    <w:tl2br w:val="nil"/>
                    <w:tr2bl w:val="nil"/>
                  </w:tcBorders>
                  <w:noWrap w:val="0"/>
                  <w:vAlign w:val="center"/>
                </w:tcPr>
                <w:p>
                  <w:pPr>
                    <w:pStyle w:val="35"/>
                    <w:bidi w:val="0"/>
                    <w:rPr>
                      <w:rFonts w:hint="default"/>
                      <w:lang w:val="en-US" w:eastAsia="zh-CN"/>
                    </w:rPr>
                  </w:pPr>
                  <w:r>
                    <w:rPr>
                      <w:rFonts w:hint="default"/>
                      <w:lang w:val="en-US" w:eastAsia="zh-CN"/>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86" w:type="pct"/>
                  <w:vMerge w:val="continue"/>
                  <w:tcBorders>
                    <w:tl2br w:val="nil"/>
                    <w:tr2bl w:val="nil"/>
                  </w:tcBorders>
                  <w:noWrap w:val="0"/>
                  <w:vAlign w:val="center"/>
                </w:tcPr>
                <w:p>
                  <w:pPr>
                    <w:pStyle w:val="35"/>
                    <w:bidi w:val="0"/>
                    <w:rPr>
                      <w:rFonts w:hint="default"/>
                      <w:lang w:val="en-US" w:eastAsia="zh-CN"/>
                    </w:rPr>
                  </w:pPr>
                </w:p>
              </w:tc>
              <w:tc>
                <w:tcPr>
                  <w:tcW w:w="2555" w:type="pct"/>
                  <w:tcBorders>
                    <w:tl2br w:val="nil"/>
                    <w:tr2bl w:val="nil"/>
                  </w:tcBorders>
                  <w:noWrap w:val="0"/>
                  <w:vAlign w:val="center"/>
                </w:tcPr>
                <w:p>
                  <w:pPr>
                    <w:pStyle w:val="35"/>
                    <w:bidi w:val="0"/>
                    <w:rPr>
                      <w:rFonts w:hint="default"/>
                      <w:lang w:val="en-US" w:eastAsia="zh-CN"/>
                    </w:rPr>
                  </w:pPr>
                  <w:r>
                    <w:rPr>
                      <w:rFonts w:hint="default"/>
                      <w:lang w:val="en-US" w:eastAsia="zh-CN"/>
                    </w:rPr>
                    <w:t>（2.3）完善垃圾收集外运设施，建立外运处理制度，禁止在集镇、居民点及其附近任意焚烧。</w:t>
                  </w:r>
                </w:p>
              </w:tc>
              <w:tc>
                <w:tcPr>
                  <w:tcW w:w="1508" w:type="pct"/>
                  <w:tcBorders>
                    <w:tl2br w:val="nil"/>
                    <w:tr2bl w:val="nil"/>
                  </w:tcBorders>
                  <w:noWrap w:val="0"/>
                  <w:vAlign w:val="center"/>
                </w:tcPr>
                <w:p>
                  <w:pPr>
                    <w:pStyle w:val="35"/>
                    <w:bidi w:val="0"/>
                    <w:rPr>
                      <w:rFonts w:hint="default"/>
                      <w:lang w:val="en-US" w:eastAsia="zh-CN"/>
                    </w:rPr>
                  </w:pPr>
                  <w:r>
                    <w:rPr>
                      <w:rFonts w:hint="eastAsia"/>
                      <w:lang w:val="en-US" w:eastAsia="zh-CN"/>
                    </w:rPr>
                    <w:t>项目</w:t>
                  </w:r>
                  <w:r>
                    <w:rPr>
                      <w:rFonts w:hint="default"/>
                      <w:lang w:val="en-US" w:eastAsia="zh-CN"/>
                    </w:rPr>
                    <w:t>固废处置率100%，保持场地清洁卫生</w:t>
                  </w:r>
                </w:p>
              </w:tc>
              <w:tc>
                <w:tcPr>
                  <w:tcW w:w="449" w:type="pct"/>
                  <w:tcBorders>
                    <w:tl2br w:val="nil"/>
                    <w:tr2bl w:val="nil"/>
                  </w:tcBorders>
                  <w:noWrap w:val="0"/>
                  <w:vAlign w:val="center"/>
                </w:tcPr>
                <w:p>
                  <w:pPr>
                    <w:pStyle w:val="35"/>
                    <w:bidi w:val="0"/>
                    <w:rPr>
                      <w:rFonts w:hint="default"/>
                      <w:lang w:val="en-US" w:eastAsia="zh-CN"/>
                    </w:rPr>
                  </w:pPr>
                  <w:r>
                    <w:rPr>
                      <w:rFonts w:hint="default"/>
                      <w:lang w:val="en-US" w:eastAsia="zh-CN"/>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86" w:type="pct"/>
                  <w:vMerge w:val="continue"/>
                  <w:tcBorders>
                    <w:tl2br w:val="nil"/>
                    <w:tr2bl w:val="nil"/>
                  </w:tcBorders>
                  <w:noWrap w:val="0"/>
                  <w:vAlign w:val="center"/>
                </w:tcPr>
                <w:p>
                  <w:pPr>
                    <w:pStyle w:val="35"/>
                    <w:bidi w:val="0"/>
                    <w:rPr>
                      <w:rFonts w:hint="default"/>
                      <w:lang w:val="en-US" w:eastAsia="zh-CN"/>
                    </w:rPr>
                  </w:pPr>
                </w:p>
              </w:tc>
              <w:tc>
                <w:tcPr>
                  <w:tcW w:w="2555" w:type="pct"/>
                  <w:tcBorders>
                    <w:tl2br w:val="nil"/>
                    <w:tr2bl w:val="nil"/>
                  </w:tcBorders>
                  <w:noWrap w:val="0"/>
                  <w:vAlign w:val="center"/>
                </w:tcPr>
                <w:p>
                  <w:pPr>
                    <w:pStyle w:val="35"/>
                    <w:bidi w:val="0"/>
                    <w:rPr>
                      <w:rFonts w:hint="default"/>
                      <w:lang w:val="en-US" w:eastAsia="zh-CN"/>
                    </w:rPr>
                  </w:pPr>
                  <w:r>
                    <w:rPr>
                      <w:rFonts w:hint="default"/>
                      <w:lang w:val="en-US" w:eastAsia="zh-CN"/>
                    </w:rPr>
                    <w:t>（2.4）推广测土配方施肥技术，科学施用化肥农药，实施化肥农药零增长行动，推进农业作物秸秆综合利用，从源头</w:t>
                  </w:r>
                </w:p>
                <w:p>
                  <w:pPr>
                    <w:pStyle w:val="35"/>
                    <w:bidi w:val="0"/>
                    <w:rPr>
                      <w:rFonts w:hint="default"/>
                      <w:lang w:val="en-US" w:eastAsia="zh-CN"/>
                    </w:rPr>
                  </w:pPr>
                  <w:r>
                    <w:rPr>
                      <w:rFonts w:hint="default"/>
                      <w:lang w:val="en-US" w:eastAsia="zh-CN"/>
                    </w:rPr>
                    <w:t>实现污染物减量化。</w:t>
                  </w:r>
                </w:p>
              </w:tc>
              <w:tc>
                <w:tcPr>
                  <w:tcW w:w="1508" w:type="pct"/>
                  <w:tcBorders>
                    <w:tl2br w:val="nil"/>
                    <w:tr2bl w:val="nil"/>
                  </w:tcBorders>
                  <w:noWrap w:val="0"/>
                  <w:vAlign w:val="center"/>
                </w:tcPr>
                <w:p>
                  <w:pPr>
                    <w:pStyle w:val="35"/>
                    <w:bidi w:val="0"/>
                    <w:rPr>
                      <w:rFonts w:hint="default"/>
                      <w:lang w:val="en-US" w:eastAsia="zh-CN"/>
                    </w:rPr>
                  </w:pPr>
                  <w:r>
                    <w:rPr>
                      <w:rFonts w:hint="eastAsia"/>
                      <w:lang w:val="en-US" w:eastAsia="zh-CN"/>
                    </w:rPr>
                    <w:t>项目不涉及化肥农药</w:t>
                  </w:r>
                </w:p>
              </w:tc>
              <w:tc>
                <w:tcPr>
                  <w:tcW w:w="449" w:type="pct"/>
                  <w:tcBorders>
                    <w:tl2br w:val="nil"/>
                    <w:tr2bl w:val="nil"/>
                  </w:tcBorders>
                  <w:noWrap w:val="0"/>
                  <w:vAlign w:val="center"/>
                </w:tcPr>
                <w:p>
                  <w:pPr>
                    <w:pStyle w:val="35"/>
                    <w:bidi w:val="0"/>
                    <w:rPr>
                      <w:rFonts w:hint="default"/>
                      <w:lang w:val="en-US" w:eastAsia="zh-CN"/>
                    </w:rPr>
                  </w:pPr>
                  <w:r>
                    <w:rPr>
                      <w:rFonts w:hint="default"/>
                      <w:lang w:val="en-US" w:eastAsia="zh-CN"/>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86" w:type="pct"/>
                  <w:vMerge w:val="restart"/>
                  <w:tcBorders>
                    <w:tl2br w:val="nil"/>
                    <w:tr2bl w:val="nil"/>
                  </w:tcBorders>
                  <w:noWrap w:val="0"/>
                  <w:vAlign w:val="center"/>
                </w:tcPr>
                <w:p>
                  <w:pPr>
                    <w:pStyle w:val="35"/>
                    <w:bidi w:val="0"/>
                    <w:rPr>
                      <w:rFonts w:hint="default"/>
                      <w:lang w:val="en-US" w:eastAsia="zh-CN"/>
                    </w:rPr>
                  </w:pPr>
                  <w:r>
                    <w:rPr>
                      <w:rFonts w:hint="default"/>
                      <w:lang w:val="en-US" w:eastAsia="zh-CN"/>
                    </w:rPr>
                    <w:t>环境风险防控</w:t>
                  </w:r>
                </w:p>
              </w:tc>
              <w:tc>
                <w:tcPr>
                  <w:tcW w:w="2555" w:type="pct"/>
                  <w:tcBorders>
                    <w:tl2br w:val="nil"/>
                    <w:tr2bl w:val="nil"/>
                  </w:tcBorders>
                  <w:noWrap w:val="0"/>
                  <w:vAlign w:val="center"/>
                </w:tcPr>
                <w:p>
                  <w:pPr>
                    <w:pStyle w:val="35"/>
                    <w:bidi w:val="0"/>
                    <w:rPr>
                      <w:rFonts w:hint="default"/>
                      <w:lang w:val="en-US" w:eastAsia="zh-CN"/>
                    </w:rPr>
                  </w:pPr>
                  <w:r>
                    <w:rPr>
                      <w:rFonts w:hint="default"/>
                      <w:lang w:val="en-US" w:eastAsia="zh-CN"/>
                    </w:rPr>
                    <w:t>（3.1）加强对现有在产企业的环境风险管理，避免出现突发环境风险事件。</w:t>
                  </w:r>
                </w:p>
              </w:tc>
              <w:tc>
                <w:tcPr>
                  <w:tcW w:w="1508" w:type="pct"/>
                  <w:tcBorders>
                    <w:tl2br w:val="nil"/>
                    <w:tr2bl w:val="nil"/>
                  </w:tcBorders>
                  <w:noWrap w:val="0"/>
                  <w:vAlign w:val="center"/>
                </w:tcPr>
                <w:p>
                  <w:pPr>
                    <w:pStyle w:val="35"/>
                    <w:bidi w:val="0"/>
                    <w:rPr>
                      <w:rFonts w:hint="default"/>
                      <w:lang w:val="en-US" w:eastAsia="zh-CN"/>
                    </w:rPr>
                  </w:pPr>
                  <w:r>
                    <w:rPr>
                      <w:rFonts w:hint="eastAsia"/>
                      <w:lang w:val="en-US" w:eastAsia="zh-CN"/>
                    </w:rPr>
                    <w:t>项目改造完成后，会加强现有应急处置措施</w:t>
                  </w:r>
                </w:p>
              </w:tc>
              <w:tc>
                <w:tcPr>
                  <w:tcW w:w="449" w:type="pct"/>
                  <w:tcBorders>
                    <w:tl2br w:val="nil"/>
                    <w:tr2bl w:val="nil"/>
                  </w:tcBorders>
                  <w:noWrap w:val="0"/>
                  <w:vAlign w:val="center"/>
                </w:tcPr>
                <w:p>
                  <w:pPr>
                    <w:pStyle w:val="35"/>
                    <w:bidi w:val="0"/>
                    <w:rPr>
                      <w:rFonts w:hint="default"/>
                      <w:lang w:val="en-US" w:eastAsia="zh-CN"/>
                    </w:rPr>
                  </w:pPr>
                  <w:r>
                    <w:rPr>
                      <w:rFonts w:hint="default"/>
                      <w:lang w:val="en-US" w:eastAsia="zh-CN"/>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486" w:type="pct"/>
                  <w:vMerge w:val="continue"/>
                  <w:tcBorders>
                    <w:tl2br w:val="nil"/>
                    <w:tr2bl w:val="nil"/>
                  </w:tcBorders>
                  <w:noWrap w:val="0"/>
                  <w:vAlign w:val="center"/>
                </w:tcPr>
                <w:p>
                  <w:pPr>
                    <w:pStyle w:val="35"/>
                    <w:bidi w:val="0"/>
                    <w:rPr>
                      <w:rFonts w:hint="default"/>
                      <w:lang w:val="en-US" w:eastAsia="zh-CN"/>
                    </w:rPr>
                  </w:pPr>
                </w:p>
              </w:tc>
              <w:tc>
                <w:tcPr>
                  <w:tcW w:w="2555" w:type="pct"/>
                  <w:tcBorders>
                    <w:tl2br w:val="nil"/>
                    <w:tr2bl w:val="nil"/>
                  </w:tcBorders>
                  <w:noWrap w:val="0"/>
                  <w:vAlign w:val="center"/>
                </w:tcPr>
                <w:p>
                  <w:pPr>
                    <w:pStyle w:val="35"/>
                    <w:bidi w:val="0"/>
                    <w:rPr>
                      <w:rFonts w:hint="default"/>
                      <w:lang w:val="en-US" w:eastAsia="zh-CN"/>
                    </w:rPr>
                  </w:pPr>
                  <w:r>
                    <w:rPr>
                      <w:rFonts w:hint="default"/>
                      <w:lang w:val="en-US" w:eastAsia="zh-CN"/>
                    </w:rPr>
                    <w:t>（3.2）推进大气污染防治联防联控，提升重污染天气预报预警能力。</w:t>
                  </w:r>
                </w:p>
              </w:tc>
              <w:tc>
                <w:tcPr>
                  <w:tcW w:w="1508" w:type="pct"/>
                  <w:tcBorders>
                    <w:tl2br w:val="nil"/>
                    <w:tr2bl w:val="nil"/>
                  </w:tcBorders>
                  <w:noWrap w:val="0"/>
                  <w:vAlign w:val="center"/>
                </w:tcPr>
                <w:p>
                  <w:pPr>
                    <w:pStyle w:val="35"/>
                    <w:bidi w:val="0"/>
                    <w:rPr>
                      <w:rFonts w:hint="default"/>
                      <w:lang w:val="en-US" w:eastAsia="zh-CN"/>
                    </w:rPr>
                  </w:pPr>
                  <w:r>
                    <w:rPr>
                      <w:rFonts w:hint="eastAsia"/>
                      <w:lang w:val="en-US" w:eastAsia="zh-CN"/>
                    </w:rPr>
                    <w:t>/</w:t>
                  </w:r>
                </w:p>
              </w:tc>
              <w:tc>
                <w:tcPr>
                  <w:tcW w:w="449" w:type="pct"/>
                  <w:tcBorders>
                    <w:tl2br w:val="nil"/>
                    <w:tr2bl w:val="nil"/>
                  </w:tcBorders>
                  <w:noWrap w:val="0"/>
                  <w:vAlign w:val="center"/>
                </w:tcPr>
                <w:p>
                  <w:pPr>
                    <w:pStyle w:val="35"/>
                    <w:bidi w:val="0"/>
                    <w:rPr>
                      <w:rFonts w:hint="default"/>
                      <w:lang w:val="en-US" w:eastAsia="zh-CN"/>
                    </w:rPr>
                  </w:pPr>
                  <w:r>
                    <w:rPr>
                      <w:rFonts w:hint="eastAsia"/>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86" w:type="pct"/>
                  <w:vMerge w:val="continue"/>
                  <w:tcBorders>
                    <w:tl2br w:val="nil"/>
                    <w:tr2bl w:val="nil"/>
                  </w:tcBorders>
                  <w:noWrap w:val="0"/>
                  <w:vAlign w:val="center"/>
                </w:tcPr>
                <w:p>
                  <w:pPr>
                    <w:pStyle w:val="35"/>
                    <w:bidi w:val="0"/>
                    <w:rPr>
                      <w:rFonts w:hint="default"/>
                      <w:lang w:val="en-US" w:eastAsia="zh-CN"/>
                    </w:rPr>
                  </w:pPr>
                </w:p>
              </w:tc>
              <w:tc>
                <w:tcPr>
                  <w:tcW w:w="2555" w:type="pct"/>
                  <w:tcBorders>
                    <w:tl2br w:val="nil"/>
                    <w:tr2bl w:val="nil"/>
                  </w:tcBorders>
                  <w:noWrap w:val="0"/>
                  <w:vAlign w:val="center"/>
                </w:tcPr>
                <w:p>
                  <w:pPr>
                    <w:pStyle w:val="35"/>
                    <w:bidi w:val="0"/>
                    <w:rPr>
                      <w:rFonts w:hint="default"/>
                      <w:lang w:val="en-US" w:eastAsia="zh-CN"/>
                    </w:rPr>
                  </w:pPr>
                  <w:r>
                    <w:rPr>
                      <w:rFonts w:hint="default"/>
                      <w:lang w:val="en-US" w:eastAsia="zh-CN"/>
                    </w:rPr>
                    <w:t>（3.3）采取农艺调控、化学阻控、替代种植等措施，降低农产品重金属超标风险。</w:t>
                  </w:r>
                </w:p>
              </w:tc>
              <w:tc>
                <w:tcPr>
                  <w:tcW w:w="1508" w:type="pct"/>
                  <w:tcBorders>
                    <w:tl2br w:val="nil"/>
                    <w:tr2bl w:val="nil"/>
                  </w:tcBorders>
                  <w:noWrap w:val="0"/>
                  <w:vAlign w:val="center"/>
                </w:tcPr>
                <w:p>
                  <w:pPr>
                    <w:pStyle w:val="35"/>
                    <w:bidi w:val="0"/>
                    <w:rPr>
                      <w:rFonts w:hint="default"/>
                      <w:lang w:val="en-US" w:eastAsia="zh-CN"/>
                    </w:rPr>
                  </w:pPr>
                  <w:r>
                    <w:rPr>
                      <w:rFonts w:hint="eastAsia"/>
                      <w:lang w:val="en-US" w:eastAsia="zh-CN"/>
                    </w:rPr>
                    <w:t>项目不涉及种植</w:t>
                  </w:r>
                </w:p>
              </w:tc>
              <w:tc>
                <w:tcPr>
                  <w:tcW w:w="449" w:type="pct"/>
                  <w:tcBorders>
                    <w:tl2br w:val="nil"/>
                    <w:tr2bl w:val="nil"/>
                  </w:tcBorders>
                  <w:noWrap w:val="0"/>
                  <w:vAlign w:val="center"/>
                </w:tcPr>
                <w:p>
                  <w:pPr>
                    <w:pStyle w:val="35"/>
                    <w:bidi w:val="0"/>
                    <w:rPr>
                      <w:rFonts w:hint="default"/>
                      <w:lang w:val="en-US" w:eastAsia="zh-CN"/>
                    </w:rPr>
                  </w:pPr>
                  <w:r>
                    <w:rPr>
                      <w:rFonts w:hint="eastAsia"/>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86" w:type="pct"/>
                  <w:vMerge w:val="restart"/>
                  <w:tcBorders>
                    <w:tl2br w:val="nil"/>
                    <w:tr2bl w:val="nil"/>
                  </w:tcBorders>
                  <w:noWrap w:val="0"/>
                  <w:vAlign w:val="center"/>
                </w:tcPr>
                <w:p>
                  <w:pPr>
                    <w:pStyle w:val="35"/>
                    <w:bidi w:val="0"/>
                    <w:rPr>
                      <w:rFonts w:hint="default"/>
                      <w:lang w:val="en-US" w:eastAsia="zh-CN"/>
                    </w:rPr>
                  </w:pPr>
                  <w:r>
                    <w:rPr>
                      <w:rFonts w:hint="default"/>
                      <w:lang w:val="en-US" w:eastAsia="zh-CN"/>
                    </w:rPr>
                    <w:t>资源开发效率要求</w:t>
                  </w:r>
                </w:p>
              </w:tc>
              <w:tc>
                <w:tcPr>
                  <w:tcW w:w="2555" w:type="pct"/>
                  <w:tcBorders>
                    <w:tl2br w:val="nil"/>
                    <w:tr2bl w:val="nil"/>
                  </w:tcBorders>
                  <w:noWrap w:val="0"/>
                  <w:vAlign w:val="center"/>
                </w:tcPr>
                <w:p>
                  <w:pPr>
                    <w:pStyle w:val="35"/>
                    <w:bidi w:val="0"/>
                    <w:rPr>
                      <w:rFonts w:hint="default"/>
                      <w:lang w:val="en-US" w:eastAsia="zh-CN"/>
                    </w:rPr>
                  </w:pPr>
                  <w:r>
                    <w:rPr>
                      <w:rFonts w:hint="default"/>
                      <w:lang w:val="en-US" w:eastAsia="zh-CN"/>
                    </w:rPr>
                    <w:t>（4.1）能源：以天然气和电能为主，城区禁止燃烧高污染燃料。严格行业规范、准入管理和节能审查，对电力、钢铁、</w:t>
                  </w:r>
                </w:p>
                <w:p>
                  <w:pPr>
                    <w:pStyle w:val="35"/>
                    <w:bidi w:val="0"/>
                    <w:rPr>
                      <w:rFonts w:hint="default"/>
                      <w:lang w:val="en-US" w:eastAsia="zh-CN"/>
                    </w:rPr>
                  </w:pPr>
                  <w:r>
                    <w:rPr>
                      <w:rFonts w:hint="default"/>
                      <w:lang w:val="en-US" w:eastAsia="zh-CN"/>
                    </w:rPr>
                    <w:t>建材、有色、化工、石油石化、煤炭、造纸等行业中，环保、能耗、安全等不达标或生产、使用淘汰类产品的企业和</w:t>
                  </w:r>
                </w:p>
                <w:p>
                  <w:pPr>
                    <w:pStyle w:val="35"/>
                    <w:bidi w:val="0"/>
                    <w:rPr>
                      <w:rFonts w:hint="default"/>
                      <w:lang w:val="en-US" w:eastAsia="zh-CN"/>
                    </w:rPr>
                  </w:pPr>
                  <w:r>
                    <w:rPr>
                      <w:rFonts w:hint="default"/>
                      <w:lang w:val="en-US" w:eastAsia="zh-CN"/>
                    </w:rPr>
                    <w:t>产能，依法依规改造升级或有序退出。推广使用优质煤、洁净型煤，推进煤改气、煤改电，鼓励利用可再生能源、天</w:t>
                  </w:r>
                </w:p>
                <w:p>
                  <w:pPr>
                    <w:pStyle w:val="35"/>
                    <w:bidi w:val="0"/>
                    <w:rPr>
                      <w:rFonts w:hint="default"/>
                      <w:lang w:val="en-US" w:eastAsia="zh-CN"/>
                    </w:rPr>
                  </w:pPr>
                  <w:r>
                    <w:rPr>
                      <w:rFonts w:hint="default"/>
                      <w:lang w:val="en-US" w:eastAsia="zh-CN"/>
                    </w:rPr>
                    <w:t>然气、电力等优质能源替代燃煤使用。到 2020 年能耗强度降低 16%，控制目标 109.12 万吨标准煤。</w:t>
                  </w:r>
                </w:p>
              </w:tc>
              <w:tc>
                <w:tcPr>
                  <w:tcW w:w="1508" w:type="pct"/>
                  <w:tcBorders>
                    <w:tl2br w:val="nil"/>
                    <w:tr2bl w:val="nil"/>
                  </w:tcBorders>
                  <w:noWrap w:val="0"/>
                  <w:vAlign w:val="center"/>
                </w:tcPr>
                <w:p>
                  <w:pPr>
                    <w:pStyle w:val="35"/>
                    <w:bidi w:val="0"/>
                    <w:rPr>
                      <w:rFonts w:hint="default"/>
                      <w:lang w:val="en-US" w:eastAsia="zh-CN"/>
                    </w:rPr>
                  </w:pPr>
                  <w:r>
                    <w:rPr>
                      <w:rFonts w:hint="default"/>
                      <w:lang w:val="en-US" w:eastAsia="zh-CN"/>
                    </w:rPr>
                    <w:t>本项目</w:t>
                  </w:r>
                  <w:r>
                    <w:rPr>
                      <w:rFonts w:hint="default"/>
                    </w:rPr>
                    <w:t>使用电能，不使用煤、高硫、中硫原煤及重油等燃料</w:t>
                  </w:r>
                </w:p>
              </w:tc>
              <w:tc>
                <w:tcPr>
                  <w:tcW w:w="449" w:type="pct"/>
                  <w:tcBorders>
                    <w:tl2br w:val="nil"/>
                    <w:tr2bl w:val="nil"/>
                  </w:tcBorders>
                  <w:noWrap w:val="0"/>
                  <w:vAlign w:val="center"/>
                </w:tcPr>
                <w:p>
                  <w:pPr>
                    <w:pStyle w:val="35"/>
                    <w:bidi w:val="0"/>
                    <w:rPr>
                      <w:rFonts w:hint="default"/>
                      <w:lang w:val="en-US" w:eastAsia="zh-CN"/>
                    </w:rPr>
                  </w:pPr>
                  <w:r>
                    <w:rPr>
                      <w:rFonts w:hint="default"/>
                      <w:lang w:val="en-US" w:eastAsia="zh-CN"/>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86" w:type="pct"/>
                  <w:vMerge w:val="continue"/>
                  <w:tcBorders>
                    <w:tl2br w:val="nil"/>
                    <w:tr2bl w:val="nil"/>
                  </w:tcBorders>
                  <w:noWrap w:val="0"/>
                  <w:vAlign w:val="center"/>
                </w:tcPr>
                <w:p>
                  <w:pPr>
                    <w:pStyle w:val="35"/>
                    <w:bidi w:val="0"/>
                    <w:rPr>
                      <w:rFonts w:hint="default"/>
                      <w:lang w:val="en-US" w:eastAsia="zh-CN"/>
                    </w:rPr>
                  </w:pPr>
                </w:p>
              </w:tc>
              <w:tc>
                <w:tcPr>
                  <w:tcW w:w="2555" w:type="pct"/>
                  <w:tcBorders>
                    <w:tl2br w:val="nil"/>
                    <w:tr2bl w:val="nil"/>
                  </w:tcBorders>
                  <w:noWrap w:val="0"/>
                  <w:vAlign w:val="center"/>
                </w:tcPr>
                <w:p>
                  <w:pPr>
                    <w:pStyle w:val="35"/>
                    <w:bidi w:val="0"/>
                    <w:rPr>
                      <w:rFonts w:hint="default"/>
                      <w:lang w:val="en-US" w:eastAsia="zh-CN"/>
                    </w:rPr>
                  </w:pPr>
                  <w:r>
                    <w:rPr>
                      <w:rFonts w:hint="default"/>
                      <w:lang w:val="en-US" w:eastAsia="zh-CN"/>
                    </w:rPr>
                    <w:t>（4.2）水资源：加强水资源节约利用措施，做好农业、工业节水。到 2020 年，万元国内生产总值用水量、万元工业增</w:t>
                  </w:r>
                </w:p>
                <w:p>
                  <w:pPr>
                    <w:pStyle w:val="35"/>
                    <w:bidi w:val="0"/>
                    <w:rPr>
                      <w:rFonts w:hint="default"/>
                      <w:lang w:val="en-US" w:eastAsia="zh-CN"/>
                    </w:rPr>
                  </w:pPr>
                  <w:r>
                    <w:rPr>
                      <w:rFonts w:hint="default"/>
                      <w:lang w:val="en-US" w:eastAsia="zh-CN"/>
                    </w:rPr>
                    <w:t>加值用水量分别比 2015 年降低 30%和 32.7%；农田灌溉水有效利用系数提高到 0.535。</w:t>
                  </w:r>
                </w:p>
              </w:tc>
              <w:tc>
                <w:tcPr>
                  <w:tcW w:w="1508" w:type="pct"/>
                  <w:tcBorders>
                    <w:tl2br w:val="nil"/>
                    <w:tr2bl w:val="nil"/>
                  </w:tcBorders>
                  <w:noWrap w:val="0"/>
                  <w:vAlign w:val="center"/>
                </w:tcPr>
                <w:p>
                  <w:pPr>
                    <w:pStyle w:val="35"/>
                    <w:bidi w:val="0"/>
                    <w:rPr>
                      <w:rFonts w:hint="default"/>
                      <w:lang w:val="en-US" w:eastAsia="zh-CN"/>
                    </w:rPr>
                  </w:pPr>
                  <w:r>
                    <w:rPr>
                      <w:rFonts w:hint="default"/>
                      <w:lang w:val="en-US" w:eastAsia="zh-CN"/>
                    </w:rPr>
                    <w:t>本项目不属于高耗水工业行业</w:t>
                  </w:r>
                </w:p>
              </w:tc>
              <w:tc>
                <w:tcPr>
                  <w:tcW w:w="449" w:type="pct"/>
                  <w:tcBorders>
                    <w:tl2br w:val="nil"/>
                    <w:tr2bl w:val="nil"/>
                  </w:tcBorders>
                  <w:noWrap w:val="0"/>
                  <w:vAlign w:val="center"/>
                </w:tcPr>
                <w:p>
                  <w:pPr>
                    <w:pStyle w:val="35"/>
                    <w:bidi w:val="0"/>
                    <w:rPr>
                      <w:rFonts w:hint="default"/>
                      <w:lang w:val="en-US" w:eastAsia="zh-CN"/>
                    </w:rPr>
                  </w:pPr>
                  <w:r>
                    <w:rPr>
                      <w:rFonts w:hint="default"/>
                      <w:lang w:val="en-US" w:eastAsia="zh-CN"/>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86" w:type="pct"/>
                  <w:vMerge w:val="continue"/>
                  <w:tcBorders>
                    <w:tl2br w:val="nil"/>
                    <w:tr2bl w:val="nil"/>
                  </w:tcBorders>
                  <w:noWrap w:val="0"/>
                  <w:vAlign w:val="center"/>
                </w:tcPr>
                <w:p>
                  <w:pPr>
                    <w:pStyle w:val="35"/>
                    <w:bidi w:val="0"/>
                    <w:rPr>
                      <w:rFonts w:hint="default"/>
                      <w:lang w:val="en-US" w:eastAsia="zh-CN"/>
                    </w:rPr>
                  </w:pPr>
                </w:p>
              </w:tc>
              <w:tc>
                <w:tcPr>
                  <w:tcW w:w="2555" w:type="pct"/>
                  <w:tcBorders>
                    <w:tl2br w:val="nil"/>
                    <w:tr2bl w:val="nil"/>
                  </w:tcBorders>
                  <w:noWrap w:val="0"/>
                  <w:vAlign w:val="center"/>
                </w:tcPr>
                <w:p>
                  <w:pPr>
                    <w:pStyle w:val="35"/>
                    <w:bidi w:val="0"/>
                    <w:rPr>
                      <w:rFonts w:hint="default"/>
                      <w:lang w:val="en-US" w:eastAsia="zh-CN"/>
                    </w:rPr>
                  </w:pPr>
                  <w:r>
                    <w:rPr>
                      <w:rFonts w:hint="default"/>
                      <w:lang w:val="en-US" w:eastAsia="zh-CN"/>
                    </w:rPr>
                    <w:t>（4.3）土地资源：严格执行基本农田保护制度，确保其面积不减少、土壤环境质量不下降，除法律规定的重点建设项</w:t>
                  </w:r>
                </w:p>
                <w:p>
                  <w:pPr>
                    <w:pStyle w:val="35"/>
                    <w:bidi w:val="0"/>
                    <w:rPr>
                      <w:rFonts w:hint="default"/>
                      <w:lang w:val="en-US" w:eastAsia="zh-CN"/>
                    </w:rPr>
                  </w:pPr>
                  <w:r>
                    <w:rPr>
                      <w:rFonts w:hint="default"/>
                      <w:lang w:val="en-US" w:eastAsia="zh-CN"/>
                    </w:rPr>
                    <w:t>目选址确实无法避让外，其他任何建设不得占用。</w:t>
                  </w:r>
                </w:p>
              </w:tc>
              <w:tc>
                <w:tcPr>
                  <w:tcW w:w="1508" w:type="pct"/>
                  <w:tcBorders>
                    <w:tl2br w:val="nil"/>
                    <w:tr2bl w:val="nil"/>
                  </w:tcBorders>
                  <w:noWrap w:val="0"/>
                  <w:vAlign w:val="center"/>
                </w:tcPr>
                <w:p>
                  <w:pPr>
                    <w:pStyle w:val="35"/>
                    <w:bidi w:val="0"/>
                    <w:rPr>
                      <w:rFonts w:hint="default"/>
                      <w:lang w:val="en-US" w:eastAsia="zh-CN"/>
                    </w:rPr>
                  </w:pPr>
                  <w:r>
                    <w:rPr>
                      <w:rFonts w:hint="eastAsia"/>
                      <w:lang w:val="en-US" w:eastAsia="zh-CN"/>
                    </w:rPr>
                    <w:t>/</w:t>
                  </w:r>
                </w:p>
              </w:tc>
              <w:tc>
                <w:tcPr>
                  <w:tcW w:w="449" w:type="pct"/>
                  <w:tcBorders>
                    <w:tl2br w:val="nil"/>
                    <w:tr2bl w:val="nil"/>
                  </w:tcBorders>
                  <w:noWrap w:val="0"/>
                  <w:vAlign w:val="center"/>
                </w:tcPr>
                <w:p>
                  <w:pPr>
                    <w:pStyle w:val="35"/>
                    <w:bidi w:val="0"/>
                    <w:rPr>
                      <w:rFonts w:hint="default"/>
                      <w:lang w:val="en-US" w:eastAsia="zh-CN"/>
                    </w:rPr>
                  </w:pPr>
                  <w:r>
                    <w:rPr>
                      <w:rFonts w:hint="eastAsia"/>
                      <w:lang w:val="en-US" w:eastAsia="zh-CN"/>
                    </w:rPr>
                    <w:t>/</w:t>
                  </w:r>
                </w:p>
              </w:tc>
            </w:tr>
          </w:tbl>
          <w:p>
            <w:pPr>
              <w:pStyle w:val="18"/>
              <w:rPr>
                <w:rFonts w:hint="default"/>
              </w:rPr>
            </w:pPr>
          </w:p>
          <w:p>
            <w:pPr>
              <w:pStyle w:val="14"/>
              <w:bidi w:val="0"/>
              <w:rPr>
                <w:rFonts w:hint="default"/>
              </w:rPr>
            </w:pPr>
            <w:r>
              <w:rPr>
                <w:rFonts w:hint="default"/>
                <w:lang w:val="en-US" w:eastAsia="zh-CN"/>
              </w:rPr>
              <w:t>5、</w:t>
            </w:r>
            <w:r>
              <w:rPr>
                <w:rFonts w:hint="default"/>
              </w:rPr>
              <w:t>与相关政策可靠性分析</w:t>
            </w:r>
          </w:p>
          <w:p>
            <w:pPr>
              <w:pStyle w:val="14"/>
              <w:ind w:firstLine="480"/>
            </w:pPr>
            <w:r>
              <w:rPr>
                <w:lang w:val="zh-CN"/>
              </w:rPr>
              <w:t>本项目与《</w:t>
            </w:r>
            <w:r>
              <w:t>与湖南省环境保护规划的相符性</w:t>
            </w:r>
            <w:r>
              <w:rPr>
                <w:lang w:val="zh-CN"/>
              </w:rPr>
              <w:t>》、《“十三五”挥发性有机物污染防治工作方案》等相关技术政策相符性分析见下表</w:t>
            </w:r>
            <w:r>
              <w:t>。</w:t>
            </w:r>
          </w:p>
          <w:p>
            <w:pPr>
              <w:pStyle w:val="36"/>
              <w:tabs>
                <w:tab w:val="left" w:pos="1021"/>
              </w:tabs>
              <w:rPr>
                <w:lang w:val="zh-CN"/>
              </w:rPr>
            </w:pPr>
            <w:r>
              <w:rPr>
                <w:lang w:val="zh-CN"/>
              </w:rPr>
              <w:t>表</w:t>
            </w:r>
            <w:r>
              <w:rPr>
                <w:rFonts w:hint="eastAsia"/>
                <w:lang w:val="en-US" w:eastAsia="zh-CN"/>
              </w:rPr>
              <w:t>1-7</w:t>
            </w:r>
            <w:r>
              <w:rPr>
                <w:lang w:val="zh-CN"/>
              </w:rPr>
              <w:t>项目与相关环保政策相符性分析表</w:t>
            </w:r>
          </w:p>
          <w:tbl>
            <w:tblPr>
              <w:tblStyle w:val="31"/>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62"/>
              <w:gridCol w:w="2664"/>
              <w:gridCol w:w="2005"/>
              <w:gridCol w:w="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8" w:type="pct"/>
                  <w:tcBorders>
                    <w:top w:val="single" w:color="auto" w:sz="4" w:space="0"/>
                    <w:left w:val="single" w:color="auto" w:sz="4" w:space="0"/>
                    <w:bottom w:val="single" w:color="auto" w:sz="4" w:space="0"/>
                    <w:right w:val="single" w:color="auto" w:sz="4" w:space="0"/>
                  </w:tcBorders>
                  <w:vAlign w:val="center"/>
                </w:tcPr>
                <w:p>
                  <w:pPr>
                    <w:pStyle w:val="35"/>
                    <w:bidi w:val="0"/>
                  </w:pPr>
                  <w:r>
                    <w:t>相关政策文件</w:t>
                  </w:r>
                </w:p>
              </w:tc>
              <w:tc>
                <w:tcPr>
                  <w:tcW w:w="2127" w:type="pct"/>
                  <w:tcBorders>
                    <w:top w:val="single" w:color="auto" w:sz="4" w:space="0"/>
                    <w:left w:val="single" w:color="auto" w:sz="4" w:space="0"/>
                    <w:bottom w:val="single" w:color="auto" w:sz="4" w:space="0"/>
                    <w:right w:val="single" w:color="auto" w:sz="4" w:space="0"/>
                  </w:tcBorders>
                  <w:vAlign w:val="center"/>
                </w:tcPr>
                <w:p>
                  <w:pPr>
                    <w:pStyle w:val="35"/>
                    <w:bidi w:val="0"/>
                  </w:pPr>
                  <w:r>
                    <w:t>要求</w:t>
                  </w:r>
                </w:p>
              </w:tc>
              <w:tc>
                <w:tcPr>
                  <w:tcW w:w="1601" w:type="pct"/>
                  <w:tcBorders>
                    <w:top w:val="single" w:color="auto" w:sz="4" w:space="0"/>
                    <w:left w:val="single" w:color="auto" w:sz="4" w:space="0"/>
                    <w:bottom w:val="single" w:color="auto" w:sz="4" w:space="0"/>
                    <w:right w:val="single" w:color="auto" w:sz="4" w:space="0"/>
                  </w:tcBorders>
                  <w:vAlign w:val="center"/>
                </w:tcPr>
                <w:p>
                  <w:pPr>
                    <w:pStyle w:val="35"/>
                    <w:bidi w:val="0"/>
                  </w:pPr>
                  <w:r>
                    <w:t>本项目情况</w:t>
                  </w:r>
                </w:p>
              </w:tc>
              <w:tc>
                <w:tcPr>
                  <w:tcW w:w="341" w:type="pct"/>
                  <w:tcBorders>
                    <w:top w:val="single" w:color="auto" w:sz="4" w:space="0"/>
                    <w:left w:val="single" w:color="auto" w:sz="4" w:space="0"/>
                    <w:bottom w:val="single" w:color="auto" w:sz="4" w:space="0"/>
                    <w:right w:val="single" w:color="auto" w:sz="4" w:space="0"/>
                  </w:tcBorders>
                  <w:vAlign w:val="center"/>
                </w:tcPr>
                <w:p>
                  <w:pPr>
                    <w:pStyle w:val="35"/>
                    <w:bidi w:val="0"/>
                  </w:pPr>
                  <w:r>
                    <w:t>结论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8" w:type="pct"/>
                  <w:tcBorders>
                    <w:top w:val="single" w:color="auto" w:sz="4" w:space="0"/>
                    <w:left w:val="single" w:color="auto" w:sz="4" w:space="0"/>
                    <w:bottom w:val="single" w:color="auto" w:sz="4" w:space="0"/>
                    <w:right w:val="single" w:color="auto" w:sz="4" w:space="0"/>
                  </w:tcBorders>
                  <w:vAlign w:val="center"/>
                </w:tcPr>
                <w:p>
                  <w:pPr>
                    <w:pStyle w:val="35"/>
                    <w:bidi w:val="0"/>
                  </w:pPr>
                  <w:r>
                    <w:rPr>
                      <w:rFonts w:hint="default"/>
                      <w:lang w:eastAsia="zh-CN"/>
                    </w:rPr>
                    <w:t>《湖南省环境保护条例》</w:t>
                  </w:r>
                </w:p>
              </w:tc>
              <w:tc>
                <w:tcPr>
                  <w:tcW w:w="2127" w:type="pct"/>
                  <w:tcBorders>
                    <w:top w:val="single" w:color="auto" w:sz="4" w:space="0"/>
                    <w:left w:val="single" w:color="auto" w:sz="4" w:space="0"/>
                    <w:bottom w:val="single" w:color="auto" w:sz="4" w:space="0"/>
                    <w:right w:val="single" w:color="auto" w:sz="4" w:space="0"/>
                  </w:tcBorders>
                  <w:vAlign w:val="center"/>
                </w:tcPr>
                <w:p>
                  <w:pPr>
                    <w:pStyle w:val="35"/>
                    <w:bidi w:val="0"/>
                  </w:pPr>
                  <w:r>
                    <w:rPr>
                      <w:rFonts w:hint="default"/>
                      <w:lang w:eastAsia="zh-CN"/>
                    </w:rPr>
                    <w:t>（1）鼓励发展环境保护产业，对资源的综合利用和防治污染的技术改造项目实行优惠政策。（2）一切单位和个人必须执行国家和本省的环境质量标准和污染物排放标准。本省的污染物排放标准严于国家标准的，执行本省标准。（3）禁止在风景名胜区、自然保护区、森林公园、城市规划确定的居民区和饮用水源地以及其他需要特别保护的区域内，兴建污染和破坏环境的工程、设施。（4）按水域功能区划保护湘江、资江、沅江、澧水和洞庭湖及其它水域，使水质符合规定用途的水质标准。</w:t>
                  </w:r>
                </w:p>
              </w:tc>
              <w:tc>
                <w:tcPr>
                  <w:tcW w:w="1601" w:type="pct"/>
                  <w:tcBorders>
                    <w:top w:val="single" w:color="auto" w:sz="4" w:space="0"/>
                    <w:left w:val="single" w:color="auto" w:sz="4" w:space="0"/>
                    <w:bottom w:val="single" w:color="auto" w:sz="4" w:space="0"/>
                    <w:right w:val="single" w:color="auto" w:sz="4" w:space="0"/>
                  </w:tcBorders>
                  <w:vAlign w:val="center"/>
                </w:tcPr>
                <w:p>
                  <w:pPr>
                    <w:pStyle w:val="35"/>
                    <w:bidi w:val="0"/>
                  </w:pPr>
                  <w:r>
                    <w:rPr>
                      <w:rFonts w:hint="default"/>
                      <w:lang w:eastAsia="zh-CN"/>
                    </w:rPr>
                    <w:t>本项目位于</w:t>
                  </w:r>
                  <w:r>
                    <w:rPr>
                      <w:rFonts w:hint="eastAsia"/>
                      <w:lang w:val="en-US" w:eastAsia="zh-CN"/>
                    </w:rPr>
                    <w:t>祁东县永昌街道南山大道南侧（南山大道与永湘路交叉口东南角）</w:t>
                  </w:r>
                  <w:r>
                    <w:rPr>
                      <w:rFonts w:hint="default"/>
                      <w:lang w:eastAsia="zh-CN"/>
                    </w:rPr>
                    <w:t>，污染物经处理后可达到国家和地方的相应排放标准</w:t>
                  </w:r>
                  <w:r>
                    <w:rPr>
                      <w:rFonts w:hint="eastAsia"/>
                      <w:lang w:eastAsia="zh-CN"/>
                    </w:rPr>
                    <w:t>。</w:t>
                  </w:r>
                </w:p>
              </w:tc>
              <w:tc>
                <w:tcPr>
                  <w:tcW w:w="341" w:type="pct"/>
                  <w:tcBorders>
                    <w:top w:val="single" w:color="auto" w:sz="4" w:space="0"/>
                    <w:left w:val="single" w:color="auto" w:sz="4" w:space="0"/>
                    <w:bottom w:val="single" w:color="auto" w:sz="4" w:space="0"/>
                    <w:right w:val="single" w:color="auto" w:sz="4" w:space="0"/>
                  </w:tcBorders>
                  <w:vAlign w:val="center"/>
                </w:tcPr>
                <w:p>
                  <w:pPr>
                    <w:pStyle w:val="35"/>
                    <w:bidi w:val="0"/>
                  </w:pPr>
                  <w: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8" w:type="pct"/>
                  <w:tcBorders>
                    <w:top w:val="single" w:color="auto" w:sz="4" w:space="0"/>
                    <w:left w:val="single" w:color="auto" w:sz="4" w:space="0"/>
                    <w:bottom w:val="single" w:color="auto" w:sz="4" w:space="0"/>
                    <w:right w:val="single" w:color="auto" w:sz="4" w:space="0"/>
                  </w:tcBorders>
                  <w:vAlign w:val="center"/>
                </w:tcPr>
                <w:p>
                  <w:pPr>
                    <w:pStyle w:val="35"/>
                    <w:bidi w:val="0"/>
                  </w:pPr>
                  <w:r>
                    <w:rPr>
                      <w:rFonts w:hint="eastAsia"/>
                      <w:lang w:val="en-US" w:eastAsia="zh-CN"/>
                    </w:rPr>
                    <w:t>《湖南省“十四五”生态环境保护规划》</w:t>
                  </w:r>
                </w:p>
              </w:tc>
              <w:tc>
                <w:tcPr>
                  <w:tcW w:w="2127" w:type="pct"/>
                  <w:tcBorders>
                    <w:top w:val="single" w:color="auto" w:sz="4" w:space="0"/>
                    <w:left w:val="single" w:color="auto" w:sz="4" w:space="0"/>
                    <w:bottom w:val="single" w:color="auto" w:sz="4" w:space="0"/>
                    <w:right w:val="single" w:color="auto" w:sz="4" w:space="0"/>
                  </w:tcBorders>
                  <w:vAlign w:val="center"/>
                </w:tcPr>
                <w:p>
                  <w:pPr>
                    <w:pStyle w:val="35"/>
                    <w:bidi w:val="0"/>
                  </w:pPr>
                  <w:r>
                    <w:rPr>
                      <w:rFonts w:hint="eastAsia"/>
                      <w:lang w:val="en-US" w:eastAsia="zh-CN"/>
                    </w:rPr>
                    <w:t>强化重点行业VOCs科学治理。以工业涂装、石化、化工、包装印刷、油品储运销等行业为重点，实施企业VOCs原料替代、排放全过程控制。按照“分业施策、一行一策”的原则，加大低VOCs含量原辅材料的推广使用力度，从源头减少VOCs产生。推进使用先进生产工艺设备，减少无组织排放。实行重点排放源排放浓度与去除效率双重控制。加强汽修行业 VOCs 综合治理，加大餐饮油烟污染治理力度，推进县级以上城市餐饮油烟治理全覆盖。</w:t>
                  </w:r>
                </w:p>
              </w:tc>
              <w:tc>
                <w:tcPr>
                  <w:tcW w:w="1601" w:type="pct"/>
                  <w:tcBorders>
                    <w:top w:val="single" w:color="auto" w:sz="4" w:space="0"/>
                    <w:left w:val="single" w:color="auto" w:sz="4" w:space="0"/>
                    <w:bottom w:val="single" w:color="auto" w:sz="4" w:space="0"/>
                    <w:right w:val="single" w:color="auto" w:sz="4" w:space="0"/>
                  </w:tcBorders>
                  <w:vAlign w:val="center"/>
                </w:tcPr>
                <w:p>
                  <w:pPr>
                    <w:pStyle w:val="35"/>
                    <w:bidi w:val="0"/>
                  </w:pPr>
                  <w:r>
                    <w:rPr>
                      <w:rFonts w:hint="eastAsia"/>
                      <w:lang w:val="en-US" w:eastAsia="zh-CN"/>
                    </w:rPr>
                    <w:t>本项目设有油气回收系统，对VOCs排放进行严格削减与控制，可实现达标排放</w:t>
                  </w:r>
                </w:p>
              </w:tc>
              <w:tc>
                <w:tcPr>
                  <w:tcW w:w="341" w:type="pct"/>
                  <w:tcBorders>
                    <w:top w:val="single" w:color="auto" w:sz="4" w:space="0"/>
                    <w:left w:val="single" w:color="auto" w:sz="4" w:space="0"/>
                    <w:bottom w:val="single" w:color="auto" w:sz="4" w:space="0"/>
                    <w:right w:val="single" w:color="auto" w:sz="4" w:space="0"/>
                  </w:tcBorders>
                  <w:vAlign w:val="center"/>
                </w:tcPr>
                <w:p>
                  <w:pPr>
                    <w:pStyle w:val="35"/>
                    <w:bidi w:val="0"/>
                  </w:pPr>
                  <w: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8" w:type="pct"/>
                  <w:tcBorders>
                    <w:top w:val="single" w:color="auto" w:sz="4" w:space="0"/>
                    <w:left w:val="single" w:color="auto" w:sz="4" w:space="0"/>
                    <w:bottom w:val="single" w:color="auto" w:sz="4" w:space="0"/>
                    <w:right w:val="single" w:color="auto" w:sz="4" w:space="0"/>
                  </w:tcBorders>
                  <w:vAlign w:val="center"/>
                </w:tcPr>
                <w:p>
                  <w:pPr>
                    <w:pStyle w:val="35"/>
                    <w:bidi w:val="0"/>
                  </w:pPr>
                  <w:r>
                    <w:t>《湖南省有机废气污染防治方案》</w:t>
                  </w:r>
                </w:p>
              </w:tc>
              <w:tc>
                <w:tcPr>
                  <w:tcW w:w="2127" w:type="pct"/>
                  <w:tcBorders>
                    <w:top w:val="single" w:color="auto" w:sz="4" w:space="0"/>
                    <w:left w:val="single" w:color="auto" w:sz="4" w:space="0"/>
                    <w:bottom w:val="single" w:color="auto" w:sz="4" w:space="0"/>
                    <w:right w:val="single" w:color="auto" w:sz="4" w:space="0"/>
                  </w:tcBorders>
                  <w:vAlign w:val="center"/>
                </w:tcPr>
                <w:p>
                  <w:pPr>
                    <w:pStyle w:val="35"/>
                    <w:bidi w:val="0"/>
                  </w:pPr>
                  <w:r>
                    <w:t>《湖南省挥发性有机物污染防治三年实施方案》中提出：</w:t>
                  </w:r>
                  <w:r>
                    <w:rPr>
                      <w:rFonts w:hint="eastAsia"/>
                      <w:lang w:eastAsia="zh-CN"/>
                    </w:rPr>
                    <w:t>“</w:t>
                  </w:r>
                  <w:r>
                    <w:t>通过源头削减（VOC</w:t>
                  </w:r>
                  <w:r>
                    <w:rPr>
                      <w:rFonts w:hint="default"/>
                    </w:rPr>
                    <w:t>s</w:t>
                  </w:r>
                  <w:r>
                    <w:t>原材料替代），过程控制（防止</w:t>
                  </w:r>
                  <w:r>
                    <w:rPr>
                      <w:rFonts w:hint="eastAsia"/>
                      <w:lang w:eastAsia="zh-CN"/>
                    </w:rPr>
                    <w:t>‘</w:t>
                  </w:r>
                  <w:r>
                    <w:t>跑、冒、滴、漏</w:t>
                  </w:r>
                  <w:r>
                    <w:rPr>
                      <w:rFonts w:hint="eastAsia"/>
                      <w:lang w:eastAsia="zh-CN"/>
                    </w:rPr>
                    <w:t>’</w:t>
                  </w:r>
                  <w:r>
                    <w:t>，工艺优化等）及末端治理（新建去除设施），强化环境管理手段（排污收费，经济激励，环境执法等）减少VOC</w:t>
                  </w:r>
                  <w:r>
                    <w:rPr>
                      <w:rFonts w:hint="default"/>
                    </w:rPr>
                    <w:t>s</w:t>
                  </w:r>
                  <w:r>
                    <w:t>排放量</w:t>
                  </w:r>
                  <w:r>
                    <w:rPr>
                      <w:rFonts w:hint="eastAsia"/>
                      <w:lang w:eastAsia="zh-CN"/>
                    </w:rPr>
                    <w:t>”</w:t>
                  </w:r>
                  <w:r>
                    <w:t>。</w:t>
                  </w:r>
                </w:p>
                <w:p>
                  <w:pPr>
                    <w:pStyle w:val="35"/>
                    <w:bidi w:val="0"/>
                  </w:pPr>
                </w:p>
              </w:tc>
              <w:tc>
                <w:tcPr>
                  <w:tcW w:w="1601" w:type="pct"/>
                  <w:tcBorders>
                    <w:top w:val="single" w:color="auto" w:sz="4" w:space="0"/>
                    <w:left w:val="single" w:color="auto" w:sz="4" w:space="0"/>
                    <w:bottom w:val="single" w:color="auto" w:sz="4" w:space="0"/>
                    <w:right w:val="single" w:color="auto" w:sz="4" w:space="0"/>
                  </w:tcBorders>
                  <w:vAlign w:val="center"/>
                </w:tcPr>
                <w:p>
                  <w:pPr>
                    <w:pStyle w:val="35"/>
                    <w:bidi w:val="0"/>
                  </w:pPr>
                  <w:r>
                    <w:t>本项目在管理上加强有机废气收集治理，有机废气排放满足</w:t>
                  </w:r>
                  <w:r>
                    <w:rPr>
                      <w:rFonts w:hint="eastAsia"/>
                      <w:lang w:eastAsia="zh-CN"/>
                    </w:rPr>
                    <w:t>《加油站大气污染物排放标准》（GB20952-2020）</w:t>
                  </w:r>
                  <w:r>
                    <w:t>无组织排放限值要求。故符合《湖南省挥发性有机物污染防治三年实施方案》。</w:t>
                  </w:r>
                </w:p>
              </w:tc>
              <w:tc>
                <w:tcPr>
                  <w:tcW w:w="341" w:type="pct"/>
                  <w:tcBorders>
                    <w:top w:val="single" w:color="auto" w:sz="4" w:space="0"/>
                    <w:left w:val="single" w:color="auto" w:sz="4" w:space="0"/>
                    <w:bottom w:val="single" w:color="auto" w:sz="4" w:space="0"/>
                    <w:right w:val="single" w:color="auto" w:sz="4" w:space="0"/>
                  </w:tcBorders>
                  <w:vAlign w:val="center"/>
                </w:tcPr>
                <w:p>
                  <w:pPr>
                    <w:pStyle w:val="35"/>
                    <w:bidi w:val="0"/>
                  </w:pPr>
                  <w:r>
                    <w:t>符合</w:t>
                  </w:r>
                </w:p>
              </w:tc>
            </w:tr>
          </w:tbl>
          <w:p>
            <w:pPr>
              <w:autoSpaceDE w:val="0"/>
              <w:autoSpaceDN w:val="0"/>
              <w:adjustRightInd w:val="0"/>
              <w:snapToGrid w:val="0"/>
              <w:jc w:val="center"/>
              <w:rPr>
                <w:rFonts w:hint="default"/>
              </w:rPr>
            </w:pPr>
          </w:p>
          <w:p>
            <w:pPr>
              <w:pStyle w:val="15"/>
              <w:rPr>
                <w:rFonts w:hint="default"/>
              </w:rPr>
            </w:pPr>
          </w:p>
          <w:p>
            <w:pPr>
              <w:rPr>
                <w:rFonts w:hint="default"/>
              </w:rPr>
            </w:pPr>
          </w:p>
        </w:tc>
      </w:tr>
    </w:tbl>
    <w:p>
      <w:pPr>
        <w:spacing w:line="360" w:lineRule="auto"/>
        <w:outlineLvl w:val="0"/>
        <w:rPr>
          <w:rFonts w:eastAsia="黑体"/>
          <w:sz w:val="30"/>
        </w:rPr>
        <w:sectPr>
          <w:footerReference r:id="rId8" w:type="default"/>
          <w:pgSz w:w="11906" w:h="16838"/>
          <w:pgMar w:top="1440" w:right="1800" w:bottom="1440" w:left="1800" w:header="851" w:footer="1077" w:gutter="0"/>
          <w:pgNumType w:fmt="decimal" w:start="1"/>
          <w:cols w:space="720" w:num="1"/>
          <w:docGrid w:linePitch="312" w:charSpace="0"/>
        </w:sectPr>
      </w:pPr>
    </w:p>
    <w:p>
      <w:pPr>
        <w:pStyle w:val="7"/>
        <w:bidi w:val="0"/>
      </w:pPr>
      <w:bookmarkStart w:id="19" w:name="_Toc2751"/>
      <w:bookmarkStart w:id="20" w:name="_Toc9057"/>
      <w:bookmarkStart w:id="21" w:name="_Toc13316"/>
      <w:bookmarkStart w:id="22" w:name="_Toc31845"/>
      <w:bookmarkStart w:id="23" w:name="_Toc30856"/>
      <w:bookmarkStart w:id="24" w:name="_Toc4230"/>
      <w:bookmarkStart w:id="25" w:name="_Toc32187"/>
      <w:bookmarkStart w:id="26" w:name="_Toc6150"/>
      <w:bookmarkStart w:id="27" w:name="_Toc13469"/>
      <w:bookmarkStart w:id="28" w:name="_Toc19835"/>
      <w:bookmarkStart w:id="29" w:name="_Toc23119"/>
      <w:bookmarkStart w:id="30" w:name="_Toc742"/>
      <w:bookmarkStart w:id="31" w:name="_Toc25935"/>
      <w:bookmarkStart w:id="32" w:name="_Toc11379"/>
      <w:bookmarkStart w:id="33" w:name="_Toc12364"/>
      <w:bookmarkStart w:id="34" w:name="_Toc21617"/>
      <w:r>
        <w:rPr>
          <w:rFonts w:hint="eastAsia"/>
        </w:rPr>
        <w:t>二、建设项目工程分析</w:t>
      </w:r>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p>
    <w:tbl>
      <w:tblPr>
        <w:tblStyle w:val="31"/>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74"/>
        <w:gridCol w:w="774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4" w:type="pct"/>
            <w:noWrap w:val="0"/>
            <w:vAlign w:val="center"/>
          </w:tcPr>
          <w:p>
            <w:pPr>
              <w:pStyle w:val="28"/>
              <w:adjustRightInd w:val="0"/>
              <w:snapToGrid w:val="0"/>
              <w:spacing w:before="0" w:beforeAutospacing="0" w:after="0" w:afterAutospacing="0"/>
              <w:jc w:val="center"/>
              <w:rPr>
                <w:rFonts w:hint="default" w:ascii="Times New Roman" w:hAnsi="Times New Roman" w:cs="Times New Roman"/>
                <w:sz w:val="21"/>
                <w:szCs w:val="21"/>
              </w:rPr>
            </w:pPr>
            <w:r>
              <w:rPr>
                <w:rFonts w:hint="default" w:ascii="Times New Roman" w:hAnsi="Times New Roman" w:cs="Times New Roman"/>
                <w:sz w:val="24"/>
                <w:szCs w:val="24"/>
              </w:rPr>
              <w:t>建设内容</w:t>
            </w:r>
          </w:p>
        </w:tc>
        <w:tc>
          <w:tcPr>
            <w:tcW w:w="4545" w:type="pct"/>
            <w:noWrap w:val="0"/>
            <w:vAlign w:val="top"/>
          </w:tcPr>
          <w:p>
            <w:pPr>
              <w:pStyle w:val="14"/>
              <w:bidi w:val="0"/>
              <w:rPr>
                <w:rFonts w:hint="default"/>
              </w:rPr>
            </w:pPr>
            <w:r>
              <w:rPr>
                <w:rFonts w:hint="eastAsia"/>
                <w:lang w:eastAsia="zh-CN"/>
              </w:rPr>
              <w:t>衡阳汐甄新能源有限公司</w:t>
            </w:r>
            <w:r>
              <w:rPr>
                <w:rFonts w:hint="default"/>
              </w:rPr>
              <w:t>拟投资</w:t>
            </w:r>
            <w:r>
              <w:rPr>
                <w:rFonts w:hint="default"/>
                <w:lang w:val="en-US" w:eastAsia="zh-CN"/>
              </w:rPr>
              <w:t>3000</w:t>
            </w:r>
            <w:r>
              <w:rPr>
                <w:rFonts w:hint="default"/>
              </w:rPr>
              <w:t>万元在</w:t>
            </w:r>
            <w:r>
              <w:rPr>
                <w:rFonts w:hint="default"/>
                <w:lang w:eastAsia="zh-CN"/>
              </w:rPr>
              <w:t>祁东县永昌街道南山大道南侧(南山大道与永湘路交叉口东南角)</w:t>
            </w:r>
            <w:r>
              <w:rPr>
                <w:rFonts w:hint="default"/>
              </w:rPr>
              <w:t>建设</w:t>
            </w:r>
            <w:r>
              <w:rPr>
                <w:rFonts w:hint="eastAsia"/>
                <w:lang w:eastAsia="zh-CN"/>
              </w:rPr>
              <w:t>衡阳汐甄新能源有限公司</w:t>
            </w:r>
            <w:r>
              <w:rPr>
                <w:rFonts w:hint="default"/>
                <w:lang w:eastAsia="zh-CN"/>
              </w:rPr>
              <w:t>南山加油站建设项目</w:t>
            </w:r>
            <w:r>
              <w:rPr>
                <w:rFonts w:hint="default"/>
              </w:rPr>
              <w:t>，本项目</w:t>
            </w:r>
            <w:r>
              <w:rPr>
                <w:rFonts w:hint="default"/>
                <w:lang w:eastAsia="zh-CN"/>
              </w:rPr>
              <w:t>为</w:t>
            </w:r>
            <w:r>
              <w:rPr>
                <w:rFonts w:hint="default"/>
              </w:rPr>
              <w:t>新建项目。</w:t>
            </w:r>
            <w:r>
              <w:rPr>
                <w:rFonts w:hint="default"/>
                <w:lang w:eastAsia="zh-CN"/>
              </w:rPr>
              <w:t>项目</w:t>
            </w:r>
            <w:r>
              <w:rPr>
                <w:rFonts w:hint="default"/>
              </w:rPr>
              <w:t>占地面积3333.3m²</w:t>
            </w:r>
            <w:r>
              <w:rPr>
                <w:rFonts w:hint="default"/>
                <w:lang w:eastAsia="zh-CN"/>
              </w:rPr>
              <w:t>，</w:t>
            </w:r>
            <w:r>
              <w:rPr>
                <w:rFonts w:hint="default"/>
              </w:rPr>
              <w:t>总建筑面积 1286.08m²，加油站规模为4机24枪。主要建设：业务用房</w:t>
            </w:r>
            <w:r>
              <w:rPr>
                <w:rFonts w:hint="eastAsia"/>
                <w:lang w:eastAsia="zh-CN"/>
              </w:rPr>
              <w:t>，</w:t>
            </w:r>
            <w:r>
              <w:rPr>
                <w:rFonts w:hint="default"/>
              </w:rPr>
              <w:t>加油罩棚，罐区油罐4个</w:t>
            </w:r>
            <w:r>
              <w:rPr>
                <w:rFonts w:hint="eastAsia"/>
                <w:lang w:eastAsia="zh-CN"/>
              </w:rPr>
              <w:t>（</w:t>
            </w:r>
            <w:r>
              <w:rPr>
                <w:rFonts w:hint="default"/>
              </w:rPr>
              <w:t>3汽</w:t>
            </w:r>
            <w:r>
              <w:rPr>
                <w:rFonts w:hint="default"/>
                <w:lang w:val="en-US" w:eastAsia="zh-CN"/>
              </w:rPr>
              <w:t>1</w:t>
            </w:r>
            <w:r>
              <w:rPr>
                <w:rFonts w:hint="default"/>
              </w:rPr>
              <w:t>柴，其中：</w:t>
            </w:r>
            <w:r>
              <w:rPr>
                <w:rFonts w:hint="default"/>
                <w:lang w:val="en-US" w:eastAsia="zh-CN"/>
              </w:rPr>
              <w:t>3个</w:t>
            </w:r>
            <w:r>
              <w:rPr>
                <w:rFonts w:hint="default"/>
              </w:rPr>
              <w:t>40m³汽油罐，</w:t>
            </w:r>
            <w:r>
              <w:rPr>
                <w:rFonts w:hint="default"/>
                <w:lang w:val="en-US" w:eastAsia="zh-CN"/>
              </w:rPr>
              <w:t>1个</w:t>
            </w:r>
            <w:r>
              <w:rPr>
                <w:rFonts w:hint="default"/>
              </w:rPr>
              <w:t>50m³柴油罐</w:t>
            </w:r>
            <w:r>
              <w:rPr>
                <w:rFonts w:hint="eastAsia"/>
                <w:lang w:eastAsia="zh-CN"/>
              </w:rPr>
              <w:t>）</w:t>
            </w:r>
            <w:r>
              <w:rPr>
                <w:rFonts w:hint="default"/>
                <w:lang w:eastAsia="zh-CN"/>
              </w:rPr>
              <w:t>，</w:t>
            </w:r>
            <w:r>
              <w:rPr>
                <w:rFonts w:hint="default"/>
              </w:rPr>
              <w:t>总储量170m³</w:t>
            </w:r>
            <w:r>
              <w:rPr>
                <w:rFonts w:hint="eastAsia"/>
                <w:lang w:eastAsia="zh-CN"/>
              </w:rPr>
              <w:t>，</w:t>
            </w:r>
            <w:r>
              <w:rPr>
                <w:rFonts w:hint="default"/>
              </w:rPr>
              <w:t>充电桩4台及相关附属设施，配套建设</w:t>
            </w:r>
            <w:r>
              <w:rPr>
                <w:rFonts w:hint="eastAsia"/>
                <w:lang w:eastAsia="zh-CN"/>
              </w:rPr>
              <w:t>：洗车设施、</w:t>
            </w:r>
            <w:r>
              <w:rPr>
                <w:rFonts w:hint="default"/>
              </w:rPr>
              <w:t>消防设施、强弱电系统、给排水系统、道路硬化、绿化、环保设施等。</w:t>
            </w:r>
          </w:p>
          <w:p>
            <w:pPr>
              <w:pStyle w:val="14"/>
              <w:bidi w:val="0"/>
            </w:pPr>
            <w:r>
              <w:rPr>
                <w:rFonts w:hint="eastAsia"/>
              </w:rPr>
              <w:t>根据</w:t>
            </w:r>
            <w:r>
              <w:rPr>
                <w:rFonts w:hint="eastAsia"/>
                <w:lang w:eastAsia="zh-CN"/>
              </w:rPr>
              <w:t>《汽车加油加气加氢站技术标准》（GB 50156-2021）</w:t>
            </w:r>
            <w:r>
              <w:rPr>
                <w:rFonts w:hint="eastAsia"/>
              </w:rPr>
              <w:t>规定要求，本加油站属于</w:t>
            </w:r>
            <w:r>
              <w:rPr>
                <w:rFonts w:hint="eastAsia"/>
                <w:lang w:eastAsia="zh-CN"/>
              </w:rPr>
              <w:t>二</w:t>
            </w:r>
            <w:r>
              <w:rPr>
                <w:rFonts w:hint="eastAsia"/>
              </w:rPr>
              <w:t>级加油站。</w:t>
            </w:r>
            <w:r>
              <w:t>预计年销售柴油</w:t>
            </w:r>
            <w:r>
              <w:rPr>
                <w:rFonts w:hint="eastAsia"/>
                <w:lang w:val="en-US" w:eastAsia="zh-CN"/>
              </w:rPr>
              <w:t>300吨</w:t>
            </w:r>
            <w:r>
              <w:t>、汽油</w:t>
            </w:r>
            <w:r>
              <w:rPr>
                <w:rFonts w:hint="eastAsia"/>
                <w:lang w:val="en-US" w:eastAsia="zh-CN"/>
              </w:rPr>
              <w:t>700吨</w:t>
            </w:r>
            <w:r>
              <w:t>。</w:t>
            </w:r>
          </w:p>
          <w:p>
            <w:pPr>
              <w:pStyle w:val="14"/>
              <w:bidi w:val="0"/>
              <w:rPr>
                <w:rFonts w:hint="default"/>
              </w:rPr>
            </w:pPr>
            <w:r>
              <w:t>根据《中华人民共和国环境保护法》、《中华人民共和国环境影响评价法》、《建设项目环境保护管理条例》以及《建设项目环境保护分类管理名录》（</w:t>
            </w:r>
            <w:r>
              <w:rPr>
                <w:rFonts w:hint="eastAsia"/>
              </w:rPr>
              <w:t>2021年1月1日</w:t>
            </w:r>
            <w:r>
              <w:t>）本项目属于</w:t>
            </w:r>
            <w:r>
              <w:rPr>
                <w:rFonts w:hint="eastAsia"/>
                <w:lang w:eastAsia="zh-CN"/>
              </w:rPr>
              <w:t>“</w:t>
            </w:r>
            <w:r>
              <w:rPr>
                <w:rFonts w:hint="eastAsia"/>
              </w:rPr>
              <w:t>五</w:t>
            </w:r>
            <w:r>
              <w:t>十、社会事业与服务业，</w:t>
            </w:r>
            <w:r>
              <w:rPr>
                <w:rFonts w:hint="eastAsia"/>
              </w:rPr>
              <w:t>119</w:t>
            </w:r>
            <w:r>
              <w:t>加油站、加气站，</w:t>
            </w:r>
            <w:r>
              <w:rPr>
                <w:rFonts w:hint="eastAsia"/>
              </w:rPr>
              <w:t>城市建成区</w:t>
            </w:r>
            <w:r>
              <w:t>新建、扩建</w:t>
            </w:r>
            <w:r>
              <w:rPr>
                <w:rFonts w:hint="eastAsia"/>
              </w:rPr>
              <w:t>加油站</w:t>
            </w:r>
            <w:r>
              <w:rPr>
                <w:rFonts w:hint="eastAsia"/>
                <w:lang w:eastAsia="zh-CN"/>
              </w:rPr>
              <w:t>”</w:t>
            </w:r>
            <w:r>
              <w:t>，应编制环境影响报告表。</w:t>
            </w:r>
            <w:r>
              <w:rPr>
                <w:rFonts w:hint="eastAsia"/>
                <w:lang w:eastAsia="zh-CN"/>
              </w:rPr>
              <w:t>衡阳汐甄新能源有限公司</w:t>
            </w:r>
            <w:r>
              <w:t>站委托</w:t>
            </w:r>
            <w:r>
              <w:rPr>
                <w:rFonts w:hint="eastAsia"/>
                <w:lang w:eastAsia="zh-CN"/>
              </w:rPr>
              <w:t>长沙博均环保科技有限公司</w:t>
            </w:r>
            <w:r>
              <w:t>进行环境影响报告表的编制工作。我单位接受委托后，立即组织专业环评人员进行深入的现场踏勘和调研工作，收集并查阅相关的工艺、技术参数、图件等文件资料。根据本项目特点，结合项目区周围环境特征，按照国家及地方环境保护的有关规定，以及环评技术导则要求，编制完成了《</w:t>
            </w:r>
            <w:r>
              <w:rPr>
                <w:rFonts w:hint="eastAsia"/>
                <w:lang w:eastAsia="zh-CN"/>
              </w:rPr>
              <w:t>衡阳汐甄新能源有限公司南山加油站建设项目</w:t>
            </w:r>
            <w:r>
              <w:t>环境影响报告表》，供上报审批。</w:t>
            </w:r>
          </w:p>
          <w:p>
            <w:pPr>
              <w:pStyle w:val="14"/>
              <w:bidi w:val="0"/>
              <w:rPr>
                <w:rFonts w:hint="default" w:ascii="Times New Roman" w:hAnsi="Times New Roman" w:cs="Times New Roman"/>
              </w:rPr>
            </w:pPr>
            <w:r>
              <w:rPr>
                <w:rFonts w:hint="default" w:ascii="Times New Roman" w:hAnsi="Times New Roman" w:cs="Times New Roman"/>
              </w:rPr>
              <w:t>1、项目基本情况</w:t>
            </w:r>
          </w:p>
          <w:p>
            <w:pPr>
              <w:pStyle w:val="14"/>
              <w:ind w:firstLine="480"/>
              <w:rPr>
                <w:rFonts w:hint="default" w:ascii="Times New Roman" w:hAnsi="Times New Roman" w:cs="Times New Roman"/>
              </w:rPr>
            </w:pPr>
            <w:r>
              <w:rPr>
                <w:rFonts w:hint="default" w:ascii="Times New Roman" w:hAnsi="Times New Roman" w:cs="Times New Roman"/>
                <w:lang w:val="zh-CN"/>
              </w:rPr>
              <w:t>（1）</w:t>
            </w:r>
            <w:r>
              <w:rPr>
                <w:rFonts w:hint="default" w:ascii="Times New Roman" w:hAnsi="Times New Roman" w:cs="Times New Roman"/>
              </w:rPr>
              <w:t>项目名称：</w:t>
            </w:r>
            <w:r>
              <w:rPr>
                <w:rFonts w:hint="eastAsia" w:cs="Times New Roman"/>
                <w:lang w:eastAsia="zh-CN"/>
              </w:rPr>
              <w:t>衡阳汐甄新能源有限公司南山加油站建设项目</w:t>
            </w:r>
            <w:r>
              <w:rPr>
                <w:rFonts w:hint="default" w:ascii="Times New Roman" w:hAnsi="Times New Roman" w:cs="Times New Roman"/>
              </w:rPr>
              <w:t>；</w:t>
            </w:r>
          </w:p>
          <w:p>
            <w:pPr>
              <w:pStyle w:val="14"/>
              <w:ind w:firstLine="480"/>
              <w:rPr>
                <w:rFonts w:hint="default" w:ascii="Times New Roman" w:hAnsi="Times New Roman" w:cs="Times New Roman"/>
              </w:rPr>
            </w:pPr>
            <w:r>
              <w:rPr>
                <w:rFonts w:hint="default" w:ascii="Times New Roman" w:hAnsi="Times New Roman" w:cs="Times New Roman"/>
              </w:rPr>
              <w:t>（2）建设单位：</w:t>
            </w:r>
            <w:r>
              <w:rPr>
                <w:rFonts w:hint="eastAsia" w:cs="Times New Roman"/>
                <w:lang w:eastAsia="zh-CN"/>
              </w:rPr>
              <w:t>衡阳汐甄新能源有限公司</w:t>
            </w:r>
            <w:r>
              <w:rPr>
                <w:rFonts w:hint="default" w:ascii="Times New Roman" w:hAnsi="Times New Roman" w:cs="Times New Roman"/>
              </w:rPr>
              <w:t>；</w:t>
            </w:r>
          </w:p>
          <w:p>
            <w:pPr>
              <w:pStyle w:val="14"/>
              <w:ind w:firstLine="480"/>
              <w:rPr>
                <w:rFonts w:hint="default" w:ascii="Times New Roman" w:hAnsi="Times New Roman" w:cs="Times New Roman"/>
              </w:rPr>
            </w:pPr>
            <w:r>
              <w:rPr>
                <w:rFonts w:hint="default" w:ascii="Times New Roman" w:hAnsi="Times New Roman" w:cs="Times New Roman"/>
              </w:rPr>
              <w:t xml:space="preserve">（3）建设性质：新建； </w:t>
            </w:r>
          </w:p>
          <w:p>
            <w:pPr>
              <w:pStyle w:val="14"/>
              <w:ind w:firstLine="480"/>
              <w:rPr>
                <w:rFonts w:hint="default" w:ascii="Times New Roman" w:hAnsi="Times New Roman" w:cs="Times New Roman"/>
              </w:rPr>
            </w:pPr>
            <w:r>
              <w:rPr>
                <w:rFonts w:hint="default" w:ascii="Times New Roman" w:hAnsi="Times New Roman" w:cs="Times New Roman"/>
              </w:rPr>
              <w:t>（4）建设地址：</w:t>
            </w:r>
            <w:r>
              <w:rPr>
                <w:rFonts w:hint="eastAsia" w:cs="Times New Roman"/>
                <w:lang w:eastAsia="zh-CN"/>
              </w:rPr>
              <w:t>祁东县永昌街道南山大道南侧(南山大道与永湘路交叉口东南角)</w:t>
            </w:r>
            <w:r>
              <w:rPr>
                <w:rFonts w:hint="default" w:ascii="Times New Roman" w:hAnsi="Times New Roman" w:cs="Times New Roman"/>
              </w:rPr>
              <w:t>；</w:t>
            </w:r>
          </w:p>
          <w:p>
            <w:pPr>
              <w:pStyle w:val="14"/>
              <w:ind w:firstLine="480"/>
              <w:rPr>
                <w:rFonts w:hint="default" w:ascii="Times New Roman" w:hAnsi="Times New Roman" w:cs="Times New Roman"/>
              </w:rPr>
            </w:pPr>
            <w:r>
              <w:rPr>
                <w:rFonts w:hint="default" w:ascii="Times New Roman" w:hAnsi="Times New Roman" w:cs="Times New Roman"/>
              </w:rPr>
              <w:t>（5）项目投资：总投资</w:t>
            </w:r>
            <w:r>
              <w:rPr>
                <w:rFonts w:hint="eastAsia" w:cs="Times New Roman"/>
                <w:lang w:val="en-US" w:eastAsia="zh-CN"/>
              </w:rPr>
              <w:t>3000</w:t>
            </w:r>
            <w:r>
              <w:rPr>
                <w:rFonts w:hint="default" w:ascii="Times New Roman" w:hAnsi="Times New Roman" w:cs="Times New Roman"/>
              </w:rPr>
              <w:t>万元；</w:t>
            </w:r>
          </w:p>
          <w:p>
            <w:pPr>
              <w:pStyle w:val="14"/>
              <w:ind w:firstLine="480"/>
              <w:rPr>
                <w:rFonts w:hint="default" w:ascii="Times New Roman" w:hAnsi="Times New Roman" w:cs="Times New Roman"/>
              </w:rPr>
            </w:pPr>
            <w:r>
              <w:rPr>
                <w:rFonts w:hint="default" w:ascii="Times New Roman" w:hAnsi="Times New Roman" w:cs="Times New Roman"/>
              </w:rPr>
              <w:t>（6）项目用地：总占地面积</w:t>
            </w:r>
            <w:r>
              <w:rPr>
                <w:rFonts w:hint="eastAsia" w:cs="Times New Roman"/>
                <w:lang w:val="en-US" w:eastAsia="zh-CN"/>
              </w:rPr>
              <w:t>3333.3m²</w:t>
            </w:r>
            <w:r>
              <w:rPr>
                <w:rFonts w:hint="default" w:ascii="Times New Roman" w:hAnsi="Times New Roman" w:cs="Times New Roman"/>
              </w:rPr>
              <w:t>，总建筑面积</w:t>
            </w:r>
            <w:r>
              <w:rPr>
                <w:rFonts w:hint="eastAsia" w:cs="Times New Roman"/>
                <w:lang w:val="en-US" w:eastAsia="zh-CN"/>
              </w:rPr>
              <w:t>1286.08</w:t>
            </w:r>
            <w:r>
              <w:rPr>
                <w:rFonts w:hint="default" w:ascii="Times New Roman" w:hAnsi="Times New Roman" w:cs="Times New Roman"/>
              </w:rPr>
              <w:t>m²；</w:t>
            </w:r>
          </w:p>
          <w:p>
            <w:pPr>
              <w:pStyle w:val="14"/>
              <w:bidi w:val="0"/>
              <w:rPr>
                <w:rFonts w:hint="default" w:ascii="Times New Roman" w:hAnsi="Times New Roman" w:cs="Times New Roman"/>
              </w:rPr>
            </w:pPr>
            <w:r>
              <w:rPr>
                <w:rFonts w:hint="default" w:ascii="Times New Roman" w:hAnsi="Times New Roman" w:cs="Times New Roman"/>
              </w:rPr>
              <w:t>（7）建设规模：</w:t>
            </w:r>
            <w:r>
              <w:rPr>
                <w:rFonts w:hint="default" w:ascii="Times New Roman" w:hAnsi="Times New Roman" w:cs="Times New Roman"/>
                <w:lang w:val="en-US" w:eastAsia="zh-CN"/>
              </w:rPr>
              <w:t>项目建成后，</w:t>
            </w:r>
            <w:r>
              <w:rPr>
                <w:rFonts w:hint="eastAsia" w:cs="Times New Roman"/>
                <w:lang w:val="en-US" w:eastAsia="zh-CN"/>
              </w:rPr>
              <w:t>年销售汽油700吨、柴油300吨</w:t>
            </w:r>
            <w:r>
              <w:rPr>
                <w:rFonts w:hint="default" w:ascii="Times New Roman" w:hAnsi="Times New Roman" w:cs="Times New Roman"/>
              </w:rPr>
              <w:t>。</w:t>
            </w:r>
          </w:p>
          <w:p>
            <w:pPr>
              <w:keepNext w:val="0"/>
              <w:keepLines w:val="0"/>
              <w:pageBreakBefore w:val="0"/>
              <w:widowControl w:val="0"/>
              <w:kinsoku/>
              <w:wordWrap/>
              <w:overflowPunct/>
              <w:topLinePunct w:val="0"/>
              <w:bidi w:val="0"/>
              <w:snapToGrid/>
              <w:spacing w:line="360" w:lineRule="auto"/>
              <w:ind w:firstLine="561"/>
              <w:textAlignment w:val="auto"/>
              <w:outlineLvl w:val="9"/>
              <w:rPr>
                <w:rFonts w:hint="default" w:ascii="Times New Roman" w:hAnsi="Times New Roman" w:cs="Times New Roman"/>
              </w:rPr>
            </w:pPr>
            <w:r>
              <w:rPr>
                <w:rFonts w:hint="default" w:ascii="Times New Roman" w:hAnsi="Times New Roman" w:cs="Times New Roman"/>
                <w:lang w:val="en-US" w:eastAsia="zh-CN"/>
              </w:rPr>
              <w:t>2</w:t>
            </w:r>
            <w:r>
              <w:rPr>
                <w:rFonts w:hint="default" w:ascii="Times New Roman" w:hAnsi="Times New Roman" w:cs="Times New Roman"/>
              </w:rPr>
              <w:t>、工程内容及规模</w:t>
            </w:r>
          </w:p>
          <w:p>
            <w:pPr>
              <w:keepNext w:val="0"/>
              <w:keepLines w:val="0"/>
              <w:pageBreakBefore w:val="0"/>
              <w:widowControl w:val="0"/>
              <w:kinsoku/>
              <w:wordWrap/>
              <w:overflowPunct/>
              <w:topLinePunct w:val="0"/>
              <w:bidi w:val="0"/>
              <w:snapToGrid/>
              <w:spacing w:line="360" w:lineRule="auto"/>
              <w:ind w:firstLine="561"/>
              <w:textAlignment w:val="auto"/>
              <w:outlineLvl w:val="9"/>
              <w:rPr>
                <w:rFonts w:hint="default" w:ascii="Times New Roman" w:hAnsi="Times New Roman" w:cs="Times New Roman"/>
              </w:rPr>
            </w:pPr>
            <w:r>
              <w:rPr>
                <w:rFonts w:hint="default" w:ascii="Times New Roman" w:hAnsi="Times New Roman" w:cs="Times New Roman"/>
              </w:rPr>
              <w:t>（1）建设内容</w:t>
            </w:r>
          </w:p>
          <w:p>
            <w:pPr>
              <w:pStyle w:val="14"/>
              <w:bidi w:val="0"/>
              <w:rPr>
                <w:rFonts w:hint="default" w:ascii="Times New Roman" w:hAnsi="Times New Roman" w:cs="Times New Roman"/>
                <w:lang w:val="en-US" w:eastAsia="zh-CN"/>
              </w:rPr>
            </w:pPr>
            <w:r>
              <w:t>本项目</w:t>
            </w:r>
            <w:r>
              <w:rPr>
                <w:rFonts w:hint="eastAsia"/>
                <w:lang w:eastAsia="zh-CN"/>
              </w:rPr>
              <w:t>占</w:t>
            </w:r>
            <w:r>
              <w:t>地面积</w:t>
            </w:r>
            <w:r>
              <w:rPr>
                <w:rFonts w:hint="eastAsia" w:cs="Times New Roman"/>
                <w:lang w:val="en-US" w:eastAsia="zh-CN"/>
              </w:rPr>
              <w:t>3333.3</w:t>
            </w:r>
            <w:r>
              <w:t>m²，建筑面积</w:t>
            </w:r>
            <w:r>
              <w:rPr>
                <w:rFonts w:hint="eastAsia" w:cs="Times New Roman"/>
                <w:lang w:val="en-US" w:eastAsia="zh-CN"/>
              </w:rPr>
              <w:t>1286.08</w:t>
            </w:r>
            <w:r>
              <w:t>m²。年销售</w:t>
            </w:r>
            <w:r>
              <w:rPr>
                <w:rFonts w:hint="eastAsia" w:cs="Times New Roman"/>
                <w:lang w:val="en-US" w:eastAsia="zh-CN"/>
              </w:rPr>
              <w:t>汽油700吨、柴油300吨</w:t>
            </w:r>
            <w:r>
              <w:t>。项目主要工程情况见下表。</w:t>
            </w:r>
          </w:p>
          <w:p>
            <w:pPr>
              <w:pStyle w:val="36"/>
              <w:bidi w:val="0"/>
              <w:rPr>
                <w:rFonts w:hint="default" w:ascii="Times New Roman" w:hAnsi="Times New Roman" w:cs="Times New Roman"/>
              </w:rPr>
            </w:pPr>
            <w:r>
              <w:rPr>
                <w:rFonts w:hint="default" w:ascii="Times New Roman" w:hAnsi="Times New Roman" w:cs="Times New Roman"/>
                <w:lang w:eastAsia="zh-CN"/>
              </w:rPr>
              <w:t>表</w:t>
            </w:r>
            <w:r>
              <w:rPr>
                <w:rFonts w:hint="default" w:ascii="Times New Roman" w:hAnsi="Times New Roman" w:cs="Times New Roman"/>
                <w:lang w:val="en-US" w:eastAsia="zh-CN"/>
              </w:rPr>
              <w:t>2.1-1</w:t>
            </w:r>
            <w:r>
              <w:rPr>
                <w:rFonts w:hint="default" w:ascii="Times New Roman" w:hAnsi="Times New Roman" w:cs="Times New Roman"/>
              </w:rPr>
              <w:t>项目建设内容一览表</w:t>
            </w:r>
          </w:p>
          <w:tbl>
            <w:tblPr>
              <w:tblStyle w:val="3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
            <w:tblGrid>
              <w:gridCol w:w="899"/>
              <w:gridCol w:w="1115"/>
              <w:gridCol w:w="856"/>
              <w:gridCol w:w="332"/>
              <w:gridCol w:w="3660"/>
              <w:gridCol w:w="6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jc w:val="center"/>
              </w:trPr>
              <w:tc>
                <w:tcPr>
                  <w:tcW w:w="597" w:type="pct"/>
                  <w:tcBorders>
                    <w:tl2br w:val="nil"/>
                    <w:tr2bl w:val="nil"/>
                  </w:tcBorders>
                  <w:noWrap w:val="0"/>
                  <w:vAlign w:val="center"/>
                </w:tcPr>
                <w:p>
                  <w:pPr>
                    <w:pStyle w:val="35"/>
                    <w:bidi w:val="0"/>
                    <w:rPr>
                      <w:rFonts w:hint="default" w:ascii="Times New Roman" w:hAnsi="Times New Roman" w:cs="Times New Roman"/>
                    </w:rPr>
                  </w:pPr>
                  <w:r>
                    <w:rPr>
                      <w:rFonts w:hint="default" w:ascii="Times New Roman" w:hAnsi="Times New Roman" w:cs="Times New Roman"/>
                    </w:rPr>
                    <w:t>工程类别</w:t>
                  </w:r>
                </w:p>
              </w:tc>
              <w:tc>
                <w:tcPr>
                  <w:tcW w:w="741" w:type="pct"/>
                  <w:tcBorders>
                    <w:tl2br w:val="nil"/>
                    <w:tr2bl w:val="nil"/>
                  </w:tcBorders>
                  <w:noWrap w:val="0"/>
                  <w:vAlign w:val="center"/>
                </w:tcPr>
                <w:p>
                  <w:pPr>
                    <w:pStyle w:val="35"/>
                    <w:bidi w:val="0"/>
                    <w:rPr>
                      <w:rFonts w:hint="default" w:ascii="Times New Roman" w:hAnsi="Times New Roman" w:cs="Times New Roman"/>
                    </w:rPr>
                  </w:pPr>
                  <w:r>
                    <w:rPr>
                      <w:rFonts w:hint="default" w:ascii="Times New Roman" w:hAnsi="Times New Roman" w:cs="Times New Roman"/>
                    </w:rPr>
                    <w:t>工程内容</w:t>
                  </w:r>
                </w:p>
              </w:tc>
              <w:tc>
                <w:tcPr>
                  <w:tcW w:w="3222" w:type="pct"/>
                  <w:gridSpan w:val="3"/>
                  <w:tcBorders>
                    <w:tl2br w:val="nil"/>
                    <w:tr2bl w:val="nil"/>
                  </w:tcBorders>
                  <w:noWrap w:val="0"/>
                  <w:vAlign w:val="center"/>
                </w:tcPr>
                <w:p>
                  <w:pPr>
                    <w:pStyle w:val="35"/>
                    <w:bidi w:val="0"/>
                    <w:rPr>
                      <w:rFonts w:hint="default" w:ascii="Times New Roman" w:hAnsi="Times New Roman" w:cs="Times New Roman"/>
                    </w:rPr>
                  </w:pPr>
                  <w:r>
                    <w:rPr>
                      <w:rFonts w:hint="default" w:ascii="Times New Roman" w:hAnsi="Times New Roman" w:cs="Times New Roman"/>
                    </w:rPr>
                    <w:t>建设规模</w:t>
                  </w:r>
                </w:p>
              </w:tc>
              <w:tc>
                <w:tcPr>
                  <w:tcW w:w="438" w:type="pct"/>
                  <w:tcBorders>
                    <w:tl2br w:val="nil"/>
                    <w:tr2bl w:val="nil"/>
                  </w:tcBorders>
                  <w:noWrap w:val="0"/>
                  <w:vAlign w:val="center"/>
                </w:tcPr>
                <w:p>
                  <w:pPr>
                    <w:pStyle w:val="35"/>
                    <w:bidi w:val="0"/>
                    <w:rPr>
                      <w:rFonts w:hint="default" w:ascii="Times New Roman" w:hAnsi="Times New Roman" w:cs="Times New Roman"/>
                    </w:rPr>
                  </w:pPr>
                  <w:r>
                    <w:rPr>
                      <w:rFonts w:hint="default" w:ascii="Times New Roman" w:hAnsi="Times New Roman" w:cs="Times New Roma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jc w:val="center"/>
              </w:trPr>
              <w:tc>
                <w:tcPr>
                  <w:tcW w:w="597" w:type="pct"/>
                  <w:vMerge w:val="restart"/>
                  <w:tcBorders>
                    <w:tl2br w:val="nil"/>
                    <w:tr2bl w:val="nil"/>
                  </w:tcBorders>
                  <w:noWrap w:val="0"/>
                  <w:vAlign w:val="center"/>
                </w:tcPr>
                <w:p>
                  <w:pPr>
                    <w:pStyle w:val="35"/>
                    <w:bidi w:val="0"/>
                    <w:rPr>
                      <w:rFonts w:hint="default" w:ascii="Times New Roman" w:hAnsi="Times New Roman" w:cs="Times New Roman"/>
                    </w:rPr>
                  </w:pPr>
                  <w:r>
                    <w:rPr>
                      <w:rFonts w:hint="default" w:ascii="Times New Roman" w:hAnsi="Times New Roman" w:cs="Times New Roman"/>
                    </w:rPr>
                    <w:t>主体工程</w:t>
                  </w:r>
                </w:p>
              </w:tc>
              <w:tc>
                <w:tcPr>
                  <w:tcW w:w="741" w:type="pct"/>
                  <w:tcBorders>
                    <w:tl2br w:val="nil"/>
                    <w:tr2bl w:val="nil"/>
                  </w:tcBorders>
                  <w:noWrap w:val="0"/>
                  <w:vAlign w:val="center"/>
                </w:tcPr>
                <w:p>
                  <w:pPr>
                    <w:pStyle w:val="35"/>
                    <w:bidi w:val="0"/>
                    <w:rPr>
                      <w:rFonts w:hint="default" w:ascii="Times New Roman" w:hAnsi="Times New Roman" w:cs="Times New Roman"/>
                      <w:lang w:val="en-US" w:eastAsia="zh-CN"/>
                    </w:rPr>
                  </w:pPr>
                  <w:r>
                    <w:rPr>
                      <w:rFonts w:hint="default" w:ascii="Times New Roman" w:hAnsi="Times New Roman" w:cs="Times New Roman"/>
                      <w:lang w:val="en-US" w:eastAsia="zh-CN"/>
                    </w:rPr>
                    <w:t>罩棚</w:t>
                  </w:r>
                </w:p>
              </w:tc>
              <w:tc>
                <w:tcPr>
                  <w:tcW w:w="568" w:type="pct"/>
                  <w:tcBorders>
                    <w:tl2br w:val="nil"/>
                    <w:tr2bl w:val="nil"/>
                  </w:tcBorders>
                  <w:noWrap w:val="0"/>
                  <w:vAlign w:val="center"/>
                </w:tcPr>
                <w:p>
                  <w:pPr>
                    <w:pStyle w:val="35"/>
                    <w:bidi w:val="0"/>
                    <w:rPr>
                      <w:rFonts w:hint="default" w:ascii="Times New Roman" w:hAnsi="Times New Roman" w:cs="Times New Roman"/>
                      <w:lang w:val="en-US" w:eastAsia="zh-CN"/>
                    </w:rPr>
                  </w:pPr>
                  <w:r>
                    <w:rPr>
                      <w:rFonts w:hint="default" w:ascii="Times New Roman" w:hAnsi="Times New Roman" w:cs="Times New Roman"/>
                      <w:lang w:val="en-US" w:eastAsia="zh-CN"/>
                    </w:rPr>
                    <w:t>325</w:t>
                  </w:r>
                  <w:r>
                    <w:rPr>
                      <w:rFonts w:hint="default" w:ascii="Times New Roman" w:hAnsi="Times New Roman" w:cs="Times New Roman"/>
                    </w:rPr>
                    <w:t>m²</w:t>
                  </w:r>
                  <w:r>
                    <w:rPr>
                      <w:rFonts w:hint="default" w:ascii="Times New Roman" w:hAnsi="Times New Roman" w:cs="Times New Roman"/>
                      <w:lang w:eastAsia="zh-CN"/>
                    </w:rPr>
                    <w:t>（</w:t>
                  </w:r>
                  <w:r>
                    <w:rPr>
                      <w:rFonts w:hint="default" w:ascii="Times New Roman" w:hAnsi="Times New Roman" w:cs="Times New Roman"/>
                      <w:lang w:val="en-US" w:eastAsia="zh-CN"/>
                    </w:rPr>
                    <w:t>投影面积</w:t>
                  </w:r>
                  <w:r>
                    <w:rPr>
                      <w:rFonts w:hint="default" w:ascii="Times New Roman" w:hAnsi="Times New Roman" w:cs="Times New Roman"/>
                      <w:lang w:eastAsia="zh-CN"/>
                    </w:rPr>
                    <w:t>）</w:t>
                  </w:r>
                </w:p>
              </w:tc>
              <w:tc>
                <w:tcPr>
                  <w:tcW w:w="2653" w:type="pct"/>
                  <w:gridSpan w:val="2"/>
                  <w:tcBorders>
                    <w:tl2br w:val="nil"/>
                    <w:tr2bl w:val="nil"/>
                  </w:tcBorders>
                  <w:noWrap w:val="0"/>
                  <w:vAlign w:val="center"/>
                </w:tcPr>
                <w:p>
                  <w:pPr>
                    <w:pStyle w:val="35"/>
                    <w:bidi w:val="0"/>
                    <w:rPr>
                      <w:rFonts w:hint="default" w:ascii="Times New Roman" w:hAnsi="Times New Roman" w:cs="Times New Roman"/>
                      <w:lang w:val="en-US" w:eastAsia="zh-CN"/>
                    </w:rPr>
                  </w:pPr>
                  <w:r>
                    <w:rPr>
                      <w:rFonts w:hint="default" w:ascii="Times New Roman" w:hAnsi="Times New Roman" w:cs="Times New Roman"/>
                      <w:lang w:val="en-US" w:eastAsia="zh-CN"/>
                    </w:rPr>
                    <w:t>位于站区中部区域、储罐区地上，采用混凝土柱，轻钢网架制作，轻钢网架结构，净高8m</w:t>
                  </w:r>
                </w:p>
              </w:tc>
              <w:tc>
                <w:tcPr>
                  <w:tcW w:w="438" w:type="pct"/>
                  <w:tcBorders>
                    <w:tl2br w:val="nil"/>
                    <w:tr2bl w:val="nil"/>
                  </w:tcBorders>
                  <w:noWrap w:val="0"/>
                  <w:vAlign w:val="center"/>
                </w:tcPr>
                <w:p>
                  <w:pPr>
                    <w:pStyle w:val="35"/>
                    <w:bidi w:val="0"/>
                    <w:rPr>
                      <w:rFonts w:hint="default" w:ascii="Times New Roman" w:hAnsi="Times New Roman" w:cs="Times New Roman"/>
                      <w:lang w:val="en-US" w:eastAsia="zh-CN"/>
                    </w:rPr>
                  </w:pPr>
                  <w:r>
                    <w:rPr>
                      <w:rFonts w:hint="default" w:ascii="Times New Roman" w:hAnsi="Times New Roman" w:cs="Times New Roman"/>
                      <w:lang w:val="en-US"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jc w:val="center"/>
              </w:trPr>
              <w:tc>
                <w:tcPr>
                  <w:tcW w:w="597" w:type="pct"/>
                  <w:vMerge w:val="continue"/>
                  <w:tcBorders>
                    <w:tl2br w:val="nil"/>
                    <w:tr2bl w:val="nil"/>
                  </w:tcBorders>
                  <w:noWrap w:val="0"/>
                  <w:vAlign w:val="center"/>
                </w:tcPr>
                <w:p>
                  <w:pPr>
                    <w:pStyle w:val="35"/>
                    <w:bidi w:val="0"/>
                    <w:rPr>
                      <w:rFonts w:hint="default" w:ascii="Times New Roman" w:hAnsi="Times New Roman" w:cs="Times New Roman"/>
                    </w:rPr>
                  </w:pPr>
                </w:p>
              </w:tc>
              <w:tc>
                <w:tcPr>
                  <w:tcW w:w="741" w:type="pct"/>
                  <w:tcBorders>
                    <w:tl2br w:val="nil"/>
                    <w:tr2bl w:val="nil"/>
                  </w:tcBorders>
                  <w:noWrap w:val="0"/>
                  <w:vAlign w:val="center"/>
                </w:tcPr>
                <w:p>
                  <w:pPr>
                    <w:pStyle w:val="35"/>
                    <w:bidi w:val="0"/>
                    <w:rPr>
                      <w:rFonts w:hint="default" w:ascii="Times New Roman" w:hAnsi="Times New Roman" w:cs="Times New Roman"/>
                      <w:lang w:val="en-US" w:eastAsia="zh-CN"/>
                    </w:rPr>
                  </w:pPr>
                  <w:r>
                    <w:rPr>
                      <w:rFonts w:hint="default" w:ascii="Times New Roman" w:hAnsi="Times New Roman" w:cs="Times New Roman"/>
                      <w:lang w:val="en-US" w:eastAsia="zh-CN"/>
                    </w:rPr>
                    <w:t>加油区</w:t>
                  </w:r>
                </w:p>
              </w:tc>
              <w:tc>
                <w:tcPr>
                  <w:tcW w:w="568" w:type="pct"/>
                  <w:tcBorders>
                    <w:tl2br w:val="nil"/>
                    <w:tr2bl w:val="nil"/>
                  </w:tcBorders>
                  <w:noWrap w:val="0"/>
                  <w:vAlign w:val="center"/>
                </w:tcPr>
                <w:p>
                  <w:pPr>
                    <w:pStyle w:val="35"/>
                    <w:bidi w:val="0"/>
                    <w:rPr>
                      <w:rFonts w:hint="default" w:ascii="Times New Roman" w:hAnsi="Times New Roman" w:cs="Times New Roman"/>
                      <w:lang w:val="en-US" w:eastAsia="zh-CN"/>
                    </w:rPr>
                  </w:pPr>
                  <w:r>
                    <w:rPr>
                      <w:rFonts w:hint="default" w:ascii="Times New Roman" w:hAnsi="Times New Roman" w:cs="Times New Roman"/>
                      <w:lang w:val="en-US" w:eastAsia="zh-CN"/>
                    </w:rPr>
                    <w:t>/</w:t>
                  </w:r>
                </w:p>
              </w:tc>
              <w:tc>
                <w:tcPr>
                  <w:tcW w:w="2653" w:type="pct"/>
                  <w:gridSpan w:val="2"/>
                  <w:tcBorders>
                    <w:tl2br w:val="nil"/>
                    <w:tr2bl w:val="nil"/>
                  </w:tcBorders>
                  <w:noWrap w:val="0"/>
                  <w:vAlign w:val="center"/>
                </w:tcPr>
                <w:p>
                  <w:pPr>
                    <w:pStyle w:val="35"/>
                    <w:bidi w:val="0"/>
                    <w:rPr>
                      <w:rFonts w:hint="default" w:ascii="Times New Roman" w:hAnsi="Times New Roman" w:cs="Times New Roman"/>
                      <w:lang w:val="en-US" w:eastAsia="zh-CN"/>
                    </w:rPr>
                  </w:pPr>
                  <w:r>
                    <w:rPr>
                      <w:rFonts w:hint="default" w:ascii="Times New Roman" w:hAnsi="Times New Roman" w:cs="Times New Roman"/>
                      <w:lang w:val="en-US" w:eastAsia="zh-CN"/>
                    </w:rPr>
                    <w:t>位于项目中部区域，加油岛设4</w:t>
                  </w:r>
                  <w:r>
                    <w:rPr>
                      <w:rFonts w:hint="default" w:ascii="Times New Roman" w:hAnsi="Times New Roman" w:cs="Times New Roman"/>
                      <w:lang w:eastAsia="zh-CN"/>
                    </w:rPr>
                    <w:t>台</w:t>
                  </w:r>
                  <w:r>
                    <w:rPr>
                      <w:rFonts w:hint="default" w:ascii="Times New Roman" w:hAnsi="Times New Roman" w:cs="Times New Roman"/>
                    </w:rPr>
                    <w:t>24枪</w:t>
                  </w:r>
                  <w:r>
                    <w:rPr>
                      <w:rFonts w:hint="default" w:ascii="Times New Roman" w:hAnsi="Times New Roman" w:cs="Times New Roman"/>
                      <w:lang w:eastAsia="zh-CN"/>
                    </w:rPr>
                    <w:t>加油机</w:t>
                  </w:r>
                  <w:r>
                    <w:rPr>
                      <w:rFonts w:hint="default" w:ascii="Times New Roman" w:hAnsi="Times New Roman" w:cs="Times New Roman"/>
                      <w:lang w:val="en-US" w:eastAsia="zh-CN"/>
                    </w:rPr>
                    <w:t>，均为潜油泵式油气回收型加油机。年销售汽油700t、柴油300t。</w:t>
                  </w:r>
                </w:p>
              </w:tc>
              <w:tc>
                <w:tcPr>
                  <w:tcW w:w="438" w:type="pct"/>
                  <w:tcBorders>
                    <w:tl2br w:val="nil"/>
                    <w:tr2bl w:val="nil"/>
                  </w:tcBorders>
                  <w:noWrap w:val="0"/>
                  <w:vAlign w:val="center"/>
                </w:tcPr>
                <w:p>
                  <w:pPr>
                    <w:pStyle w:val="35"/>
                    <w:bidi w:val="0"/>
                    <w:rPr>
                      <w:rFonts w:hint="default" w:ascii="Times New Roman" w:hAnsi="Times New Roman" w:cs="Times New Roman"/>
                      <w:lang w:val="en-US" w:eastAsia="zh-CN"/>
                    </w:rPr>
                  </w:pPr>
                  <w:r>
                    <w:rPr>
                      <w:rFonts w:hint="default" w:ascii="Times New Roman" w:hAnsi="Times New Roman" w:cs="Times New Roman"/>
                      <w:lang w:val="en-US"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jc w:val="center"/>
              </w:trPr>
              <w:tc>
                <w:tcPr>
                  <w:tcW w:w="597" w:type="pct"/>
                  <w:vMerge w:val="restart"/>
                  <w:tcBorders>
                    <w:tl2br w:val="nil"/>
                    <w:tr2bl w:val="nil"/>
                  </w:tcBorders>
                  <w:noWrap w:val="0"/>
                  <w:vAlign w:val="center"/>
                </w:tcPr>
                <w:p>
                  <w:pPr>
                    <w:pStyle w:val="35"/>
                    <w:bidi w:val="0"/>
                    <w:rPr>
                      <w:rFonts w:hint="default" w:ascii="Times New Roman" w:hAnsi="Times New Roman" w:cs="Times New Roman"/>
                      <w:lang w:val="en-US" w:eastAsia="zh-CN"/>
                    </w:rPr>
                  </w:pPr>
                  <w:r>
                    <w:rPr>
                      <w:rFonts w:hint="default" w:ascii="Times New Roman" w:hAnsi="Times New Roman" w:cs="Times New Roman"/>
                      <w:lang w:val="en-US" w:eastAsia="zh-CN"/>
                    </w:rPr>
                    <w:t>辅助工程</w:t>
                  </w:r>
                </w:p>
              </w:tc>
              <w:tc>
                <w:tcPr>
                  <w:tcW w:w="741" w:type="pct"/>
                  <w:tcBorders>
                    <w:tl2br w:val="nil"/>
                    <w:tr2bl w:val="nil"/>
                  </w:tcBorders>
                  <w:noWrap w:val="0"/>
                  <w:vAlign w:val="center"/>
                </w:tcPr>
                <w:p>
                  <w:pPr>
                    <w:pStyle w:val="35"/>
                    <w:bidi w:val="0"/>
                    <w:rPr>
                      <w:rFonts w:hint="default" w:ascii="Times New Roman" w:hAnsi="Times New Roman" w:cs="Times New Roman"/>
                      <w:lang w:val="en-US" w:eastAsia="zh-CN"/>
                    </w:rPr>
                  </w:pPr>
                  <w:r>
                    <w:rPr>
                      <w:rFonts w:hint="default" w:ascii="Times New Roman" w:hAnsi="Times New Roman" w:cs="Times New Roman"/>
                      <w:lang w:val="en-US" w:eastAsia="zh-CN"/>
                    </w:rPr>
                    <w:t>站房</w:t>
                  </w:r>
                </w:p>
              </w:tc>
              <w:tc>
                <w:tcPr>
                  <w:tcW w:w="568" w:type="pct"/>
                  <w:tcBorders>
                    <w:tl2br w:val="nil"/>
                    <w:tr2bl w:val="nil"/>
                  </w:tcBorders>
                  <w:noWrap w:val="0"/>
                  <w:vAlign w:val="center"/>
                </w:tcPr>
                <w:p>
                  <w:pPr>
                    <w:pStyle w:val="35"/>
                    <w:bidi w:val="0"/>
                    <w:rPr>
                      <w:rFonts w:hint="default" w:ascii="Times New Roman" w:hAnsi="Times New Roman" w:cs="Times New Roman"/>
                      <w:lang w:val="en-US" w:eastAsia="zh-CN"/>
                    </w:rPr>
                  </w:pPr>
                  <w:r>
                    <w:rPr>
                      <w:rFonts w:hint="default" w:ascii="Times New Roman" w:hAnsi="Times New Roman" w:cs="Times New Roman"/>
                      <w:lang w:val="en-US" w:eastAsia="zh-CN"/>
                    </w:rPr>
                    <w:t>395.94</w:t>
                  </w:r>
                  <w:r>
                    <w:rPr>
                      <w:rFonts w:hint="default" w:ascii="Times New Roman" w:hAnsi="Times New Roman" w:cs="Times New Roman"/>
                    </w:rPr>
                    <w:t>m²</w:t>
                  </w:r>
                </w:p>
              </w:tc>
              <w:tc>
                <w:tcPr>
                  <w:tcW w:w="2653" w:type="pct"/>
                  <w:gridSpan w:val="2"/>
                  <w:tcBorders>
                    <w:tl2br w:val="nil"/>
                    <w:tr2bl w:val="nil"/>
                  </w:tcBorders>
                  <w:noWrap w:val="0"/>
                  <w:vAlign w:val="center"/>
                </w:tcPr>
                <w:p>
                  <w:pPr>
                    <w:pStyle w:val="35"/>
                    <w:bidi w:val="0"/>
                    <w:rPr>
                      <w:rFonts w:hint="default" w:ascii="Times New Roman" w:hAnsi="Times New Roman" w:cs="Times New Roman"/>
                      <w:lang w:val="en-US" w:eastAsia="zh-CN"/>
                    </w:rPr>
                  </w:pPr>
                  <w:r>
                    <w:rPr>
                      <w:rFonts w:hint="default" w:ascii="Times New Roman" w:hAnsi="Times New Roman" w:cs="Times New Roman"/>
                      <w:lang w:val="en-US" w:eastAsia="zh-CN"/>
                    </w:rPr>
                    <w:t>框架结构，</w:t>
                  </w:r>
                  <w:r>
                    <w:rPr>
                      <w:rFonts w:hint="eastAsia" w:cs="Times New Roman"/>
                      <w:lang w:val="en-US" w:eastAsia="zh-CN"/>
                    </w:rPr>
                    <w:t>2</w:t>
                  </w:r>
                  <w:r>
                    <w:rPr>
                      <w:rFonts w:hint="default" w:ascii="Times New Roman" w:hAnsi="Times New Roman" w:cs="Times New Roman"/>
                      <w:lang w:val="en-US" w:eastAsia="zh-CN"/>
                    </w:rPr>
                    <w:t>F，站房内设有营业区、办公室</w:t>
                  </w:r>
                </w:p>
              </w:tc>
              <w:tc>
                <w:tcPr>
                  <w:tcW w:w="438" w:type="pct"/>
                  <w:tcBorders>
                    <w:tl2br w:val="nil"/>
                    <w:tr2bl w:val="nil"/>
                  </w:tcBorders>
                  <w:noWrap w:val="0"/>
                  <w:vAlign w:val="center"/>
                </w:tcPr>
                <w:p>
                  <w:pPr>
                    <w:pStyle w:val="35"/>
                    <w:bidi w:val="0"/>
                    <w:rPr>
                      <w:rFonts w:hint="default" w:ascii="Times New Roman" w:hAnsi="Times New Roman" w:cs="Times New Roman"/>
                      <w:lang w:val="en-US" w:eastAsia="zh-CN"/>
                    </w:rPr>
                  </w:pPr>
                  <w:r>
                    <w:rPr>
                      <w:rFonts w:hint="default" w:ascii="Times New Roman" w:hAnsi="Times New Roman" w:cs="Times New Roman"/>
                      <w:lang w:val="en-US"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jc w:val="center"/>
              </w:trPr>
              <w:tc>
                <w:tcPr>
                  <w:tcW w:w="597" w:type="pct"/>
                  <w:vMerge w:val="continue"/>
                  <w:tcBorders>
                    <w:tl2br w:val="nil"/>
                    <w:tr2bl w:val="nil"/>
                  </w:tcBorders>
                  <w:noWrap w:val="0"/>
                  <w:vAlign w:val="center"/>
                </w:tcPr>
                <w:p>
                  <w:pPr>
                    <w:pStyle w:val="35"/>
                    <w:bidi w:val="0"/>
                    <w:rPr>
                      <w:rFonts w:hint="default" w:ascii="Times New Roman" w:hAnsi="Times New Roman" w:cs="Times New Roman"/>
                      <w:lang w:val="en-US" w:eastAsia="zh-CN"/>
                    </w:rPr>
                  </w:pPr>
                </w:p>
              </w:tc>
              <w:tc>
                <w:tcPr>
                  <w:tcW w:w="741" w:type="pct"/>
                  <w:tcBorders>
                    <w:tl2br w:val="nil"/>
                    <w:tr2bl w:val="nil"/>
                  </w:tcBorders>
                  <w:noWrap w:val="0"/>
                  <w:vAlign w:val="center"/>
                </w:tcPr>
                <w:p>
                  <w:pPr>
                    <w:pStyle w:val="35"/>
                    <w:bidi w:val="0"/>
                    <w:rPr>
                      <w:rFonts w:hint="default" w:ascii="Times New Roman" w:hAnsi="Times New Roman" w:eastAsia="宋体" w:cs="Times New Roman"/>
                      <w:kern w:val="0"/>
                      <w:sz w:val="21"/>
                      <w:szCs w:val="21"/>
                      <w:lang w:val="en-US" w:eastAsia="zh-CN" w:bidi="ar-SA"/>
                    </w:rPr>
                  </w:pPr>
                  <w:r>
                    <w:rPr>
                      <w:rFonts w:hint="default" w:ascii="Times New Roman" w:hAnsi="Times New Roman" w:cs="Times New Roman"/>
                      <w:lang w:val="en-US" w:eastAsia="zh-CN"/>
                    </w:rPr>
                    <w:t>辅助用房</w:t>
                  </w:r>
                </w:p>
              </w:tc>
              <w:tc>
                <w:tcPr>
                  <w:tcW w:w="568" w:type="pct"/>
                  <w:tcBorders>
                    <w:tl2br w:val="nil"/>
                    <w:tr2bl w:val="nil"/>
                  </w:tcBorders>
                  <w:noWrap w:val="0"/>
                  <w:vAlign w:val="center"/>
                </w:tcPr>
                <w:p>
                  <w:pPr>
                    <w:pStyle w:val="35"/>
                    <w:bidi w:val="0"/>
                    <w:rPr>
                      <w:rFonts w:hint="default" w:ascii="Times New Roman" w:hAnsi="Times New Roman" w:eastAsia="宋体" w:cs="Times New Roman"/>
                      <w:kern w:val="0"/>
                      <w:sz w:val="21"/>
                      <w:szCs w:val="21"/>
                      <w:lang w:val="en-US" w:eastAsia="zh-CN" w:bidi="ar-SA"/>
                    </w:rPr>
                  </w:pPr>
                  <w:r>
                    <w:rPr>
                      <w:rFonts w:hint="default" w:ascii="Times New Roman" w:hAnsi="Times New Roman" w:cs="Times New Roman"/>
                      <w:lang w:val="en-US" w:eastAsia="zh-CN"/>
                    </w:rPr>
                    <w:t>542.94</w:t>
                  </w:r>
                  <w:r>
                    <w:rPr>
                      <w:rFonts w:hint="default" w:ascii="Times New Roman" w:hAnsi="Times New Roman" w:cs="Times New Roman"/>
                    </w:rPr>
                    <w:t>m²</w:t>
                  </w:r>
                </w:p>
              </w:tc>
              <w:tc>
                <w:tcPr>
                  <w:tcW w:w="2653" w:type="pct"/>
                  <w:gridSpan w:val="2"/>
                  <w:tcBorders>
                    <w:tl2br w:val="nil"/>
                    <w:tr2bl w:val="nil"/>
                  </w:tcBorders>
                  <w:noWrap w:val="0"/>
                  <w:vAlign w:val="center"/>
                </w:tcPr>
                <w:p>
                  <w:pPr>
                    <w:pStyle w:val="35"/>
                    <w:bidi w:val="0"/>
                    <w:rPr>
                      <w:rFonts w:hint="default" w:ascii="Times New Roman" w:hAnsi="Times New Roman" w:eastAsia="宋体" w:cs="Times New Roman"/>
                      <w:kern w:val="0"/>
                      <w:sz w:val="21"/>
                      <w:szCs w:val="21"/>
                      <w:lang w:val="en-US" w:eastAsia="zh-CN" w:bidi="ar-SA"/>
                    </w:rPr>
                  </w:pPr>
                  <w:r>
                    <w:rPr>
                      <w:rFonts w:hint="default" w:ascii="Times New Roman" w:hAnsi="Times New Roman" w:cs="Times New Roman"/>
                      <w:lang w:val="en-US" w:eastAsia="zh-CN"/>
                    </w:rPr>
                    <w:t>砖混结构，3F，设有仓库、卫生间</w:t>
                  </w:r>
                  <w:r>
                    <w:rPr>
                      <w:rFonts w:hint="eastAsia" w:cs="Times New Roman"/>
                      <w:lang w:val="en-US" w:eastAsia="zh-CN"/>
                    </w:rPr>
                    <w:t>等</w:t>
                  </w:r>
                </w:p>
              </w:tc>
              <w:tc>
                <w:tcPr>
                  <w:tcW w:w="438" w:type="pct"/>
                  <w:tcBorders>
                    <w:tl2br w:val="nil"/>
                    <w:tr2bl w:val="nil"/>
                  </w:tcBorders>
                  <w:noWrap w:val="0"/>
                  <w:vAlign w:val="center"/>
                </w:tcPr>
                <w:p>
                  <w:pPr>
                    <w:pStyle w:val="35"/>
                    <w:bidi w:val="0"/>
                    <w:rPr>
                      <w:rFonts w:hint="default" w:ascii="Times New Roman" w:hAnsi="Times New Roman" w:cs="Times New Roman"/>
                      <w:lang w:val="en-US" w:eastAsia="zh-CN"/>
                    </w:rPr>
                  </w:pPr>
                  <w:r>
                    <w:rPr>
                      <w:rFonts w:hint="default" w:ascii="Times New Roman" w:hAnsi="Times New Roman" w:cs="Times New Roman"/>
                      <w:lang w:val="en-US"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jc w:val="center"/>
              </w:trPr>
              <w:tc>
                <w:tcPr>
                  <w:tcW w:w="597" w:type="pct"/>
                  <w:vMerge w:val="continue"/>
                  <w:tcBorders>
                    <w:tl2br w:val="nil"/>
                    <w:tr2bl w:val="nil"/>
                  </w:tcBorders>
                  <w:noWrap w:val="0"/>
                  <w:vAlign w:val="center"/>
                </w:tcPr>
                <w:p>
                  <w:pPr>
                    <w:pStyle w:val="35"/>
                    <w:bidi w:val="0"/>
                    <w:rPr>
                      <w:rFonts w:hint="default" w:ascii="Times New Roman" w:hAnsi="Times New Roman" w:cs="Times New Roman"/>
                      <w:lang w:val="en-US" w:eastAsia="zh-CN"/>
                    </w:rPr>
                  </w:pPr>
                </w:p>
              </w:tc>
              <w:tc>
                <w:tcPr>
                  <w:tcW w:w="741" w:type="pct"/>
                  <w:tcBorders>
                    <w:tl2br w:val="nil"/>
                    <w:tr2bl w:val="nil"/>
                  </w:tcBorders>
                  <w:noWrap w:val="0"/>
                  <w:vAlign w:val="center"/>
                </w:tcPr>
                <w:p>
                  <w:pPr>
                    <w:pStyle w:val="35"/>
                    <w:bidi w:val="0"/>
                    <w:rPr>
                      <w:rFonts w:hint="default" w:ascii="Times New Roman" w:hAnsi="Times New Roman" w:cs="Times New Roman"/>
                      <w:lang w:val="en-US" w:eastAsia="zh-CN"/>
                    </w:rPr>
                  </w:pPr>
                  <w:r>
                    <w:rPr>
                      <w:rFonts w:hint="default" w:ascii="Times New Roman" w:hAnsi="Times New Roman" w:cs="Times New Roman"/>
                      <w:lang w:val="en-US" w:eastAsia="zh-CN"/>
                    </w:rPr>
                    <w:t>洗车机</w:t>
                  </w:r>
                </w:p>
              </w:tc>
              <w:tc>
                <w:tcPr>
                  <w:tcW w:w="568" w:type="pct"/>
                  <w:tcBorders>
                    <w:tl2br w:val="nil"/>
                    <w:tr2bl w:val="nil"/>
                  </w:tcBorders>
                  <w:noWrap w:val="0"/>
                  <w:vAlign w:val="center"/>
                </w:tcPr>
                <w:p>
                  <w:pPr>
                    <w:pStyle w:val="35"/>
                    <w:bidi w:val="0"/>
                    <w:rPr>
                      <w:rFonts w:hint="default" w:ascii="Times New Roman" w:hAnsi="Times New Roman" w:cs="Times New Roman"/>
                      <w:lang w:val="en-US" w:eastAsia="zh-CN"/>
                    </w:rPr>
                  </w:pPr>
                  <w:r>
                    <w:rPr>
                      <w:rFonts w:hint="default" w:ascii="Times New Roman" w:hAnsi="Times New Roman" w:cs="Times New Roman"/>
                      <w:lang w:val="en-US" w:eastAsia="zh-CN"/>
                    </w:rPr>
                    <w:t>40</w:t>
                  </w:r>
                  <w:r>
                    <w:rPr>
                      <w:rFonts w:hint="default" w:ascii="Times New Roman" w:hAnsi="Times New Roman" w:cs="Times New Roman"/>
                    </w:rPr>
                    <w:t>m²</w:t>
                  </w:r>
                </w:p>
              </w:tc>
              <w:tc>
                <w:tcPr>
                  <w:tcW w:w="2653" w:type="pct"/>
                  <w:gridSpan w:val="2"/>
                  <w:tcBorders>
                    <w:tl2br w:val="nil"/>
                    <w:tr2bl w:val="nil"/>
                  </w:tcBorders>
                  <w:noWrap w:val="0"/>
                  <w:vAlign w:val="center"/>
                </w:tcPr>
                <w:p>
                  <w:pPr>
                    <w:pStyle w:val="35"/>
                    <w:bidi w:val="0"/>
                    <w:rPr>
                      <w:rFonts w:hint="default" w:ascii="Times New Roman" w:hAnsi="Times New Roman" w:cs="Times New Roman"/>
                      <w:lang w:val="en-US" w:eastAsia="zh-CN"/>
                    </w:rPr>
                  </w:pPr>
                  <w:r>
                    <w:rPr>
                      <w:rFonts w:hint="default" w:ascii="Times New Roman" w:hAnsi="Times New Roman" w:cs="Times New Roman"/>
                      <w:lang w:val="en-US" w:eastAsia="zh-CN"/>
                    </w:rPr>
                    <w:t>框架结构，1F，位于厂区南部</w:t>
                  </w:r>
                </w:p>
              </w:tc>
              <w:tc>
                <w:tcPr>
                  <w:tcW w:w="438" w:type="pct"/>
                  <w:tcBorders>
                    <w:tl2br w:val="nil"/>
                    <w:tr2bl w:val="nil"/>
                  </w:tcBorders>
                  <w:noWrap w:val="0"/>
                  <w:vAlign w:val="center"/>
                </w:tcPr>
                <w:p>
                  <w:pPr>
                    <w:pStyle w:val="35"/>
                    <w:bidi w:val="0"/>
                    <w:rPr>
                      <w:rFonts w:hint="default" w:ascii="Times New Roman" w:hAnsi="Times New Roman" w:cs="Times New Roman"/>
                      <w:lang w:val="en-US" w:eastAsia="zh-CN"/>
                    </w:rPr>
                  </w:pPr>
                  <w:r>
                    <w:rPr>
                      <w:rFonts w:hint="default" w:ascii="Times New Roman" w:hAnsi="Times New Roman" w:cs="Times New Roman"/>
                      <w:lang w:val="en-US"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jc w:val="center"/>
              </w:trPr>
              <w:tc>
                <w:tcPr>
                  <w:tcW w:w="597" w:type="pct"/>
                  <w:vMerge w:val="continue"/>
                  <w:tcBorders>
                    <w:tl2br w:val="nil"/>
                    <w:tr2bl w:val="nil"/>
                  </w:tcBorders>
                  <w:noWrap w:val="0"/>
                  <w:vAlign w:val="center"/>
                </w:tcPr>
                <w:p>
                  <w:pPr>
                    <w:pStyle w:val="35"/>
                    <w:bidi w:val="0"/>
                    <w:rPr>
                      <w:rFonts w:hint="default" w:ascii="Times New Roman" w:hAnsi="Times New Roman" w:cs="Times New Roman"/>
                      <w:lang w:val="en-US" w:eastAsia="zh-CN"/>
                    </w:rPr>
                  </w:pPr>
                </w:p>
              </w:tc>
              <w:tc>
                <w:tcPr>
                  <w:tcW w:w="741" w:type="pct"/>
                  <w:tcBorders>
                    <w:tl2br w:val="nil"/>
                    <w:tr2bl w:val="nil"/>
                  </w:tcBorders>
                  <w:noWrap w:val="0"/>
                  <w:vAlign w:val="center"/>
                </w:tcPr>
                <w:p>
                  <w:pPr>
                    <w:pStyle w:val="35"/>
                    <w:bidi w:val="0"/>
                    <w:rPr>
                      <w:rFonts w:hint="default" w:ascii="Times New Roman" w:hAnsi="Times New Roman" w:cs="Times New Roman"/>
                      <w:lang w:val="en-US" w:eastAsia="zh-CN"/>
                    </w:rPr>
                  </w:pPr>
                  <w:r>
                    <w:rPr>
                      <w:rFonts w:hint="default" w:ascii="Times New Roman" w:hAnsi="Times New Roman" w:cs="Times New Roman"/>
                      <w:lang w:val="en-US" w:eastAsia="zh-CN"/>
                    </w:rPr>
                    <w:t>充电停车区</w:t>
                  </w:r>
                </w:p>
              </w:tc>
              <w:tc>
                <w:tcPr>
                  <w:tcW w:w="568" w:type="pct"/>
                  <w:tcBorders>
                    <w:tl2br w:val="nil"/>
                    <w:tr2bl w:val="nil"/>
                  </w:tcBorders>
                  <w:noWrap w:val="0"/>
                  <w:vAlign w:val="center"/>
                </w:tcPr>
                <w:p>
                  <w:pPr>
                    <w:pStyle w:val="35"/>
                    <w:bidi w:val="0"/>
                    <w:rPr>
                      <w:rFonts w:hint="default" w:ascii="Times New Roman" w:hAnsi="Times New Roman" w:cs="Times New Roman"/>
                      <w:lang w:val="en-US" w:eastAsia="zh-CN"/>
                    </w:rPr>
                  </w:pPr>
                  <w:r>
                    <w:rPr>
                      <w:rFonts w:hint="default" w:ascii="Times New Roman" w:hAnsi="Times New Roman" w:cs="Times New Roman"/>
                      <w:lang w:val="en-US" w:eastAsia="zh-CN"/>
                    </w:rPr>
                    <w:t>852.9m²</w:t>
                  </w:r>
                </w:p>
              </w:tc>
              <w:tc>
                <w:tcPr>
                  <w:tcW w:w="2653" w:type="pct"/>
                  <w:gridSpan w:val="2"/>
                  <w:tcBorders>
                    <w:tl2br w:val="nil"/>
                    <w:tr2bl w:val="nil"/>
                  </w:tcBorders>
                  <w:noWrap w:val="0"/>
                  <w:vAlign w:val="center"/>
                </w:tcPr>
                <w:p>
                  <w:pPr>
                    <w:pStyle w:val="35"/>
                    <w:bidi w:val="0"/>
                    <w:rPr>
                      <w:rFonts w:hint="default" w:ascii="Times New Roman" w:hAnsi="Times New Roman" w:cs="Times New Roman"/>
                      <w:lang w:val="en-US" w:eastAsia="zh-CN"/>
                    </w:rPr>
                  </w:pPr>
                  <w:r>
                    <w:rPr>
                      <w:rFonts w:hint="default" w:ascii="Times New Roman" w:hAnsi="Times New Roman" w:cs="Times New Roman"/>
                      <w:lang w:val="en-US" w:eastAsia="zh-CN"/>
                    </w:rPr>
                    <w:t>位于厂区南部</w:t>
                  </w:r>
                </w:p>
              </w:tc>
              <w:tc>
                <w:tcPr>
                  <w:tcW w:w="438" w:type="pct"/>
                  <w:tcBorders>
                    <w:tl2br w:val="nil"/>
                    <w:tr2bl w:val="nil"/>
                  </w:tcBorders>
                  <w:noWrap w:val="0"/>
                  <w:vAlign w:val="center"/>
                </w:tcPr>
                <w:p>
                  <w:pPr>
                    <w:pStyle w:val="35"/>
                    <w:bidi w:val="0"/>
                    <w:rPr>
                      <w:rFonts w:hint="default" w:ascii="Times New Roman" w:hAnsi="Times New Roman" w:cs="Times New Roman"/>
                      <w:lang w:val="en-US" w:eastAsia="zh-CN"/>
                    </w:rPr>
                  </w:pPr>
                  <w:r>
                    <w:rPr>
                      <w:rFonts w:hint="default" w:ascii="Times New Roman" w:hAnsi="Times New Roman" w:cs="Times New Roman"/>
                      <w:lang w:val="en-US"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jc w:val="center"/>
              </w:trPr>
              <w:tc>
                <w:tcPr>
                  <w:tcW w:w="597" w:type="pct"/>
                  <w:vMerge w:val="restart"/>
                  <w:tcBorders>
                    <w:tl2br w:val="nil"/>
                    <w:tr2bl w:val="nil"/>
                  </w:tcBorders>
                  <w:noWrap w:val="0"/>
                  <w:vAlign w:val="center"/>
                </w:tcPr>
                <w:p>
                  <w:pPr>
                    <w:pStyle w:val="35"/>
                    <w:bidi w:val="0"/>
                    <w:rPr>
                      <w:rFonts w:hint="default" w:ascii="Times New Roman" w:hAnsi="Times New Roman" w:cs="Times New Roman"/>
                      <w:lang w:val="en-US" w:eastAsia="zh-CN"/>
                    </w:rPr>
                  </w:pPr>
                  <w:r>
                    <w:rPr>
                      <w:rFonts w:hint="default" w:ascii="Times New Roman" w:hAnsi="Times New Roman" w:cs="Times New Roman"/>
                      <w:lang w:val="en-US" w:eastAsia="zh-CN"/>
                    </w:rPr>
                    <w:t>储运工程</w:t>
                  </w:r>
                </w:p>
              </w:tc>
              <w:tc>
                <w:tcPr>
                  <w:tcW w:w="741" w:type="pct"/>
                  <w:tcBorders>
                    <w:tl2br w:val="nil"/>
                    <w:tr2bl w:val="nil"/>
                  </w:tcBorders>
                  <w:noWrap w:val="0"/>
                  <w:vAlign w:val="center"/>
                </w:tcPr>
                <w:p>
                  <w:pPr>
                    <w:pStyle w:val="35"/>
                    <w:bidi w:val="0"/>
                    <w:rPr>
                      <w:rFonts w:hint="default" w:ascii="Times New Roman" w:hAnsi="Times New Roman" w:cs="Times New Roman"/>
                      <w:lang w:val="en-US" w:eastAsia="zh-CN"/>
                    </w:rPr>
                  </w:pPr>
                  <w:r>
                    <w:rPr>
                      <w:rFonts w:hint="default" w:ascii="Times New Roman" w:hAnsi="Times New Roman" w:cs="Times New Roman"/>
                      <w:lang w:val="en-US" w:eastAsia="zh-CN"/>
                    </w:rPr>
                    <w:t>油罐区</w:t>
                  </w:r>
                </w:p>
              </w:tc>
              <w:tc>
                <w:tcPr>
                  <w:tcW w:w="3222" w:type="pct"/>
                  <w:gridSpan w:val="3"/>
                  <w:tcBorders>
                    <w:tl2br w:val="nil"/>
                    <w:tr2bl w:val="nil"/>
                  </w:tcBorders>
                  <w:noWrap w:val="0"/>
                  <w:vAlign w:val="center"/>
                </w:tcPr>
                <w:p>
                  <w:pPr>
                    <w:pStyle w:val="35"/>
                    <w:bidi w:val="0"/>
                    <w:rPr>
                      <w:rFonts w:hint="default" w:ascii="Times New Roman" w:hAnsi="Times New Roman" w:cs="Times New Roman"/>
                      <w:lang w:val="en-US" w:eastAsia="zh-CN"/>
                    </w:rPr>
                  </w:pPr>
                  <w:r>
                    <w:rPr>
                      <w:rFonts w:hint="default" w:ascii="Times New Roman" w:hAnsi="Times New Roman" w:cs="Times New Roman"/>
                      <w:lang w:val="en-US" w:eastAsia="zh-CN"/>
                    </w:rPr>
                    <w:t>位于项目中部区域，建设4个卧式SF双层油罐，2个40m</w:t>
                  </w:r>
                  <w:r>
                    <w:rPr>
                      <w:rFonts w:hint="default" w:ascii="Times New Roman" w:hAnsi="Times New Roman" w:eastAsia="微软雅黑" w:cs="Times New Roman"/>
                      <w:lang w:val="en-US" w:eastAsia="zh-CN"/>
                    </w:rPr>
                    <w:t>³</w:t>
                  </w:r>
                  <w:r>
                    <w:rPr>
                      <w:rFonts w:hint="default" w:ascii="Times New Roman" w:hAnsi="Times New Roman" w:cs="Times New Roman"/>
                      <w:lang w:val="en-US" w:eastAsia="zh-CN"/>
                    </w:rPr>
                    <w:t>的92#汽油罐、1个40m</w:t>
                  </w:r>
                  <w:r>
                    <w:rPr>
                      <w:rFonts w:hint="default" w:ascii="Times New Roman" w:hAnsi="Times New Roman" w:eastAsia="微软雅黑" w:cs="Times New Roman"/>
                      <w:lang w:val="en-US" w:eastAsia="zh-CN"/>
                    </w:rPr>
                    <w:t>³</w:t>
                  </w:r>
                  <w:r>
                    <w:rPr>
                      <w:rFonts w:hint="default" w:ascii="Times New Roman" w:hAnsi="Times New Roman" w:cs="Times New Roman"/>
                      <w:lang w:val="en-US" w:eastAsia="zh-CN"/>
                    </w:rPr>
                    <w:t>的95#汽油罐、1个50m</w:t>
                  </w:r>
                  <w:r>
                    <w:rPr>
                      <w:rFonts w:hint="default" w:ascii="Times New Roman" w:hAnsi="Times New Roman" w:eastAsia="微软雅黑" w:cs="Times New Roman"/>
                      <w:lang w:val="en-US" w:eastAsia="zh-CN"/>
                    </w:rPr>
                    <w:t>³</w:t>
                  </w:r>
                  <w:r>
                    <w:rPr>
                      <w:rFonts w:hint="default" w:ascii="Times New Roman" w:hAnsi="Times New Roman" w:cs="Times New Roman"/>
                      <w:lang w:val="en-US" w:eastAsia="zh-CN"/>
                    </w:rPr>
                    <w:t>的0#柴油罐。</w:t>
                  </w:r>
                </w:p>
                <w:p>
                  <w:pPr>
                    <w:pStyle w:val="35"/>
                    <w:bidi w:val="0"/>
                    <w:rPr>
                      <w:rFonts w:hint="default" w:ascii="Times New Roman" w:hAnsi="Times New Roman" w:cs="Times New Roman"/>
                      <w:lang w:val="en-US" w:eastAsia="zh-CN"/>
                    </w:rPr>
                  </w:pPr>
                  <w:r>
                    <w:rPr>
                      <w:rFonts w:hint="default" w:ascii="Times New Roman" w:hAnsi="Times New Roman" w:cs="Times New Roman"/>
                      <w:lang w:val="en-US" w:eastAsia="zh-CN"/>
                    </w:rPr>
                    <w:t>油罐内层采用7mm厚（封头厚8mm）的Q235-A钢板制造，外层采用4mm厚的强化玻璃纤维(FRP)；有关基础采用钢筋混凝土筏板基础，油罐与底板采用防抱带连接及钢鞍座固定，级配砂石回填；火灾危险性类别为甲类，能满足7度抗震设防的规范要求。</w:t>
                  </w:r>
                </w:p>
              </w:tc>
              <w:tc>
                <w:tcPr>
                  <w:tcW w:w="438" w:type="pct"/>
                  <w:tcBorders>
                    <w:tl2br w:val="nil"/>
                    <w:tr2bl w:val="nil"/>
                  </w:tcBorders>
                  <w:noWrap w:val="0"/>
                  <w:vAlign w:val="center"/>
                </w:tcPr>
                <w:p>
                  <w:pPr>
                    <w:pStyle w:val="35"/>
                    <w:bidi w:val="0"/>
                    <w:rPr>
                      <w:rFonts w:hint="default" w:ascii="Times New Roman" w:hAnsi="Times New Roman" w:cs="Times New Roman"/>
                      <w:lang w:val="en-US" w:eastAsia="zh-CN"/>
                    </w:rPr>
                  </w:pPr>
                  <w:r>
                    <w:rPr>
                      <w:rFonts w:hint="default" w:ascii="Times New Roman" w:hAnsi="Times New Roman" w:cs="Times New Roman"/>
                      <w:lang w:val="en-US"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jc w:val="center"/>
              </w:trPr>
              <w:tc>
                <w:tcPr>
                  <w:tcW w:w="597" w:type="pct"/>
                  <w:vMerge w:val="continue"/>
                  <w:tcBorders>
                    <w:tl2br w:val="nil"/>
                    <w:tr2bl w:val="nil"/>
                  </w:tcBorders>
                  <w:noWrap w:val="0"/>
                  <w:vAlign w:val="center"/>
                </w:tcPr>
                <w:p>
                  <w:pPr>
                    <w:pStyle w:val="35"/>
                    <w:bidi w:val="0"/>
                    <w:rPr>
                      <w:rFonts w:hint="default" w:ascii="Times New Roman" w:hAnsi="Times New Roman" w:cs="Times New Roman"/>
                      <w:lang w:val="en-US" w:eastAsia="zh-CN"/>
                    </w:rPr>
                  </w:pPr>
                </w:p>
              </w:tc>
              <w:tc>
                <w:tcPr>
                  <w:tcW w:w="741" w:type="pct"/>
                  <w:tcBorders>
                    <w:tl2br w:val="nil"/>
                    <w:tr2bl w:val="nil"/>
                  </w:tcBorders>
                  <w:noWrap w:val="0"/>
                  <w:vAlign w:val="center"/>
                </w:tcPr>
                <w:p>
                  <w:pPr>
                    <w:pStyle w:val="35"/>
                    <w:bidi w:val="0"/>
                    <w:rPr>
                      <w:rFonts w:hint="default" w:ascii="Times New Roman" w:hAnsi="Times New Roman" w:cs="Times New Roman"/>
                      <w:lang w:val="en-US" w:eastAsia="zh-CN"/>
                    </w:rPr>
                  </w:pPr>
                  <w:r>
                    <w:rPr>
                      <w:rFonts w:hint="default" w:ascii="Times New Roman" w:hAnsi="Times New Roman" w:cs="Times New Roman"/>
                      <w:lang w:val="en-US" w:eastAsia="zh-CN"/>
                    </w:rPr>
                    <w:t>运输</w:t>
                  </w:r>
                </w:p>
              </w:tc>
              <w:tc>
                <w:tcPr>
                  <w:tcW w:w="3222" w:type="pct"/>
                  <w:gridSpan w:val="3"/>
                  <w:tcBorders>
                    <w:tl2br w:val="nil"/>
                    <w:tr2bl w:val="nil"/>
                  </w:tcBorders>
                  <w:noWrap w:val="0"/>
                  <w:vAlign w:val="center"/>
                </w:tcPr>
                <w:p>
                  <w:pPr>
                    <w:pStyle w:val="35"/>
                    <w:bidi w:val="0"/>
                    <w:rPr>
                      <w:rFonts w:hint="default" w:ascii="Times New Roman" w:hAnsi="Times New Roman" w:cs="Times New Roman"/>
                      <w:lang w:val="en-US" w:eastAsia="zh-CN"/>
                    </w:rPr>
                  </w:pPr>
                  <w:r>
                    <w:rPr>
                      <w:rFonts w:hint="default" w:ascii="Times New Roman" w:hAnsi="Times New Roman" w:cs="Times New Roman"/>
                      <w:lang w:val="en-US" w:eastAsia="zh-CN"/>
                    </w:rPr>
                    <w:t>站外运输由站外油罐车运输；站内运输由站区供油管网输送。</w:t>
                  </w:r>
                </w:p>
              </w:tc>
              <w:tc>
                <w:tcPr>
                  <w:tcW w:w="438" w:type="pct"/>
                  <w:tcBorders>
                    <w:tl2br w:val="nil"/>
                    <w:tr2bl w:val="nil"/>
                  </w:tcBorders>
                  <w:noWrap w:val="0"/>
                  <w:vAlign w:val="center"/>
                </w:tcPr>
                <w:p>
                  <w:pPr>
                    <w:pStyle w:val="35"/>
                    <w:bidi w:val="0"/>
                    <w:rPr>
                      <w:rFonts w:hint="default" w:ascii="Times New Roman" w:hAnsi="Times New Roman" w:cs="Times New Roman"/>
                      <w:lang w:val="en-US" w:eastAsia="zh-CN"/>
                    </w:rPr>
                  </w:pPr>
                  <w:r>
                    <w:rPr>
                      <w:rFonts w:hint="default" w:ascii="Times New Roman" w:hAnsi="Times New Roman" w:cs="Times New Roman"/>
                      <w:lang w:val="en-US"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jc w:val="center"/>
              </w:trPr>
              <w:tc>
                <w:tcPr>
                  <w:tcW w:w="597" w:type="pct"/>
                  <w:vMerge w:val="restart"/>
                  <w:tcBorders>
                    <w:tl2br w:val="nil"/>
                    <w:tr2bl w:val="nil"/>
                  </w:tcBorders>
                  <w:noWrap w:val="0"/>
                  <w:vAlign w:val="center"/>
                </w:tcPr>
                <w:p>
                  <w:pPr>
                    <w:pStyle w:val="35"/>
                    <w:bidi w:val="0"/>
                    <w:rPr>
                      <w:rFonts w:hint="default" w:ascii="Times New Roman" w:hAnsi="Times New Roman" w:cs="Times New Roman"/>
                    </w:rPr>
                  </w:pPr>
                  <w:r>
                    <w:rPr>
                      <w:rFonts w:hint="default" w:ascii="Times New Roman" w:hAnsi="Times New Roman" w:cs="Times New Roman"/>
                    </w:rPr>
                    <w:t>公用工程</w:t>
                  </w:r>
                </w:p>
              </w:tc>
              <w:tc>
                <w:tcPr>
                  <w:tcW w:w="741" w:type="pct"/>
                  <w:tcBorders>
                    <w:tl2br w:val="nil"/>
                    <w:tr2bl w:val="nil"/>
                  </w:tcBorders>
                  <w:noWrap w:val="0"/>
                  <w:vAlign w:val="center"/>
                </w:tcPr>
                <w:p>
                  <w:pPr>
                    <w:pStyle w:val="35"/>
                    <w:bidi w:val="0"/>
                    <w:rPr>
                      <w:rFonts w:hint="default" w:ascii="Times New Roman" w:hAnsi="Times New Roman" w:cs="Times New Roman"/>
                      <w:lang w:val="en-US" w:eastAsia="zh-CN"/>
                    </w:rPr>
                  </w:pPr>
                  <w:r>
                    <w:rPr>
                      <w:rFonts w:hint="default" w:ascii="Times New Roman" w:hAnsi="Times New Roman" w:cs="Times New Roman"/>
                    </w:rPr>
                    <w:t>供水</w:t>
                  </w:r>
                  <w:r>
                    <w:rPr>
                      <w:rFonts w:hint="default" w:ascii="Times New Roman" w:hAnsi="Times New Roman" w:cs="Times New Roman"/>
                      <w:lang w:eastAsia="zh-CN"/>
                    </w:rPr>
                    <w:t>系统</w:t>
                  </w:r>
                </w:p>
              </w:tc>
              <w:tc>
                <w:tcPr>
                  <w:tcW w:w="3661" w:type="pct"/>
                  <w:gridSpan w:val="4"/>
                  <w:tcBorders>
                    <w:tl2br w:val="nil"/>
                    <w:tr2bl w:val="nil"/>
                  </w:tcBorders>
                  <w:noWrap w:val="0"/>
                  <w:vAlign w:val="center"/>
                </w:tcPr>
                <w:p>
                  <w:pPr>
                    <w:pStyle w:val="35"/>
                    <w:bidi w:val="0"/>
                    <w:rPr>
                      <w:rFonts w:hint="default" w:ascii="Times New Roman" w:hAnsi="Times New Roman" w:cs="Times New Roman"/>
                      <w:lang w:val="en-US" w:eastAsia="zh-CN"/>
                    </w:rPr>
                  </w:pPr>
                  <w:r>
                    <w:rPr>
                      <w:rFonts w:hint="default" w:ascii="Times New Roman" w:hAnsi="Times New Roman" w:cs="Times New Roman"/>
                      <w:lang w:val="en-US" w:eastAsia="zh-CN"/>
                    </w:rPr>
                    <w:t>接市政供水系统，由自来水供应项目用水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jc w:val="center"/>
              </w:trPr>
              <w:tc>
                <w:tcPr>
                  <w:tcW w:w="597" w:type="pct"/>
                  <w:vMerge w:val="continue"/>
                  <w:tcBorders>
                    <w:tl2br w:val="nil"/>
                    <w:tr2bl w:val="nil"/>
                  </w:tcBorders>
                  <w:noWrap w:val="0"/>
                  <w:vAlign w:val="center"/>
                </w:tcPr>
                <w:p>
                  <w:pPr>
                    <w:pStyle w:val="35"/>
                    <w:bidi w:val="0"/>
                    <w:rPr>
                      <w:rFonts w:hint="default" w:ascii="Times New Roman" w:hAnsi="Times New Roman" w:cs="Times New Roman"/>
                    </w:rPr>
                  </w:pPr>
                </w:p>
              </w:tc>
              <w:tc>
                <w:tcPr>
                  <w:tcW w:w="741" w:type="pct"/>
                  <w:tcBorders>
                    <w:tl2br w:val="nil"/>
                    <w:tr2bl w:val="nil"/>
                  </w:tcBorders>
                  <w:noWrap w:val="0"/>
                  <w:vAlign w:val="center"/>
                </w:tcPr>
                <w:p>
                  <w:pPr>
                    <w:pStyle w:val="35"/>
                    <w:bidi w:val="0"/>
                    <w:rPr>
                      <w:rFonts w:hint="default" w:ascii="Times New Roman" w:hAnsi="Times New Roman" w:cs="Times New Roman"/>
                      <w:lang w:val="en-US" w:eastAsia="zh-CN"/>
                    </w:rPr>
                  </w:pPr>
                  <w:r>
                    <w:rPr>
                      <w:rFonts w:hint="default" w:ascii="Times New Roman" w:hAnsi="Times New Roman" w:cs="Times New Roman"/>
                    </w:rPr>
                    <w:t>供电</w:t>
                  </w:r>
                  <w:r>
                    <w:rPr>
                      <w:rFonts w:hint="default" w:ascii="Times New Roman" w:hAnsi="Times New Roman" w:cs="Times New Roman"/>
                      <w:lang w:eastAsia="zh-CN"/>
                    </w:rPr>
                    <w:t>系统</w:t>
                  </w:r>
                </w:p>
              </w:tc>
              <w:tc>
                <w:tcPr>
                  <w:tcW w:w="3661" w:type="pct"/>
                  <w:gridSpan w:val="4"/>
                  <w:tcBorders>
                    <w:tl2br w:val="nil"/>
                    <w:tr2bl w:val="nil"/>
                  </w:tcBorders>
                  <w:noWrap w:val="0"/>
                  <w:vAlign w:val="center"/>
                </w:tcPr>
                <w:p>
                  <w:pPr>
                    <w:pStyle w:val="35"/>
                    <w:bidi w:val="0"/>
                    <w:rPr>
                      <w:rFonts w:hint="default" w:ascii="Times New Roman" w:hAnsi="Times New Roman" w:cs="Times New Roman"/>
                      <w:lang w:val="en-US" w:eastAsia="zh-CN"/>
                    </w:rPr>
                  </w:pPr>
                  <w:r>
                    <w:rPr>
                      <w:rFonts w:hint="default" w:ascii="Times New Roman" w:hAnsi="Times New Roman" w:cs="Times New Roman"/>
                      <w:lang w:val="en-US" w:eastAsia="zh-CN"/>
                    </w:rPr>
                    <w:t>用电由市政配电网供给，站房变配电间自备1台柴油发电机，电网停电时备用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jc w:val="center"/>
              </w:trPr>
              <w:tc>
                <w:tcPr>
                  <w:tcW w:w="597" w:type="pct"/>
                  <w:vMerge w:val="continue"/>
                  <w:tcBorders>
                    <w:tl2br w:val="nil"/>
                    <w:tr2bl w:val="nil"/>
                  </w:tcBorders>
                  <w:noWrap w:val="0"/>
                  <w:vAlign w:val="center"/>
                </w:tcPr>
                <w:p>
                  <w:pPr>
                    <w:pStyle w:val="35"/>
                    <w:bidi w:val="0"/>
                    <w:rPr>
                      <w:rFonts w:hint="default" w:ascii="Times New Roman" w:hAnsi="Times New Roman" w:cs="Times New Roman"/>
                    </w:rPr>
                  </w:pPr>
                </w:p>
              </w:tc>
              <w:tc>
                <w:tcPr>
                  <w:tcW w:w="741" w:type="pct"/>
                  <w:tcBorders>
                    <w:tl2br w:val="nil"/>
                    <w:tr2bl w:val="nil"/>
                  </w:tcBorders>
                  <w:noWrap w:val="0"/>
                  <w:vAlign w:val="center"/>
                </w:tcPr>
                <w:p>
                  <w:pPr>
                    <w:pStyle w:val="35"/>
                    <w:bidi w:val="0"/>
                    <w:rPr>
                      <w:rFonts w:hint="default" w:ascii="Times New Roman" w:hAnsi="Times New Roman" w:cs="Times New Roman"/>
                      <w:lang w:val="en-US" w:eastAsia="zh-CN"/>
                    </w:rPr>
                  </w:pPr>
                  <w:r>
                    <w:rPr>
                      <w:rFonts w:hint="default" w:ascii="Times New Roman" w:hAnsi="Times New Roman" w:cs="Times New Roman"/>
                      <w:lang w:val="en-US" w:eastAsia="zh-CN"/>
                    </w:rPr>
                    <w:t>消防</w:t>
                  </w:r>
                </w:p>
              </w:tc>
              <w:tc>
                <w:tcPr>
                  <w:tcW w:w="3661" w:type="pct"/>
                  <w:gridSpan w:val="4"/>
                  <w:tcBorders>
                    <w:tl2br w:val="nil"/>
                    <w:tr2bl w:val="nil"/>
                  </w:tcBorders>
                  <w:noWrap w:val="0"/>
                  <w:vAlign w:val="center"/>
                </w:tcPr>
                <w:p>
                  <w:pPr>
                    <w:pStyle w:val="35"/>
                    <w:bidi w:val="0"/>
                    <w:rPr>
                      <w:rFonts w:hint="default" w:ascii="Times New Roman" w:hAnsi="Times New Roman" w:cs="Times New Roman"/>
                      <w:lang w:val="en-US" w:eastAsia="zh-CN"/>
                    </w:rPr>
                  </w:pPr>
                  <w:r>
                    <w:rPr>
                      <w:rFonts w:hint="default" w:ascii="Times New Roman" w:hAnsi="Times New Roman" w:cs="Times New Roman"/>
                      <w:lang w:val="en-US" w:eastAsia="zh-CN"/>
                    </w:rPr>
                    <w:t>设置消防器材箱，每个加油岛配手提式干粉灭火器；罐区附近配置推车式干粉灭火器、灭火毯，消防砂箱内配消防砂；站房内配置若干手提式灭火器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jc w:val="center"/>
              </w:trPr>
              <w:tc>
                <w:tcPr>
                  <w:tcW w:w="597" w:type="pct"/>
                  <w:vMerge w:val="continue"/>
                  <w:tcBorders>
                    <w:tl2br w:val="nil"/>
                    <w:tr2bl w:val="nil"/>
                  </w:tcBorders>
                  <w:noWrap w:val="0"/>
                  <w:vAlign w:val="center"/>
                </w:tcPr>
                <w:p>
                  <w:pPr>
                    <w:pStyle w:val="35"/>
                    <w:bidi w:val="0"/>
                    <w:rPr>
                      <w:rFonts w:hint="default" w:ascii="Times New Roman" w:hAnsi="Times New Roman" w:cs="Times New Roman"/>
                    </w:rPr>
                  </w:pPr>
                </w:p>
              </w:tc>
              <w:tc>
                <w:tcPr>
                  <w:tcW w:w="741" w:type="pct"/>
                  <w:tcBorders>
                    <w:tl2br w:val="nil"/>
                    <w:tr2bl w:val="nil"/>
                  </w:tcBorders>
                  <w:noWrap w:val="0"/>
                  <w:vAlign w:val="center"/>
                </w:tcPr>
                <w:p>
                  <w:pPr>
                    <w:pStyle w:val="35"/>
                    <w:bidi w:val="0"/>
                    <w:rPr>
                      <w:rFonts w:hint="default" w:ascii="Times New Roman" w:hAnsi="Times New Roman" w:cs="Times New Roman"/>
                      <w:lang w:val="en-US" w:eastAsia="zh-CN"/>
                    </w:rPr>
                  </w:pPr>
                  <w:r>
                    <w:rPr>
                      <w:rFonts w:hint="default" w:ascii="Times New Roman" w:hAnsi="Times New Roman" w:cs="Times New Roman"/>
                      <w:lang w:val="en-US" w:eastAsia="zh-CN"/>
                    </w:rPr>
                    <w:t>排水系统</w:t>
                  </w:r>
                </w:p>
              </w:tc>
              <w:tc>
                <w:tcPr>
                  <w:tcW w:w="3661" w:type="pct"/>
                  <w:gridSpan w:val="4"/>
                  <w:tcBorders>
                    <w:tl2br w:val="nil"/>
                    <w:tr2bl w:val="nil"/>
                  </w:tcBorders>
                  <w:noWrap w:val="0"/>
                  <w:vAlign w:val="center"/>
                </w:tcPr>
                <w:p>
                  <w:pPr>
                    <w:pStyle w:val="35"/>
                    <w:bidi w:val="0"/>
                    <w:rPr>
                      <w:rFonts w:hint="default" w:ascii="Times New Roman" w:hAnsi="Times New Roman" w:cs="Times New Roman"/>
                      <w:lang w:val="en-US" w:eastAsia="zh-CN"/>
                    </w:rPr>
                  </w:pPr>
                  <w:r>
                    <w:rPr>
                      <w:rFonts w:hint="default" w:ascii="Times New Roman" w:hAnsi="Times New Roman" w:cs="Times New Roman"/>
                      <w:lang w:val="en-US" w:eastAsia="zh-CN"/>
                    </w:rPr>
                    <w:t>项目生活污水经化粪池处理</w:t>
                  </w:r>
                  <w:r>
                    <w:rPr>
                      <w:rFonts w:hint="eastAsia" w:cs="Times New Roman"/>
                      <w:lang w:val="en-US" w:eastAsia="zh-CN"/>
                    </w:rPr>
                    <w:t>；初期雨水、地面清洁废水和洗车废水经隔油沉淀池处理</w:t>
                  </w:r>
                  <w:r>
                    <w:rPr>
                      <w:rFonts w:hint="default" w:ascii="Times New Roman" w:hAnsi="Times New Roman" w:cs="Times New Roman"/>
                      <w:lang w:val="en-US" w:eastAsia="zh-CN"/>
                    </w:rPr>
                    <w:t>后排入</w:t>
                  </w:r>
                  <w:r>
                    <w:rPr>
                      <w:rFonts w:hint="eastAsia" w:cs="Times New Roman"/>
                      <w:lang w:val="en-US" w:eastAsia="zh-CN"/>
                    </w:rPr>
                    <w:t>市政污水管网进入</w:t>
                  </w:r>
                  <w:r>
                    <w:rPr>
                      <w:rFonts w:hint="default" w:ascii="Times New Roman" w:hAnsi="Times New Roman" w:cs="Times New Roman"/>
                      <w:lang w:val="en-US" w:eastAsia="zh-CN"/>
                    </w:rPr>
                    <w:t>祁东县鱼陂污水厂处理达标后外排洪桥小溪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jc w:val="center"/>
              </w:trPr>
              <w:tc>
                <w:tcPr>
                  <w:tcW w:w="597" w:type="pct"/>
                  <w:vMerge w:val="restart"/>
                  <w:tcBorders>
                    <w:tl2br w:val="nil"/>
                    <w:tr2bl w:val="nil"/>
                  </w:tcBorders>
                  <w:noWrap w:val="0"/>
                  <w:vAlign w:val="center"/>
                </w:tcPr>
                <w:p>
                  <w:pPr>
                    <w:pStyle w:val="35"/>
                    <w:bidi w:val="0"/>
                    <w:rPr>
                      <w:rFonts w:hint="default" w:ascii="Times New Roman" w:hAnsi="Times New Roman" w:cs="Times New Roman"/>
                    </w:rPr>
                  </w:pPr>
                  <w:r>
                    <w:rPr>
                      <w:rFonts w:hint="default" w:ascii="Times New Roman" w:hAnsi="Times New Roman" w:cs="Times New Roman"/>
                    </w:rPr>
                    <w:t>环保工程</w:t>
                  </w:r>
                </w:p>
              </w:tc>
              <w:tc>
                <w:tcPr>
                  <w:tcW w:w="741" w:type="pct"/>
                  <w:vMerge w:val="restart"/>
                  <w:tcBorders>
                    <w:tl2br w:val="nil"/>
                    <w:tr2bl w:val="nil"/>
                  </w:tcBorders>
                  <w:noWrap w:val="0"/>
                  <w:vAlign w:val="center"/>
                </w:tcPr>
                <w:p>
                  <w:pPr>
                    <w:pStyle w:val="35"/>
                    <w:bidi w:val="0"/>
                    <w:rPr>
                      <w:rFonts w:hint="default" w:ascii="Times New Roman" w:hAnsi="Times New Roman" w:cs="Times New Roman"/>
                      <w:lang w:val="en-US" w:eastAsia="zh-CN"/>
                    </w:rPr>
                  </w:pPr>
                  <w:r>
                    <w:rPr>
                      <w:rFonts w:hint="default" w:ascii="Times New Roman" w:hAnsi="Times New Roman" w:cs="Times New Roman"/>
                    </w:rPr>
                    <w:t>废气处理</w:t>
                  </w:r>
                </w:p>
              </w:tc>
              <w:tc>
                <w:tcPr>
                  <w:tcW w:w="789" w:type="pct"/>
                  <w:gridSpan w:val="2"/>
                  <w:tcBorders>
                    <w:tl2br w:val="nil"/>
                    <w:tr2bl w:val="nil"/>
                  </w:tcBorders>
                  <w:noWrap w:val="0"/>
                  <w:vAlign w:val="center"/>
                </w:tcPr>
                <w:p>
                  <w:pPr>
                    <w:pStyle w:val="35"/>
                    <w:bidi w:val="0"/>
                    <w:rPr>
                      <w:rFonts w:hint="default" w:ascii="Times New Roman" w:hAnsi="Times New Roman" w:cs="Times New Roman"/>
                      <w:lang w:val="en-US" w:eastAsia="zh-CN"/>
                    </w:rPr>
                  </w:pPr>
                  <w:r>
                    <w:rPr>
                      <w:rFonts w:hint="default" w:ascii="Times New Roman" w:hAnsi="Times New Roman" w:cs="Times New Roman"/>
                      <w:lang w:val="en-US" w:eastAsia="zh-CN"/>
                    </w:rPr>
                    <w:t>油气</w:t>
                  </w:r>
                </w:p>
              </w:tc>
              <w:tc>
                <w:tcPr>
                  <w:tcW w:w="2871" w:type="pct"/>
                  <w:gridSpan w:val="2"/>
                  <w:tcBorders>
                    <w:tl2br w:val="nil"/>
                    <w:tr2bl w:val="nil"/>
                  </w:tcBorders>
                  <w:noWrap w:val="0"/>
                  <w:vAlign w:val="center"/>
                </w:tcPr>
                <w:p>
                  <w:pPr>
                    <w:pStyle w:val="35"/>
                    <w:bidi w:val="0"/>
                    <w:rPr>
                      <w:rFonts w:hint="default" w:ascii="Times New Roman" w:hAnsi="Times New Roman" w:cs="Times New Roman"/>
                      <w:lang w:val="en-US" w:eastAsia="zh-CN"/>
                    </w:rPr>
                  </w:pPr>
                  <w:r>
                    <w:rPr>
                      <w:rFonts w:hint="default" w:ascii="Times New Roman" w:hAnsi="Times New Roman" w:cs="Times New Roman"/>
                      <w:lang w:val="en-US" w:eastAsia="zh-CN"/>
                    </w:rPr>
                    <w:t>设置二次油气回收处理系统，处理效率可达90%，设置油罐液位观测仪和油罐及管道泄漏报警系统等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jc w:val="center"/>
              </w:trPr>
              <w:tc>
                <w:tcPr>
                  <w:tcW w:w="597" w:type="pct"/>
                  <w:vMerge w:val="continue"/>
                  <w:tcBorders>
                    <w:tl2br w:val="nil"/>
                    <w:tr2bl w:val="nil"/>
                  </w:tcBorders>
                  <w:noWrap w:val="0"/>
                  <w:vAlign w:val="center"/>
                </w:tcPr>
                <w:p>
                  <w:pPr>
                    <w:pStyle w:val="35"/>
                    <w:bidi w:val="0"/>
                    <w:rPr>
                      <w:rFonts w:hint="default" w:ascii="Times New Roman" w:hAnsi="Times New Roman" w:cs="Times New Roman"/>
                    </w:rPr>
                  </w:pPr>
                </w:p>
              </w:tc>
              <w:tc>
                <w:tcPr>
                  <w:tcW w:w="741" w:type="pct"/>
                  <w:vMerge w:val="continue"/>
                  <w:tcBorders>
                    <w:tl2br w:val="nil"/>
                    <w:tr2bl w:val="nil"/>
                  </w:tcBorders>
                  <w:noWrap w:val="0"/>
                  <w:vAlign w:val="center"/>
                </w:tcPr>
                <w:p>
                  <w:pPr>
                    <w:pStyle w:val="35"/>
                    <w:bidi w:val="0"/>
                    <w:rPr>
                      <w:rFonts w:hint="default" w:ascii="Times New Roman" w:hAnsi="Times New Roman" w:cs="Times New Roman"/>
                    </w:rPr>
                  </w:pPr>
                </w:p>
              </w:tc>
              <w:tc>
                <w:tcPr>
                  <w:tcW w:w="789" w:type="pct"/>
                  <w:gridSpan w:val="2"/>
                  <w:tcBorders>
                    <w:tl2br w:val="nil"/>
                    <w:tr2bl w:val="nil"/>
                  </w:tcBorders>
                  <w:noWrap w:val="0"/>
                  <w:vAlign w:val="center"/>
                </w:tcPr>
                <w:p>
                  <w:pPr>
                    <w:pStyle w:val="35"/>
                    <w:bidi w:val="0"/>
                    <w:rPr>
                      <w:rFonts w:hint="default" w:ascii="Times New Roman" w:hAnsi="Times New Roman" w:cs="Times New Roman"/>
                      <w:lang w:val="en-US" w:eastAsia="zh-CN"/>
                    </w:rPr>
                  </w:pPr>
                  <w:r>
                    <w:rPr>
                      <w:rFonts w:hint="default" w:ascii="Times New Roman" w:hAnsi="Times New Roman" w:cs="Times New Roman"/>
                      <w:lang w:val="en-US" w:eastAsia="zh-CN"/>
                    </w:rPr>
                    <w:t>备用柴油发电机废气</w:t>
                  </w:r>
                </w:p>
              </w:tc>
              <w:tc>
                <w:tcPr>
                  <w:tcW w:w="2871" w:type="pct"/>
                  <w:gridSpan w:val="2"/>
                  <w:tcBorders>
                    <w:tl2br w:val="nil"/>
                    <w:tr2bl w:val="nil"/>
                  </w:tcBorders>
                  <w:noWrap w:val="0"/>
                  <w:vAlign w:val="center"/>
                </w:tcPr>
                <w:p>
                  <w:pPr>
                    <w:pStyle w:val="35"/>
                    <w:bidi w:val="0"/>
                    <w:rPr>
                      <w:rFonts w:hint="default" w:ascii="Times New Roman" w:hAnsi="Times New Roman" w:cs="Times New Roman"/>
                      <w:lang w:val="en-US" w:eastAsia="zh-CN"/>
                    </w:rPr>
                  </w:pPr>
                  <w:r>
                    <w:rPr>
                      <w:rFonts w:hint="default" w:ascii="Times New Roman" w:hAnsi="Times New Roman" w:cs="Times New Roman"/>
                      <w:lang w:val="en-US" w:eastAsia="zh-CN"/>
                    </w:rPr>
                    <w:t>专用烟道，屋顶排放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jc w:val="center"/>
              </w:trPr>
              <w:tc>
                <w:tcPr>
                  <w:tcW w:w="597" w:type="pct"/>
                  <w:vMerge w:val="continue"/>
                  <w:tcBorders>
                    <w:tl2br w:val="nil"/>
                    <w:tr2bl w:val="nil"/>
                  </w:tcBorders>
                  <w:noWrap w:val="0"/>
                  <w:vAlign w:val="center"/>
                </w:tcPr>
                <w:p>
                  <w:pPr>
                    <w:pStyle w:val="35"/>
                    <w:bidi w:val="0"/>
                    <w:rPr>
                      <w:rFonts w:hint="default" w:ascii="Times New Roman" w:hAnsi="Times New Roman" w:cs="Times New Roman"/>
                    </w:rPr>
                  </w:pPr>
                </w:p>
              </w:tc>
              <w:tc>
                <w:tcPr>
                  <w:tcW w:w="741" w:type="pct"/>
                  <w:vMerge w:val="continue"/>
                  <w:tcBorders>
                    <w:tl2br w:val="nil"/>
                    <w:tr2bl w:val="nil"/>
                  </w:tcBorders>
                  <w:noWrap w:val="0"/>
                  <w:vAlign w:val="center"/>
                </w:tcPr>
                <w:p>
                  <w:pPr>
                    <w:pStyle w:val="35"/>
                    <w:bidi w:val="0"/>
                    <w:rPr>
                      <w:rFonts w:hint="default" w:ascii="Times New Roman" w:hAnsi="Times New Roman" w:cs="Times New Roman"/>
                    </w:rPr>
                  </w:pPr>
                </w:p>
              </w:tc>
              <w:tc>
                <w:tcPr>
                  <w:tcW w:w="789" w:type="pct"/>
                  <w:gridSpan w:val="2"/>
                  <w:tcBorders>
                    <w:tl2br w:val="nil"/>
                    <w:tr2bl w:val="nil"/>
                  </w:tcBorders>
                  <w:noWrap w:val="0"/>
                  <w:vAlign w:val="center"/>
                </w:tcPr>
                <w:p>
                  <w:pPr>
                    <w:pStyle w:val="35"/>
                    <w:bidi w:val="0"/>
                    <w:rPr>
                      <w:rFonts w:hint="default" w:ascii="Times New Roman" w:hAnsi="Times New Roman" w:cs="Times New Roman"/>
                      <w:lang w:val="en-US" w:eastAsia="zh-CN"/>
                    </w:rPr>
                  </w:pPr>
                  <w:r>
                    <w:rPr>
                      <w:rFonts w:hint="default" w:ascii="Times New Roman" w:hAnsi="Times New Roman" w:cs="Times New Roman"/>
                      <w:lang w:val="en-US" w:eastAsia="zh-CN"/>
                    </w:rPr>
                    <w:t>汽车尾气</w:t>
                  </w:r>
                </w:p>
              </w:tc>
              <w:tc>
                <w:tcPr>
                  <w:tcW w:w="2871" w:type="pct"/>
                  <w:gridSpan w:val="2"/>
                  <w:tcBorders>
                    <w:tl2br w:val="nil"/>
                    <w:tr2bl w:val="nil"/>
                  </w:tcBorders>
                  <w:noWrap w:val="0"/>
                  <w:vAlign w:val="center"/>
                </w:tcPr>
                <w:p>
                  <w:pPr>
                    <w:pStyle w:val="35"/>
                    <w:bidi w:val="0"/>
                    <w:rPr>
                      <w:rFonts w:hint="default" w:ascii="Times New Roman" w:hAnsi="Times New Roman" w:cs="Times New Roman"/>
                      <w:lang w:val="en-US" w:eastAsia="zh-CN"/>
                    </w:rPr>
                  </w:pPr>
                  <w:r>
                    <w:rPr>
                      <w:rFonts w:hint="default" w:ascii="Times New Roman" w:hAnsi="Times New Roman" w:cs="Times New Roman"/>
                      <w:lang w:val="en-US" w:eastAsia="zh-CN"/>
                    </w:rPr>
                    <w:t>加强厂区绿化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jc w:val="center"/>
              </w:trPr>
              <w:tc>
                <w:tcPr>
                  <w:tcW w:w="597" w:type="pct"/>
                  <w:vMerge w:val="continue"/>
                  <w:tcBorders>
                    <w:tl2br w:val="nil"/>
                    <w:tr2bl w:val="nil"/>
                  </w:tcBorders>
                  <w:noWrap w:val="0"/>
                  <w:vAlign w:val="center"/>
                </w:tcPr>
                <w:p>
                  <w:pPr>
                    <w:pStyle w:val="35"/>
                    <w:bidi w:val="0"/>
                    <w:rPr>
                      <w:rFonts w:hint="default" w:ascii="Times New Roman" w:hAnsi="Times New Roman" w:cs="Times New Roman"/>
                    </w:rPr>
                  </w:pPr>
                </w:p>
              </w:tc>
              <w:tc>
                <w:tcPr>
                  <w:tcW w:w="741" w:type="pct"/>
                  <w:tcBorders>
                    <w:tl2br w:val="nil"/>
                    <w:tr2bl w:val="nil"/>
                  </w:tcBorders>
                  <w:noWrap w:val="0"/>
                  <w:vAlign w:val="center"/>
                </w:tcPr>
                <w:p>
                  <w:pPr>
                    <w:pStyle w:val="35"/>
                    <w:bidi w:val="0"/>
                    <w:rPr>
                      <w:rFonts w:hint="default" w:ascii="Times New Roman" w:hAnsi="Times New Roman" w:cs="Times New Roman"/>
                      <w:lang w:val="en-US" w:eastAsia="zh-CN"/>
                    </w:rPr>
                  </w:pPr>
                  <w:r>
                    <w:rPr>
                      <w:rFonts w:hint="default" w:ascii="Times New Roman" w:hAnsi="Times New Roman" w:cs="Times New Roman"/>
                    </w:rPr>
                    <w:t>固废处理</w:t>
                  </w:r>
                </w:p>
              </w:tc>
              <w:tc>
                <w:tcPr>
                  <w:tcW w:w="3661" w:type="pct"/>
                  <w:gridSpan w:val="4"/>
                  <w:tcBorders>
                    <w:tl2br w:val="nil"/>
                    <w:tr2bl w:val="nil"/>
                  </w:tcBorders>
                  <w:noWrap w:val="0"/>
                  <w:vAlign w:val="center"/>
                </w:tcPr>
                <w:p>
                  <w:pPr>
                    <w:pStyle w:val="35"/>
                    <w:bidi w:val="0"/>
                    <w:rPr>
                      <w:rFonts w:hint="default" w:ascii="Times New Roman" w:hAnsi="Times New Roman" w:cs="Times New Roman"/>
                    </w:rPr>
                  </w:pPr>
                  <w:r>
                    <w:rPr>
                      <w:rFonts w:hint="default" w:ascii="Times New Roman" w:hAnsi="Times New Roman" w:cs="Times New Roman"/>
                    </w:rPr>
                    <w:t>垃圾桶</w:t>
                  </w:r>
                  <w:r>
                    <w:rPr>
                      <w:rFonts w:hint="default" w:ascii="Times New Roman" w:hAnsi="Times New Roman" w:cs="Times New Roman"/>
                      <w:lang w:eastAsia="zh-CN"/>
                    </w:rPr>
                    <w:t>，</w:t>
                  </w:r>
                  <w:r>
                    <w:rPr>
                      <w:rFonts w:hint="eastAsia" w:ascii="Times New Roman" w:hAnsi="Times New Roman" w:cs="Times New Roman"/>
                      <w:lang w:eastAsia="zh-CN"/>
                    </w:rPr>
                    <w:t>危废暂存间、</w:t>
                  </w:r>
                  <w:r>
                    <w:rPr>
                      <w:rFonts w:hint="default" w:ascii="Times New Roman" w:hAnsi="Times New Roman" w:cs="Times New Roman"/>
                    </w:rPr>
                    <w:t>分类收集、妥善处置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jc w:val="center"/>
              </w:trPr>
              <w:tc>
                <w:tcPr>
                  <w:tcW w:w="597" w:type="pct"/>
                  <w:vMerge w:val="continue"/>
                  <w:tcBorders>
                    <w:tl2br w:val="nil"/>
                    <w:tr2bl w:val="nil"/>
                  </w:tcBorders>
                  <w:noWrap w:val="0"/>
                  <w:vAlign w:val="center"/>
                </w:tcPr>
                <w:p>
                  <w:pPr>
                    <w:pStyle w:val="35"/>
                    <w:bidi w:val="0"/>
                    <w:rPr>
                      <w:rFonts w:hint="default" w:ascii="Times New Roman" w:hAnsi="Times New Roman" w:cs="Times New Roman"/>
                    </w:rPr>
                  </w:pPr>
                </w:p>
              </w:tc>
              <w:tc>
                <w:tcPr>
                  <w:tcW w:w="741" w:type="pct"/>
                  <w:tcBorders>
                    <w:tl2br w:val="nil"/>
                    <w:tr2bl w:val="nil"/>
                  </w:tcBorders>
                  <w:noWrap w:val="0"/>
                  <w:vAlign w:val="center"/>
                </w:tcPr>
                <w:p>
                  <w:pPr>
                    <w:pStyle w:val="35"/>
                    <w:bidi w:val="0"/>
                    <w:rPr>
                      <w:rFonts w:hint="default" w:ascii="Times New Roman" w:hAnsi="Times New Roman" w:cs="Times New Roman"/>
                      <w:lang w:val="en-US" w:eastAsia="zh-CN"/>
                    </w:rPr>
                  </w:pPr>
                  <w:r>
                    <w:rPr>
                      <w:rFonts w:hint="default" w:ascii="Times New Roman" w:hAnsi="Times New Roman" w:cs="Times New Roman"/>
                    </w:rPr>
                    <w:t>噪声处理</w:t>
                  </w:r>
                </w:p>
              </w:tc>
              <w:tc>
                <w:tcPr>
                  <w:tcW w:w="3661" w:type="pct"/>
                  <w:gridSpan w:val="4"/>
                  <w:tcBorders>
                    <w:tl2br w:val="nil"/>
                    <w:tr2bl w:val="nil"/>
                  </w:tcBorders>
                  <w:noWrap w:val="0"/>
                  <w:vAlign w:val="center"/>
                </w:tcPr>
                <w:p>
                  <w:pPr>
                    <w:pStyle w:val="35"/>
                    <w:bidi w:val="0"/>
                    <w:rPr>
                      <w:rFonts w:hint="default" w:ascii="Times New Roman" w:hAnsi="Times New Roman" w:cs="Times New Roman"/>
                      <w:lang w:val="en-US" w:eastAsia="zh-CN"/>
                    </w:rPr>
                  </w:pPr>
                  <w:r>
                    <w:rPr>
                      <w:rFonts w:hint="default" w:ascii="Times New Roman" w:hAnsi="Times New Roman" w:cs="Times New Roman"/>
                      <w:lang w:val="en-US" w:eastAsia="zh-CN"/>
                    </w:rPr>
                    <w:t>基础减震，厂房隔声</w:t>
                  </w:r>
                  <w:r>
                    <w:rPr>
                      <w:rFonts w:hint="default" w:ascii="Times New Roman" w:hAnsi="Times New Roman" w:cs="Times New Roman"/>
                    </w:rPr>
                    <w:t>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jc w:val="center"/>
              </w:trPr>
              <w:tc>
                <w:tcPr>
                  <w:tcW w:w="597" w:type="pct"/>
                  <w:vMerge w:val="continue"/>
                  <w:tcBorders>
                    <w:tl2br w:val="nil"/>
                    <w:tr2bl w:val="nil"/>
                  </w:tcBorders>
                  <w:noWrap w:val="0"/>
                  <w:vAlign w:val="center"/>
                </w:tcPr>
                <w:p>
                  <w:pPr>
                    <w:pStyle w:val="35"/>
                    <w:bidi w:val="0"/>
                    <w:rPr>
                      <w:rFonts w:hint="default" w:ascii="Times New Roman" w:hAnsi="Times New Roman" w:cs="Times New Roman"/>
                    </w:rPr>
                  </w:pPr>
                </w:p>
              </w:tc>
              <w:tc>
                <w:tcPr>
                  <w:tcW w:w="741" w:type="pct"/>
                  <w:tcBorders>
                    <w:tl2br w:val="nil"/>
                    <w:tr2bl w:val="nil"/>
                  </w:tcBorders>
                  <w:noWrap w:val="0"/>
                  <w:vAlign w:val="center"/>
                </w:tcPr>
                <w:p>
                  <w:pPr>
                    <w:pStyle w:val="35"/>
                    <w:bidi w:val="0"/>
                    <w:rPr>
                      <w:rFonts w:hint="default" w:ascii="Times New Roman" w:hAnsi="Times New Roman" w:cs="Times New Roman"/>
                      <w:lang w:val="en-US" w:eastAsia="zh-CN"/>
                    </w:rPr>
                  </w:pPr>
                  <w:r>
                    <w:rPr>
                      <w:rFonts w:hint="default" w:ascii="Times New Roman" w:hAnsi="Times New Roman" w:cs="Times New Roman"/>
                    </w:rPr>
                    <w:t>废水处理</w:t>
                  </w:r>
                </w:p>
              </w:tc>
              <w:tc>
                <w:tcPr>
                  <w:tcW w:w="3661" w:type="pct"/>
                  <w:gridSpan w:val="4"/>
                  <w:tcBorders>
                    <w:tl2br w:val="nil"/>
                    <w:tr2bl w:val="nil"/>
                  </w:tcBorders>
                  <w:noWrap w:val="0"/>
                  <w:vAlign w:val="center"/>
                </w:tcPr>
                <w:p>
                  <w:pPr>
                    <w:pStyle w:val="35"/>
                    <w:bidi w:val="0"/>
                    <w:rPr>
                      <w:rFonts w:hint="default" w:ascii="Times New Roman" w:hAnsi="Times New Roman" w:cs="Times New Roman"/>
                      <w:lang w:val="en-US" w:eastAsia="zh-CN"/>
                    </w:rPr>
                  </w:pPr>
                  <w:r>
                    <w:rPr>
                      <w:rFonts w:hint="default" w:ascii="Times New Roman" w:hAnsi="Times New Roman" w:cs="Times New Roman"/>
                      <w:lang w:val="en-US" w:eastAsia="zh-CN"/>
                    </w:rPr>
                    <w:t>项目生活污水经化粪池处理后排放至市政管网排入祁东县鱼陂污水厂处理达标后外排洪桥小溪；</w:t>
                  </w:r>
                  <w:r>
                    <w:rPr>
                      <w:rFonts w:hint="eastAsia" w:cs="Times New Roman"/>
                      <w:lang w:val="en-US" w:eastAsia="zh-CN"/>
                    </w:rPr>
                    <w:t>初期雨水、地面清洁废水和洗车废水</w:t>
                  </w:r>
                  <w:r>
                    <w:rPr>
                      <w:rFonts w:hint="default" w:ascii="Times New Roman" w:hAnsi="Times New Roman" w:cs="Times New Roman"/>
                      <w:lang w:val="en-US" w:eastAsia="zh-CN"/>
                    </w:rPr>
                    <w:t>经隔油池处理后排放至市政管网排入祁东县鱼陂污水厂处理达标后外排洪桥小溪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jc w:val="center"/>
              </w:trPr>
              <w:tc>
                <w:tcPr>
                  <w:tcW w:w="597" w:type="pct"/>
                  <w:vMerge w:val="continue"/>
                  <w:tcBorders>
                    <w:tl2br w:val="nil"/>
                    <w:tr2bl w:val="nil"/>
                  </w:tcBorders>
                  <w:noWrap w:val="0"/>
                  <w:vAlign w:val="center"/>
                </w:tcPr>
                <w:p>
                  <w:pPr>
                    <w:pStyle w:val="35"/>
                    <w:bidi w:val="0"/>
                    <w:rPr>
                      <w:rFonts w:hint="default" w:ascii="Times New Roman" w:hAnsi="Times New Roman" w:cs="Times New Roman"/>
                    </w:rPr>
                  </w:pPr>
                </w:p>
              </w:tc>
              <w:tc>
                <w:tcPr>
                  <w:tcW w:w="741" w:type="pct"/>
                  <w:tcBorders>
                    <w:tl2br w:val="nil"/>
                    <w:tr2bl w:val="nil"/>
                  </w:tcBorders>
                  <w:noWrap w:val="0"/>
                  <w:vAlign w:val="center"/>
                </w:tcPr>
                <w:p>
                  <w:pPr>
                    <w:pStyle w:val="35"/>
                    <w:bidi w:val="0"/>
                    <w:rPr>
                      <w:rFonts w:hint="default" w:ascii="Times New Roman" w:hAnsi="Times New Roman" w:cs="Times New Roman"/>
                    </w:rPr>
                  </w:pPr>
                  <w:r>
                    <w:rPr>
                      <w:rFonts w:hint="default" w:ascii="Times New Roman" w:hAnsi="Times New Roman" w:cs="Times New Roman"/>
                    </w:rPr>
                    <w:t>地下水</w:t>
                  </w:r>
                  <w:r>
                    <w:rPr>
                      <w:rFonts w:hint="default" w:ascii="Times New Roman" w:hAnsi="Times New Roman" w:cs="Times New Roman"/>
                      <w:lang w:eastAsia="zh-CN"/>
                    </w:rPr>
                    <w:t>、</w:t>
                  </w:r>
                  <w:r>
                    <w:rPr>
                      <w:rFonts w:hint="default" w:ascii="Times New Roman" w:hAnsi="Times New Roman" w:cs="Times New Roman"/>
                      <w:lang w:val="en-US" w:eastAsia="zh-CN"/>
                    </w:rPr>
                    <w:t>土壤</w:t>
                  </w:r>
                  <w:r>
                    <w:rPr>
                      <w:rFonts w:hint="default" w:ascii="Times New Roman" w:hAnsi="Times New Roman" w:cs="Times New Roman"/>
                    </w:rPr>
                    <w:t>防治</w:t>
                  </w:r>
                </w:p>
              </w:tc>
              <w:tc>
                <w:tcPr>
                  <w:tcW w:w="3661" w:type="pct"/>
                  <w:gridSpan w:val="4"/>
                  <w:tcBorders>
                    <w:tl2br w:val="nil"/>
                    <w:tr2bl w:val="nil"/>
                  </w:tcBorders>
                  <w:noWrap w:val="0"/>
                  <w:vAlign w:val="center"/>
                </w:tcPr>
                <w:p>
                  <w:pPr>
                    <w:pStyle w:val="35"/>
                    <w:bidi w:val="0"/>
                    <w:rPr>
                      <w:rFonts w:hint="default" w:ascii="Times New Roman" w:hAnsi="Times New Roman" w:cs="Times New Roman"/>
                      <w:lang w:val="en-US" w:eastAsia="zh-CN"/>
                    </w:rPr>
                  </w:pPr>
                  <w:r>
                    <w:rPr>
                      <w:rFonts w:hint="default" w:ascii="Times New Roman" w:hAnsi="Times New Roman" w:cs="Times New Roman"/>
                      <w:lang w:val="en-US" w:eastAsia="zh-CN"/>
                    </w:rPr>
                    <w:t>采用SF双层埋地油罐并加设防渗围堰，油罐周围回填沙子，埋地油罐区设置渗漏检测仪，站内配有电子液位计。采用双层管道埋地敷设，站内埋地油罐区设置1个防渗观测井，站外地下水流向设置1个地下水监测井，定期开展监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jc w:val="center"/>
              </w:trPr>
              <w:tc>
                <w:tcPr>
                  <w:tcW w:w="597" w:type="pct"/>
                  <w:vMerge w:val="continue"/>
                  <w:tcBorders>
                    <w:tl2br w:val="nil"/>
                    <w:tr2bl w:val="nil"/>
                  </w:tcBorders>
                  <w:noWrap w:val="0"/>
                  <w:vAlign w:val="center"/>
                </w:tcPr>
                <w:p>
                  <w:pPr>
                    <w:pStyle w:val="35"/>
                    <w:bidi w:val="0"/>
                    <w:rPr>
                      <w:rFonts w:hint="default" w:ascii="Times New Roman" w:hAnsi="Times New Roman" w:cs="Times New Roman"/>
                    </w:rPr>
                  </w:pPr>
                </w:p>
              </w:tc>
              <w:tc>
                <w:tcPr>
                  <w:tcW w:w="741" w:type="pct"/>
                  <w:tcBorders>
                    <w:tl2br w:val="nil"/>
                    <w:tr2bl w:val="nil"/>
                  </w:tcBorders>
                  <w:noWrap w:val="0"/>
                  <w:vAlign w:val="center"/>
                </w:tcPr>
                <w:p>
                  <w:pPr>
                    <w:pStyle w:val="35"/>
                    <w:bidi w:val="0"/>
                    <w:rPr>
                      <w:rFonts w:hint="default" w:ascii="Times New Roman" w:hAnsi="Times New Roman" w:cs="Times New Roman"/>
                    </w:rPr>
                  </w:pPr>
                  <w:r>
                    <w:rPr>
                      <w:rFonts w:hint="default" w:ascii="Times New Roman" w:hAnsi="Times New Roman" w:cs="Times New Roman"/>
                      <w:lang w:val="en-US" w:eastAsia="zh-CN"/>
                    </w:rPr>
                    <w:t>环境风险防范措施</w:t>
                  </w:r>
                </w:p>
              </w:tc>
              <w:tc>
                <w:tcPr>
                  <w:tcW w:w="3661" w:type="pct"/>
                  <w:gridSpan w:val="4"/>
                  <w:tcBorders>
                    <w:tl2br w:val="nil"/>
                    <w:tr2bl w:val="nil"/>
                  </w:tcBorders>
                  <w:noWrap w:val="0"/>
                  <w:vAlign w:val="center"/>
                </w:tcPr>
                <w:p>
                  <w:pPr>
                    <w:pStyle w:val="35"/>
                    <w:bidi w:val="0"/>
                    <w:rPr>
                      <w:rFonts w:hint="default" w:ascii="Times New Roman" w:hAnsi="Times New Roman" w:cs="Times New Roman"/>
                      <w:lang w:val="en-US" w:eastAsia="zh-CN"/>
                    </w:rPr>
                  </w:pPr>
                  <w:r>
                    <w:rPr>
                      <w:rFonts w:hint="default" w:ascii="Times New Roman" w:hAnsi="Times New Roman" w:cs="Times New Roman"/>
                      <w:lang w:val="en-US" w:eastAsia="zh-CN"/>
                    </w:rPr>
                    <w:t>使用双层储油罐和双层管道；按消防、加油站防火规范要求进行设计、建设和管理，并采取防火、防爆、防雷等措施，配置足够的消防设备；设置油罐液位观测仪和油罐及管道泄漏报警系统和监测井。</w:t>
                  </w:r>
                </w:p>
              </w:tc>
            </w:tr>
          </w:tbl>
          <w:p>
            <w:pPr>
              <w:pStyle w:val="36"/>
              <w:tabs>
                <w:tab w:val="left" w:pos="1021"/>
              </w:tabs>
            </w:pPr>
            <w:r>
              <w:t>表</w:t>
            </w:r>
            <w:r>
              <w:rPr>
                <w:rFonts w:hint="eastAsia"/>
                <w:lang w:val="en-US" w:eastAsia="zh-CN"/>
              </w:rPr>
              <w:t>2.1-2</w:t>
            </w:r>
            <w:r>
              <w:t>本项目主要经济技术指标表</w:t>
            </w:r>
          </w:p>
          <w:tbl>
            <w:tblPr>
              <w:tblStyle w:val="31"/>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3"/>
              <w:gridCol w:w="2156"/>
              <w:gridCol w:w="1511"/>
              <w:gridCol w:w="1505"/>
              <w:gridCol w:w="15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1"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jc w:val="center"/>
                  </w:pPr>
                  <w:r>
                    <w:t>序号</w:t>
                  </w:r>
                </w:p>
              </w:tc>
              <w:tc>
                <w:tcPr>
                  <w:tcW w:w="1433"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jc w:val="center"/>
                  </w:pPr>
                  <w:r>
                    <w:t>项目</w:t>
                  </w:r>
                </w:p>
              </w:tc>
              <w:tc>
                <w:tcPr>
                  <w:tcW w:w="1004"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jc w:val="center"/>
                  </w:pPr>
                  <w:r>
                    <w:t>单位</w:t>
                  </w:r>
                </w:p>
              </w:tc>
              <w:tc>
                <w:tcPr>
                  <w:tcW w:w="1000"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jc w:val="center"/>
                  </w:pPr>
                  <w:r>
                    <w:t>数量</w:t>
                  </w:r>
                </w:p>
              </w:tc>
              <w:tc>
                <w:tcPr>
                  <w:tcW w:w="1000"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jc w:val="center"/>
                  </w:pPr>
                  <w: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1"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jc w:val="center"/>
                  </w:pPr>
                  <w:r>
                    <w:t>1</w:t>
                  </w:r>
                </w:p>
              </w:tc>
              <w:tc>
                <w:tcPr>
                  <w:tcW w:w="1433"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jc w:val="center"/>
                  </w:pPr>
                  <w:r>
                    <w:t>总投资</w:t>
                  </w:r>
                </w:p>
              </w:tc>
              <w:tc>
                <w:tcPr>
                  <w:tcW w:w="1004"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jc w:val="center"/>
                  </w:pPr>
                  <w:r>
                    <w:t>万元</w:t>
                  </w:r>
                </w:p>
              </w:tc>
              <w:tc>
                <w:tcPr>
                  <w:tcW w:w="1000"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jc w:val="center"/>
                    <w:rPr>
                      <w:rFonts w:hint="default" w:eastAsia="宋体"/>
                      <w:lang w:val="en-US" w:eastAsia="zh-CN"/>
                    </w:rPr>
                  </w:pPr>
                  <w:r>
                    <w:rPr>
                      <w:rFonts w:hint="eastAsia"/>
                      <w:lang w:val="en-US" w:eastAsia="zh-CN"/>
                    </w:rPr>
                    <w:t>3000</w:t>
                  </w:r>
                </w:p>
              </w:tc>
              <w:tc>
                <w:tcPr>
                  <w:tcW w:w="1000"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jc w:val="center"/>
                  </w:pPr>
                  <w: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1"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jc w:val="center"/>
                  </w:pPr>
                  <w:r>
                    <w:t>2</w:t>
                  </w:r>
                </w:p>
              </w:tc>
              <w:tc>
                <w:tcPr>
                  <w:tcW w:w="1433"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jc w:val="center"/>
                  </w:pPr>
                  <w:r>
                    <w:t>占地面积</w:t>
                  </w:r>
                </w:p>
              </w:tc>
              <w:tc>
                <w:tcPr>
                  <w:tcW w:w="1004"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jc w:val="center"/>
                  </w:pPr>
                  <w:r>
                    <w:t>m²</w:t>
                  </w:r>
                </w:p>
              </w:tc>
              <w:tc>
                <w:tcPr>
                  <w:tcW w:w="1000"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jc w:val="center"/>
                  </w:pPr>
                  <w:r>
                    <w:rPr>
                      <w:rFonts w:hint="eastAsia" w:cs="Times New Roman"/>
                      <w:lang w:val="en-US" w:eastAsia="zh-CN"/>
                    </w:rPr>
                    <w:t>3333.3</w:t>
                  </w:r>
                </w:p>
              </w:tc>
              <w:tc>
                <w:tcPr>
                  <w:tcW w:w="1000"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jc w:val="center"/>
                  </w:pPr>
                  <w: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1"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jc w:val="center"/>
                  </w:pPr>
                  <w:r>
                    <w:t>3</w:t>
                  </w:r>
                </w:p>
              </w:tc>
              <w:tc>
                <w:tcPr>
                  <w:tcW w:w="1433"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jc w:val="center"/>
                  </w:pPr>
                  <w:r>
                    <w:t>建筑面积</w:t>
                  </w:r>
                </w:p>
              </w:tc>
              <w:tc>
                <w:tcPr>
                  <w:tcW w:w="1004"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jc w:val="center"/>
                  </w:pPr>
                  <w:r>
                    <w:t>m²</w:t>
                  </w:r>
                </w:p>
              </w:tc>
              <w:tc>
                <w:tcPr>
                  <w:tcW w:w="1000"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jc w:val="center"/>
                  </w:pPr>
                  <w:r>
                    <w:rPr>
                      <w:rFonts w:hint="eastAsia" w:cs="Times New Roman"/>
                      <w:lang w:val="en-US" w:eastAsia="zh-CN"/>
                    </w:rPr>
                    <w:t>1286.08</w:t>
                  </w:r>
                </w:p>
              </w:tc>
              <w:tc>
                <w:tcPr>
                  <w:tcW w:w="1000"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jc w:val="center"/>
                  </w:pPr>
                  <w: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1"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jc w:val="center"/>
                  </w:pPr>
                  <w:r>
                    <w:t>4</w:t>
                  </w:r>
                </w:p>
              </w:tc>
              <w:tc>
                <w:tcPr>
                  <w:tcW w:w="1433"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jc w:val="center"/>
                  </w:pPr>
                  <w:r>
                    <w:t>罩棚面积</w:t>
                  </w:r>
                </w:p>
              </w:tc>
              <w:tc>
                <w:tcPr>
                  <w:tcW w:w="1004"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jc w:val="center"/>
                  </w:pPr>
                  <w:r>
                    <w:t>m²</w:t>
                  </w:r>
                </w:p>
              </w:tc>
              <w:tc>
                <w:tcPr>
                  <w:tcW w:w="1000"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jc w:val="center"/>
                  </w:pPr>
                  <w:r>
                    <w:rPr>
                      <w:rFonts w:hint="eastAsia"/>
                      <w:lang w:val="en-US" w:eastAsia="zh-CN"/>
                    </w:rPr>
                    <w:t>325</w:t>
                  </w:r>
                </w:p>
              </w:tc>
              <w:tc>
                <w:tcPr>
                  <w:tcW w:w="1000"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jc w:val="center"/>
                    <w:rPr>
                      <w:rFonts w:hint="eastAsia" w:eastAsia="宋体"/>
                      <w:lang w:val="zh-CN" w:eastAsia="zh-CN"/>
                    </w:rPr>
                  </w:pPr>
                  <w:r>
                    <w:rPr>
                      <w:rFonts w:hint="eastAsia"/>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1"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jc w:val="center"/>
                  </w:pPr>
                  <w:r>
                    <w:t>5</w:t>
                  </w:r>
                </w:p>
              </w:tc>
              <w:tc>
                <w:tcPr>
                  <w:tcW w:w="1433"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jc w:val="center"/>
                    <w:rPr>
                      <w:lang w:val="zh-CN"/>
                    </w:rPr>
                  </w:pPr>
                  <w:r>
                    <w:t>站房</w:t>
                  </w:r>
                </w:p>
              </w:tc>
              <w:tc>
                <w:tcPr>
                  <w:tcW w:w="1004"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jc w:val="center"/>
                    <w:rPr>
                      <w:lang w:val="zh-CN"/>
                    </w:rPr>
                  </w:pPr>
                  <w:r>
                    <w:t>m²</w:t>
                  </w:r>
                </w:p>
              </w:tc>
              <w:tc>
                <w:tcPr>
                  <w:tcW w:w="1000"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jc w:val="center"/>
                    <w:rPr>
                      <w:rFonts w:hint="default"/>
                      <w:lang w:val="en-US"/>
                    </w:rPr>
                  </w:pPr>
                  <w:r>
                    <w:rPr>
                      <w:rFonts w:hint="default" w:ascii="Times New Roman" w:hAnsi="Times New Roman" w:cs="Times New Roman"/>
                      <w:lang w:val="en-US" w:eastAsia="zh-CN"/>
                    </w:rPr>
                    <w:t>395.94</w:t>
                  </w:r>
                </w:p>
              </w:tc>
              <w:tc>
                <w:tcPr>
                  <w:tcW w:w="1000"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jc w:val="center"/>
                    <w:rPr>
                      <w:rFonts w:hint="eastAsia" w:eastAsia="宋体"/>
                      <w:lang w:val="zh-CN" w:eastAsia="zh-CN"/>
                    </w:rPr>
                  </w:pPr>
                  <w:r>
                    <w:rPr>
                      <w:rFonts w:hint="eastAsia"/>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1"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jc w:val="center"/>
                    <w:rPr>
                      <w:rFonts w:ascii="Times New Roman" w:hAnsi="Times New Roman" w:eastAsia="宋体" w:cs="Times New Roman"/>
                      <w:kern w:val="0"/>
                      <w:sz w:val="21"/>
                      <w:szCs w:val="21"/>
                      <w:lang w:val="en-US" w:eastAsia="zh-CN" w:bidi="ar-SA"/>
                    </w:rPr>
                  </w:pPr>
                  <w:r>
                    <w:t>6</w:t>
                  </w:r>
                </w:p>
              </w:tc>
              <w:tc>
                <w:tcPr>
                  <w:tcW w:w="1433"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jc w:val="center"/>
                    <w:rPr>
                      <w:rFonts w:hint="eastAsia" w:eastAsia="宋体"/>
                      <w:lang w:eastAsia="zh-CN"/>
                    </w:rPr>
                  </w:pPr>
                  <w:r>
                    <w:rPr>
                      <w:rFonts w:hint="eastAsia"/>
                      <w:lang w:eastAsia="zh-CN"/>
                    </w:rPr>
                    <w:t>辅助用房</w:t>
                  </w:r>
                </w:p>
              </w:tc>
              <w:tc>
                <w:tcPr>
                  <w:tcW w:w="1004"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jc w:val="center"/>
                  </w:pPr>
                  <w:r>
                    <w:t>m²</w:t>
                  </w:r>
                </w:p>
              </w:tc>
              <w:tc>
                <w:tcPr>
                  <w:tcW w:w="1000"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jc w:val="center"/>
                    <w:rPr>
                      <w:rFonts w:hint="default" w:ascii="Times New Roman" w:hAnsi="Times New Roman" w:cs="Times New Roman"/>
                      <w:lang w:val="en-US" w:eastAsia="zh-CN"/>
                    </w:rPr>
                  </w:pPr>
                  <w:r>
                    <w:rPr>
                      <w:rFonts w:hint="default" w:ascii="Times New Roman" w:hAnsi="Times New Roman" w:cs="Times New Roman"/>
                      <w:lang w:val="en-US" w:eastAsia="zh-CN"/>
                    </w:rPr>
                    <w:t>542.94</w:t>
                  </w:r>
                </w:p>
              </w:tc>
              <w:tc>
                <w:tcPr>
                  <w:tcW w:w="1000"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jc w:val="center"/>
                    <w:rPr>
                      <w:rFonts w:hint="eastAsia"/>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1"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jc w:val="center"/>
                    <w:rPr>
                      <w:rFonts w:hint="eastAsia" w:ascii="Times New Roman" w:hAnsi="Times New Roman" w:eastAsia="宋体" w:cs="Times New Roman"/>
                      <w:kern w:val="0"/>
                      <w:sz w:val="21"/>
                      <w:szCs w:val="21"/>
                      <w:lang w:val="en-US" w:eastAsia="zh-CN" w:bidi="ar-SA"/>
                    </w:rPr>
                  </w:pPr>
                  <w:r>
                    <w:rPr>
                      <w:rFonts w:hint="eastAsia"/>
                      <w:lang w:val="en-US" w:eastAsia="zh-CN"/>
                    </w:rPr>
                    <w:t>7</w:t>
                  </w:r>
                </w:p>
              </w:tc>
              <w:tc>
                <w:tcPr>
                  <w:tcW w:w="1433"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jc w:val="center"/>
                    <w:rPr>
                      <w:rFonts w:hint="eastAsia" w:ascii="Times New Roman" w:hAnsi="Times New Roman" w:eastAsia="宋体" w:cs="Times New Roman"/>
                      <w:kern w:val="0"/>
                      <w:sz w:val="21"/>
                      <w:szCs w:val="21"/>
                      <w:lang w:val="zh-CN" w:eastAsia="zh-CN" w:bidi="ar-SA"/>
                    </w:rPr>
                  </w:pPr>
                  <w:r>
                    <w:rPr>
                      <w:rFonts w:hint="eastAsia"/>
                      <w:lang w:eastAsia="zh-CN"/>
                    </w:rPr>
                    <w:t>绿化面积</w:t>
                  </w:r>
                </w:p>
              </w:tc>
              <w:tc>
                <w:tcPr>
                  <w:tcW w:w="1004"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jc w:val="center"/>
                    <w:rPr>
                      <w:rFonts w:ascii="Times New Roman" w:hAnsi="Times New Roman" w:eastAsia="宋体" w:cs="Times New Roman"/>
                      <w:kern w:val="0"/>
                      <w:sz w:val="21"/>
                      <w:szCs w:val="21"/>
                      <w:lang w:val="zh-CN" w:eastAsia="zh-CN" w:bidi="ar-SA"/>
                    </w:rPr>
                  </w:pPr>
                  <w:r>
                    <w:t>m²</w:t>
                  </w:r>
                </w:p>
              </w:tc>
              <w:tc>
                <w:tcPr>
                  <w:tcW w:w="1000"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jc w:val="center"/>
                    <w:rPr>
                      <w:rFonts w:hint="default" w:ascii="Times New Roman" w:hAnsi="Times New Roman" w:eastAsia="宋体" w:cs="Times New Roman"/>
                      <w:kern w:val="0"/>
                      <w:sz w:val="21"/>
                      <w:szCs w:val="21"/>
                      <w:lang w:val="en-US" w:eastAsia="zh-CN" w:bidi="ar-SA"/>
                    </w:rPr>
                  </w:pPr>
                  <w:r>
                    <w:rPr>
                      <w:rFonts w:hint="eastAsia"/>
                      <w:lang w:val="en-US" w:eastAsia="zh-CN"/>
                    </w:rPr>
                    <w:t>333.3</w:t>
                  </w:r>
                </w:p>
              </w:tc>
              <w:tc>
                <w:tcPr>
                  <w:tcW w:w="1000"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jc w:val="center"/>
                    <w:rPr>
                      <w:rFonts w:hint="eastAsia" w:eastAsia="宋体"/>
                      <w:lang w:val="zh-CN" w:eastAsia="zh-CN"/>
                    </w:rPr>
                  </w:pPr>
                  <w:r>
                    <w:rPr>
                      <w:rFonts w:hint="eastAsia"/>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1"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jc w:val="center"/>
                    <w:rPr>
                      <w:rFonts w:hint="eastAsia" w:ascii="Times New Roman" w:hAnsi="Times New Roman" w:eastAsia="宋体" w:cs="Times New Roman"/>
                      <w:kern w:val="0"/>
                      <w:sz w:val="21"/>
                      <w:szCs w:val="21"/>
                      <w:lang w:val="en-US" w:eastAsia="zh-CN" w:bidi="ar-SA"/>
                    </w:rPr>
                  </w:pPr>
                  <w:r>
                    <w:rPr>
                      <w:rFonts w:hint="eastAsia"/>
                      <w:lang w:val="en-US" w:eastAsia="zh-CN"/>
                    </w:rPr>
                    <w:t>8</w:t>
                  </w:r>
                </w:p>
              </w:tc>
              <w:tc>
                <w:tcPr>
                  <w:tcW w:w="1433"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jc w:val="center"/>
                    <w:rPr>
                      <w:rFonts w:hint="eastAsia" w:ascii="Times New Roman" w:hAnsi="Times New Roman" w:eastAsia="宋体" w:cs="Times New Roman"/>
                      <w:kern w:val="0"/>
                      <w:sz w:val="21"/>
                      <w:szCs w:val="21"/>
                      <w:lang w:val="en-US" w:eastAsia="zh-CN" w:bidi="ar-SA"/>
                    </w:rPr>
                  </w:pPr>
                  <w:r>
                    <w:t>零售柴油</w:t>
                  </w:r>
                </w:p>
              </w:tc>
              <w:tc>
                <w:tcPr>
                  <w:tcW w:w="1004"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jc w:val="center"/>
                    <w:rPr>
                      <w:rFonts w:ascii="Times New Roman" w:hAnsi="Times New Roman" w:eastAsia="宋体" w:cs="Times New Roman"/>
                      <w:kern w:val="0"/>
                      <w:sz w:val="21"/>
                      <w:szCs w:val="21"/>
                      <w:lang w:val="en-US" w:eastAsia="zh-CN" w:bidi="ar-SA"/>
                    </w:rPr>
                  </w:pPr>
                  <w:r>
                    <w:t>t/a</w:t>
                  </w:r>
                </w:p>
              </w:tc>
              <w:tc>
                <w:tcPr>
                  <w:tcW w:w="1000"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jc w:val="center"/>
                    <w:rPr>
                      <w:rFonts w:hint="default" w:ascii="Times New Roman" w:hAnsi="Times New Roman" w:eastAsia="宋体" w:cs="Times New Roman"/>
                      <w:kern w:val="0"/>
                      <w:sz w:val="21"/>
                      <w:szCs w:val="21"/>
                      <w:lang w:val="en-US" w:eastAsia="zh-CN" w:bidi="ar-SA"/>
                    </w:rPr>
                  </w:pPr>
                  <w:r>
                    <w:rPr>
                      <w:rFonts w:hint="eastAsia"/>
                      <w:lang w:val="en-US" w:eastAsia="zh-CN"/>
                    </w:rPr>
                    <w:t>300</w:t>
                  </w:r>
                </w:p>
              </w:tc>
              <w:tc>
                <w:tcPr>
                  <w:tcW w:w="1000"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jc w:val="center"/>
                    <w:rPr>
                      <w:rFonts w:ascii="Times New Roman" w:hAnsi="Times New Roman" w:eastAsia="宋体" w:cs="Times New Roman"/>
                      <w:kern w:val="0"/>
                      <w:sz w:val="21"/>
                      <w:szCs w:val="21"/>
                      <w:lang w:val="en-US" w:eastAsia="zh-CN" w:bidi="ar-SA"/>
                    </w:rPr>
                  </w:pPr>
                  <w: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1"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jc w:val="center"/>
                    <w:rPr>
                      <w:rFonts w:hint="eastAsia" w:ascii="Times New Roman" w:hAnsi="Times New Roman" w:eastAsia="宋体" w:cs="Times New Roman"/>
                      <w:kern w:val="0"/>
                      <w:sz w:val="21"/>
                      <w:szCs w:val="21"/>
                      <w:lang w:val="en-US" w:eastAsia="zh-CN" w:bidi="ar-SA"/>
                    </w:rPr>
                  </w:pPr>
                  <w:r>
                    <w:rPr>
                      <w:rFonts w:hint="eastAsia"/>
                      <w:lang w:val="en-US" w:eastAsia="zh-CN"/>
                    </w:rPr>
                    <w:t>9</w:t>
                  </w:r>
                </w:p>
              </w:tc>
              <w:tc>
                <w:tcPr>
                  <w:tcW w:w="1433"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jc w:val="center"/>
                    <w:rPr>
                      <w:rFonts w:ascii="Times New Roman" w:hAnsi="Times New Roman" w:eastAsia="宋体" w:cs="Times New Roman"/>
                      <w:kern w:val="0"/>
                      <w:sz w:val="21"/>
                      <w:szCs w:val="21"/>
                      <w:lang w:val="en-US" w:eastAsia="zh-CN" w:bidi="ar-SA"/>
                    </w:rPr>
                  </w:pPr>
                  <w:r>
                    <w:t>零售汽油</w:t>
                  </w:r>
                </w:p>
              </w:tc>
              <w:tc>
                <w:tcPr>
                  <w:tcW w:w="1004"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jc w:val="center"/>
                    <w:rPr>
                      <w:rFonts w:ascii="Times New Roman" w:hAnsi="Times New Roman" w:eastAsia="宋体" w:cs="Times New Roman"/>
                      <w:kern w:val="0"/>
                      <w:sz w:val="21"/>
                      <w:szCs w:val="21"/>
                      <w:lang w:val="en-US" w:eastAsia="zh-CN" w:bidi="ar-SA"/>
                    </w:rPr>
                  </w:pPr>
                  <w:r>
                    <w:t>t/a</w:t>
                  </w:r>
                </w:p>
              </w:tc>
              <w:tc>
                <w:tcPr>
                  <w:tcW w:w="1000"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jc w:val="center"/>
                    <w:rPr>
                      <w:rFonts w:hint="default" w:ascii="Times New Roman" w:hAnsi="Times New Roman" w:eastAsia="宋体" w:cs="Times New Roman"/>
                      <w:kern w:val="0"/>
                      <w:sz w:val="21"/>
                      <w:szCs w:val="21"/>
                      <w:lang w:val="en-US" w:eastAsia="zh-CN" w:bidi="ar-SA"/>
                    </w:rPr>
                  </w:pPr>
                  <w:r>
                    <w:rPr>
                      <w:rFonts w:hint="eastAsia"/>
                      <w:lang w:val="en-US" w:eastAsia="zh-CN"/>
                    </w:rPr>
                    <w:t>700</w:t>
                  </w:r>
                </w:p>
              </w:tc>
              <w:tc>
                <w:tcPr>
                  <w:tcW w:w="1000"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jc w:val="center"/>
                    <w:rPr>
                      <w:rFonts w:ascii="Times New Roman" w:hAnsi="Times New Roman" w:eastAsia="宋体" w:cs="Times New Roman"/>
                      <w:kern w:val="0"/>
                      <w:sz w:val="21"/>
                      <w:szCs w:val="21"/>
                      <w:lang w:val="en-US" w:eastAsia="zh-CN" w:bidi="ar-SA"/>
                    </w:rPr>
                  </w:pPr>
                  <w: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1"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jc w:val="center"/>
                    <w:rPr>
                      <w:rFonts w:hint="eastAsia" w:eastAsia="宋体"/>
                      <w:lang w:val="en-US" w:eastAsia="zh-CN"/>
                    </w:rPr>
                  </w:pPr>
                </w:p>
              </w:tc>
              <w:tc>
                <w:tcPr>
                  <w:tcW w:w="1433"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jc w:val="center"/>
                    <w:rPr>
                      <w:rFonts w:ascii="Times New Roman" w:hAnsi="Times New Roman" w:eastAsia="宋体" w:cs="Times New Roman"/>
                      <w:kern w:val="0"/>
                      <w:sz w:val="21"/>
                      <w:szCs w:val="21"/>
                      <w:lang w:val="en-US" w:eastAsia="zh-CN" w:bidi="ar-SA"/>
                    </w:rPr>
                  </w:pPr>
                  <w:r>
                    <w:t>加油站级别</w:t>
                  </w:r>
                </w:p>
              </w:tc>
              <w:tc>
                <w:tcPr>
                  <w:tcW w:w="1004"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jc w:val="center"/>
                    <w:rPr>
                      <w:rFonts w:ascii="Times New Roman" w:hAnsi="Times New Roman" w:eastAsia="宋体" w:cs="Times New Roman"/>
                      <w:kern w:val="0"/>
                      <w:sz w:val="21"/>
                      <w:szCs w:val="21"/>
                      <w:lang w:val="en-US" w:eastAsia="zh-CN" w:bidi="ar-SA"/>
                    </w:rPr>
                  </w:pPr>
                  <w:r>
                    <w:t>/</w:t>
                  </w:r>
                </w:p>
              </w:tc>
              <w:tc>
                <w:tcPr>
                  <w:tcW w:w="1000"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jc w:val="center"/>
                    <w:rPr>
                      <w:rFonts w:hint="default" w:ascii="Times New Roman" w:hAnsi="Times New Roman" w:eastAsia="宋体" w:cs="Times New Roman"/>
                      <w:kern w:val="0"/>
                      <w:sz w:val="21"/>
                      <w:szCs w:val="21"/>
                      <w:lang w:val="en-US" w:eastAsia="zh-CN" w:bidi="ar-SA"/>
                    </w:rPr>
                  </w:pPr>
                  <w:r>
                    <w:t>/</w:t>
                  </w:r>
                </w:p>
              </w:tc>
              <w:tc>
                <w:tcPr>
                  <w:tcW w:w="1000"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jc w:val="center"/>
                    <w:rPr>
                      <w:rFonts w:ascii="Times New Roman" w:hAnsi="Times New Roman" w:eastAsia="宋体" w:cs="Times New Roman"/>
                      <w:kern w:val="0"/>
                      <w:sz w:val="21"/>
                      <w:szCs w:val="21"/>
                      <w:lang w:val="en-US" w:eastAsia="zh-CN" w:bidi="ar-SA"/>
                    </w:rPr>
                  </w:pPr>
                  <w:r>
                    <w:rPr>
                      <w:rFonts w:hint="eastAsia"/>
                      <w:lang w:eastAsia="zh-CN"/>
                    </w:rPr>
                    <w:t>二</w:t>
                  </w:r>
                  <w:r>
                    <w:t>级</w:t>
                  </w:r>
                </w:p>
              </w:tc>
            </w:tr>
          </w:tbl>
          <w:p>
            <w:pPr>
              <w:pStyle w:val="14"/>
              <w:bidi w:val="0"/>
              <w:rPr>
                <w:rFonts w:hint="default" w:ascii="Times New Roman" w:hAnsi="Times New Roman" w:cs="Times New Roman"/>
              </w:rPr>
            </w:pPr>
            <w:r>
              <w:rPr>
                <w:rFonts w:hint="default" w:ascii="Times New Roman" w:hAnsi="Times New Roman" w:cs="Times New Roman"/>
              </w:rPr>
              <w:t xml:space="preserve">  3、产品方案</w:t>
            </w:r>
          </w:p>
          <w:p>
            <w:pPr>
              <w:pStyle w:val="14"/>
              <w:ind w:firstLine="480"/>
              <w:rPr>
                <w:color w:val="000000"/>
              </w:rPr>
            </w:pPr>
            <w:r>
              <w:rPr>
                <w:color w:val="000000"/>
              </w:rPr>
              <w:t>项目年销售</w:t>
            </w:r>
            <w:r>
              <w:rPr>
                <w:rFonts w:hint="eastAsia"/>
                <w:color w:val="000000"/>
                <w:lang w:eastAsia="zh-CN"/>
              </w:rPr>
              <w:t>柴油300吨</w:t>
            </w:r>
            <w:r>
              <w:rPr>
                <w:color w:val="000000"/>
              </w:rPr>
              <w:t>、</w:t>
            </w:r>
            <w:r>
              <w:rPr>
                <w:rFonts w:hint="eastAsia"/>
                <w:color w:val="000000"/>
                <w:lang w:eastAsia="zh-CN"/>
              </w:rPr>
              <w:t>汽油700吨</w:t>
            </w:r>
            <w:r>
              <w:rPr>
                <w:color w:val="000000"/>
              </w:rPr>
              <w:t xml:space="preserve">；项目销售量见下表。 </w:t>
            </w:r>
          </w:p>
          <w:p>
            <w:pPr>
              <w:pStyle w:val="36"/>
              <w:tabs>
                <w:tab w:val="left" w:pos="1021"/>
              </w:tabs>
            </w:pPr>
            <w:r>
              <w:t>表</w:t>
            </w:r>
            <w:r>
              <w:rPr>
                <w:rFonts w:hint="eastAsia"/>
                <w:lang w:val="en-US" w:eastAsia="zh-CN"/>
              </w:rPr>
              <w:t>2.1-3</w:t>
            </w:r>
            <w:r>
              <w:t>项目销售规模及产品方案一览表</w:t>
            </w:r>
          </w:p>
          <w:tbl>
            <w:tblPr>
              <w:tblStyle w:val="3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33"/>
              <w:gridCol w:w="1895"/>
              <w:gridCol w:w="1895"/>
              <w:gridCol w:w="18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18"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t>主要产品名称</w:t>
                  </w:r>
                </w:p>
              </w:tc>
              <w:tc>
                <w:tcPr>
                  <w:tcW w:w="1260"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t>储存量（m³/个）</w:t>
                  </w:r>
                </w:p>
              </w:tc>
              <w:tc>
                <w:tcPr>
                  <w:tcW w:w="1260"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t>储存罐数（个）</w:t>
                  </w:r>
                </w:p>
              </w:tc>
              <w:tc>
                <w:tcPr>
                  <w:tcW w:w="1260"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t>年销售量（t/a）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18" w:type="pct"/>
                  <w:tcBorders>
                    <w:top w:val="single" w:color="auto" w:sz="4" w:space="0"/>
                    <w:left w:val="single" w:color="auto" w:sz="4" w:space="0"/>
                    <w:right w:val="single" w:color="auto" w:sz="4" w:space="0"/>
                  </w:tcBorders>
                  <w:vAlign w:val="center"/>
                </w:tcPr>
                <w:p>
                  <w:pPr>
                    <w:pStyle w:val="35"/>
                    <w:tabs>
                      <w:tab w:val="left" w:pos="1021"/>
                    </w:tabs>
                    <w:rPr>
                      <w:rFonts w:hint="default" w:eastAsia="宋体"/>
                      <w:lang w:val="en-US" w:eastAsia="zh-CN"/>
                    </w:rPr>
                  </w:pPr>
                  <w:r>
                    <w:t>汽油</w:t>
                  </w:r>
                  <w:r>
                    <w:rPr>
                      <w:rFonts w:hint="eastAsia"/>
                      <w:lang w:val="en-US" w:eastAsia="zh-CN"/>
                    </w:rPr>
                    <w:t>92#</w:t>
                  </w:r>
                </w:p>
              </w:tc>
              <w:tc>
                <w:tcPr>
                  <w:tcW w:w="1260"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rPr>
                      <w:rFonts w:hint="default" w:eastAsia="宋体"/>
                      <w:lang w:val="en-US" w:eastAsia="zh-CN"/>
                    </w:rPr>
                  </w:pPr>
                  <w:r>
                    <w:rPr>
                      <w:rFonts w:hint="eastAsia"/>
                      <w:lang w:val="en-US" w:eastAsia="zh-CN"/>
                    </w:rPr>
                    <w:t>40</w:t>
                  </w:r>
                </w:p>
              </w:tc>
              <w:tc>
                <w:tcPr>
                  <w:tcW w:w="1260"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rPr>
                      <w:rFonts w:hint="default" w:eastAsia="宋体"/>
                      <w:lang w:val="en-US" w:eastAsia="zh-CN"/>
                    </w:rPr>
                  </w:pPr>
                  <w:r>
                    <w:rPr>
                      <w:rFonts w:hint="eastAsia"/>
                      <w:lang w:val="en-US" w:eastAsia="zh-CN"/>
                    </w:rPr>
                    <w:t>2</w:t>
                  </w:r>
                </w:p>
              </w:tc>
              <w:tc>
                <w:tcPr>
                  <w:tcW w:w="1260" w:type="pct"/>
                  <w:vMerge w:val="restart"/>
                  <w:tcBorders>
                    <w:top w:val="single" w:color="auto" w:sz="4" w:space="0"/>
                    <w:left w:val="single" w:color="auto" w:sz="4" w:space="0"/>
                    <w:right w:val="single" w:color="auto" w:sz="4" w:space="0"/>
                  </w:tcBorders>
                  <w:vAlign w:val="center"/>
                </w:tcPr>
                <w:p>
                  <w:pPr>
                    <w:pStyle w:val="35"/>
                    <w:tabs>
                      <w:tab w:val="left" w:pos="1021"/>
                    </w:tabs>
                    <w:rPr>
                      <w:rFonts w:hint="default"/>
                      <w:lang w:val="en-US"/>
                    </w:rPr>
                  </w:pPr>
                  <w:r>
                    <w:rPr>
                      <w:rFonts w:hint="eastAsia"/>
                      <w:lang w:val="en-US" w:eastAsia="zh-CN"/>
                    </w:rPr>
                    <w:t>700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18" w:type="pct"/>
                  <w:tcBorders>
                    <w:left w:val="single" w:color="auto" w:sz="4" w:space="0"/>
                    <w:right w:val="single" w:color="auto" w:sz="4" w:space="0"/>
                  </w:tcBorders>
                  <w:vAlign w:val="center"/>
                </w:tcPr>
                <w:p>
                  <w:pPr>
                    <w:pStyle w:val="35"/>
                    <w:tabs>
                      <w:tab w:val="left" w:pos="1021"/>
                    </w:tabs>
                  </w:pPr>
                  <w:r>
                    <w:t>汽油</w:t>
                  </w:r>
                  <w:r>
                    <w:rPr>
                      <w:rFonts w:hint="eastAsia"/>
                      <w:lang w:val="en-US" w:eastAsia="zh-CN"/>
                    </w:rPr>
                    <w:t>95#</w:t>
                  </w:r>
                </w:p>
              </w:tc>
              <w:tc>
                <w:tcPr>
                  <w:tcW w:w="1260"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rPr>
                      <w:rFonts w:hint="default"/>
                      <w:lang w:val="en-US" w:eastAsia="zh-CN"/>
                    </w:rPr>
                  </w:pPr>
                  <w:r>
                    <w:rPr>
                      <w:rFonts w:hint="eastAsia"/>
                      <w:lang w:val="en-US" w:eastAsia="zh-CN"/>
                    </w:rPr>
                    <w:t>40</w:t>
                  </w:r>
                </w:p>
              </w:tc>
              <w:tc>
                <w:tcPr>
                  <w:tcW w:w="1260"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rPr>
                      <w:rFonts w:hint="default"/>
                      <w:lang w:val="en-US" w:eastAsia="zh-CN"/>
                    </w:rPr>
                  </w:pPr>
                  <w:r>
                    <w:rPr>
                      <w:rFonts w:hint="eastAsia"/>
                      <w:lang w:val="en-US" w:eastAsia="zh-CN"/>
                    </w:rPr>
                    <w:t>1</w:t>
                  </w:r>
                </w:p>
              </w:tc>
              <w:tc>
                <w:tcPr>
                  <w:tcW w:w="1260" w:type="pct"/>
                  <w:vMerge w:val="continue"/>
                  <w:tcBorders>
                    <w:left w:val="single" w:color="auto" w:sz="4" w:space="0"/>
                    <w:right w:val="single" w:color="auto" w:sz="4" w:space="0"/>
                  </w:tcBorders>
                  <w:vAlign w:val="center"/>
                </w:tcPr>
                <w:p>
                  <w:pPr>
                    <w:pStyle w:val="35"/>
                    <w:tabs>
                      <w:tab w:val="left" w:pos="1021"/>
                    </w:tabs>
                    <w:rPr>
                      <w:rFonts w:hint="eastAsia"/>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18"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t>柴油0#</w:t>
                  </w:r>
                </w:p>
              </w:tc>
              <w:tc>
                <w:tcPr>
                  <w:tcW w:w="1260"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rPr>
                      <w:rFonts w:hint="default"/>
                      <w:lang w:val="en-US"/>
                    </w:rPr>
                  </w:pPr>
                  <w:r>
                    <w:rPr>
                      <w:rFonts w:hint="eastAsia"/>
                      <w:lang w:val="en-US" w:eastAsia="zh-CN"/>
                    </w:rPr>
                    <w:t>50</w:t>
                  </w:r>
                </w:p>
              </w:tc>
              <w:tc>
                <w:tcPr>
                  <w:tcW w:w="1260"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rPr>
                      <w:rFonts w:hint="eastAsia" w:eastAsia="宋体"/>
                      <w:lang w:eastAsia="zh-CN"/>
                    </w:rPr>
                  </w:pPr>
                  <w:r>
                    <w:rPr>
                      <w:rFonts w:hint="eastAsia"/>
                      <w:lang w:val="en-US" w:eastAsia="zh-CN"/>
                    </w:rPr>
                    <w:t>1</w:t>
                  </w:r>
                </w:p>
              </w:tc>
              <w:tc>
                <w:tcPr>
                  <w:tcW w:w="1260"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rPr>
                      <w:rFonts w:hint="default" w:eastAsia="宋体"/>
                      <w:lang w:val="en-US" w:eastAsia="zh-CN"/>
                    </w:rPr>
                  </w:pPr>
                  <w:r>
                    <w:rPr>
                      <w:rFonts w:hint="eastAsia"/>
                      <w:lang w:val="en-US" w:eastAsia="zh-CN"/>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18"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t>合计</w:t>
                  </w:r>
                </w:p>
              </w:tc>
              <w:tc>
                <w:tcPr>
                  <w:tcW w:w="2520" w:type="pct"/>
                  <w:gridSpan w:val="2"/>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rPr>
                      <w:rFonts w:hint="eastAsia"/>
                      <w:lang w:val="en-US" w:eastAsia="zh-CN"/>
                    </w:rPr>
                    <w:t>145</w:t>
                  </w:r>
                  <w:r>
                    <w:t>（柴油折半计算）</w:t>
                  </w:r>
                </w:p>
              </w:tc>
              <w:tc>
                <w:tcPr>
                  <w:tcW w:w="1260"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rPr>
                      <w:rFonts w:hint="default" w:eastAsia="宋体"/>
                      <w:lang w:val="en-US" w:eastAsia="zh-CN"/>
                    </w:rPr>
                  </w:pPr>
                  <w:r>
                    <w:rPr>
                      <w:rFonts w:hint="eastAsia"/>
                      <w:lang w:val="en-US" w:eastAsia="zh-CN"/>
                    </w:rPr>
                    <w:t>1000</w:t>
                  </w:r>
                </w:p>
              </w:tc>
            </w:tr>
          </w:tbl>
          <w:p>
            <w:pPr>
              <w:pStyle w:val="14"/>
              <w:bidi w:val="0"/>
            </w:pPr>
            <w:r>
              <w:rPr>
                <w:rFonts w:hint="eastAsia"/>
                <w:lang w:val="en-US" w:eastAsia="zh-CN"/>
              </w:rPr>
              <w:t>4</w:t>
            </w:r>
            <w:r>
              <w:t xml:space="preserve">、项目场站等级 </w:t>
            </w:r>
          </w:p>
          <w:p>
            <w:pPr>
              <w:pStyle w:val="14"/>
              <w:bidi w:val="0"/>
            </w:pPr>
            <w:r>
              <w:t>本加油站共有卧式地埋式双层防漏储油钢罐4个，其中</w:t>
            </w:r>
            <w:r>
              <w:rPr>
                <w:rFonts w:hint="eastAsia"/>
                <w:lang w:val="en-US" w:eastAsia="zh-CN"/>
              </w:rPr>
              <w:t>50m</w:t>
            </w:r>
            <w:r>
              <w:rPr>
                <w:rFonts w:hint="default"/>
                <w:lang w:val="en-US" w:eastAsia="zh-CN"/>
              </w:rPr>
              <w:t>³</w:t>
            </w:r>
            <w:r>
              <w:rPr>
                <w:rFonts w:hint="eastAsia"/>
                <w:lang w:val="en-US" w:eastAsia="zh-CN"/>
              </w:rPr>
              <w:t xml:space="preserve"> 柴油罐1个、40m</w:t>
            </w:r>
            <w:r>
              <w:rPr>
                <w:rFonts w:hint="default"/>
                <w:lang w:val="en-US" w:eastAsia="zh-CN"/>
              </w:rPr>
              <w:t>³</w:t>
            </w:r>
            <w:r>
              <w:rPr>
                <w:rFonts w:hint="eastAsia"/>
                <w:lang w:val="en-US" w:eastAsia="zh-CN"/>
              </w:rPr>
              <w:t xml:space="preserve"> 汽油罐3个</w:t>
            </w:r>
            <w:r>
              <w:rPr>
                <w:rFonts w:hint="eastAsia"/>
                <w:lang w:eastAsia="zh-CN"/>
              </w:rPr>
              <w:t>，折合汽油量为</w:t>
            </w:r>
            <w:r>
              <w:rPr>
                <w:rFonts w:hint="eastAsia"/>
                <w:lang w:val="en-US" w:eastAsia="zh-CN"/>
              </w:rPr>
              <w:t>145</w:t>
            </w:r>
            <w:r>
              <w:t>m³</w:t>
            </w:r>
            <w:r>
              <w:rPr>
                <w:rFonts w:hint="eastAsia"/>
              </w:rPr>
              <w:t>（柴油折半计</w:t>
            </w:r>
            <w:r>
              <w:rPr>
                <w:rFonts w:hint="eastAsia"/>
                <w:lang w:eastAsia="zh-CN"/>
              </w:rPr>
              <w:t>算</w:t>
            </w:r>
            <w:r>
              <w:rPr>
                <w:rFonts w:hint="eastAsia"/>
              </w:rPr>
              <w:t>）</w:t>
            </w:r>
            <w:r>
              <w:t xml:space="preserve">。 </w:t>
            </w:r>
          </w:p>
          <w:p>
            <w:pPr>
              <w:pStyle w:val="14"/>
              <w:bidi w:val="0"/>
            </w:pPr>
            <w:r>
              <w:t>根据</w:t>
            </w:r>
            <w:r>
              <w:rPr>
                <w:rFonts w:hint="eastAsia"/>
                <w:lang w:eastAsia="zh-CN"/>
              </w:rPr>
              <w:t>《汽车加油加气加氢站技术标准》（GB 50156-2021）</w:t>
            </w:r>
            <w:r>
              <w:t>，本项目属于</w:t>
            </w:r>
            <w:r>
              <w:rPr>
                <w:rFonts w:hint="eastAsia"/>
                <w:lang w:eastAsia="zh-CN"/>
              </w:rPr>
              <w:t>二</w:t>
            </w:r>
            <w:r>
              <w:t>级加油站。</w:t>
            </w:r>
          </w:p>
          <w:p>
            <w:pPr>
              <w:pStyle w:val="36"/>
              <w:tabs>
                <w:tab w:val="left" w:pos="1021"/>
              </w:tabs>
              <w:rPr>
                <w:color w:val="000000"/>
                <w:szCs w:val="21"/>
              </w:rPr>
            </w:pPr>
            <w:r>
              <w:t>表</w:t>
            </w:r>
            <w:r>
              <w:rPr>
                <w:rFonts w:hint="eastAsia"/>
                <w:lang w:val="en-US" w:eastAsia="zh-CN"/>
              </w:rPr>
              <w:t>2.1-4</w:t>
            </w:r>
            <w:r>
              <w:rPr>
                <w:color w:val="000000"/>
                <w:szCs w:val="21"/>
              </w:rPr>
              <w:t xml:space="preserve">加油站的等级划分 </w:t>
            </w:r>
          </w:p>
          <w:tbl>
            <w:tblPr>
              <w:tblStyle w:val="31"/>
              <w:tblW w:w="4999"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
            <w:tblGrid>
              <w:gridCol w:w="2252"/>
              <w:gridCol w:w="2540"/>
              <w:gridCol w:w="2719"/>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hRule="atLeast"/>
                <w:jc w:val="center"/>
              </w:trPr>
              <w:tc>
                <w:tcPr>
                  <w:tcW w:w="1499" w:type="pct"/>
                  <w:vMerge w:val="restart"/>
                  <w:tcBorders>
                    <w:top w:val="single" w:color="000000" w:sz="8" w:space="0"/>
                    <w:left w:val="single" w:color="000000" w:sz="8" w:space="0"/>
                    <w:bottom w:val="single" w:color="000000" w:sz="8" w:space="0"/>
                    <w:right w:val="single" w:color="000000" w:sz="8" w:space="0"/>
                  </w:tcBorders>
                  <w:vAlign w:val="center"/>
                </w:tcPr>
                <w:p>
                  <w:pPr>
                    <w:pStyle w:val="35"/>
                    <w:tabs>
                      <w:tab w:val="left" w:pos="1021"/>
                    </w:tabs>
                  </w:pPr>
                  <w:r>
                    <w:t>级别</w:t>
                  </w:r>
                </w:p>
              </w:tc>
              <w:tc>
                <w:tcPr>
                  <w:tcW w:w="3500" w:type="pct"/>
                  <w:gridSpan w:val="2"/>
                  <w:tcBorders>
                    <w:top w:val="single" w:color="000000" w:sz="8" w:space="0"/>
                    <w:left w:val="single" w:color="000000" w:sz="8" w:space="0"/>
                    <w:bottom w:val="single" w:color="000000" w:sz="8" w:space="0"/>
                    <w:right w:val="single" w:color="000000" w:sz="8" w:space="0"/>
                  </w:tcBorders>
                  <w:vAlign w:val="center"/>
                </w:tcPr>
                <w:p>
                  <w:pPr>
                    <w:pStyle w:val="35"/>
                    <w:tabs>
                      <w:tab w:val="left" w:pos="1021"/>
                    </w:tabs>
                  </w:pPr>
                  <w:r>
                    <w:t>油罐容积（m³）</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hRule="atLeast"/>
                <w:jc w:val="center"/>
              </w:trPr>
              <w:tc>
                <w:tcPr>
                  <w:tcW w:w="1499" w:type="pct"/>
                  <w:vMerge w:val="continue"/>
                  <w:tcBorders>
                    <w:top w:val="single" w:color="000000" w:sz="8" w:space="0"/>
                    <w:left w:val="single" w:color="000000" w:sz="8" w:space="0"/>
                    <w:bottom w:val="single" w:color="000000" w:sz="8" w:space="0"/>
                    <w:right w:val="single" w:color="000000" w:sz="8" w:space="0"/>
                  </w:tcBorders>
                  <w:vAlign w:val="center"/>
                </w:tcPr>
                <w:p>
                  <w:pPr>
                    <w:pStyle w:val="35"/>
                    <w:tabs>
                      <w:tab w:val="left" w:pos="1021"/>
                    </w:tabs>
                  </w:pPr>
                </w:p>
              </w:tc>
              <w:tc>
                <w:tcPr>
                  <w:tcW w:w="1691" w:type="pct"/>
                  <w:tcBorders>
                    <w:top w:val="single" w:color="000000" w:sz="8" w:space="0"/>
                    <w:left w:val="single" w:color="000000" w:sz="8" w:space="0"/>
                    <w:bottom w:val="single" w:color="000000" w:sz="8" w:space="0"/>
                    <w:right w:val="single" w:color="000000" w:sz="8" w:space="0"/>
                  </w:tcBorders>
                  <w:vAlign w:val="center"/>
                </w:tcPr>
                <w:p>
                  <w:pPr>
                    <w:pStyle w:val="35"/>
                    <w:tabs>
                      <w:tab w:val="left" w:pos="1021"/>
                    </w:tabs>
                  </w:pPr>
                  <w:r>
                    <w:t>总容积</w:t>
                  </w:r>
                </w:p>
              </w:tc>
              <w:tc>
                <w:tcPr>
                  <w:tcW w:w="1809" w:type="pct"/>
                  <w:tcBorders>
                    <w:top w:val="single" w:color="000000" w:sz="8" w:space="0"/>
                    <w:left w:val="single" w:color="000000" w:sz="8" w:space="0"/>
                    <w:bottom w:val="single" w:color="000000" w:sz="8" w:space="0"/>
                    <w:right w:val="single" w:color="000000" w:sz="8" w:space="0"/>
                  </w:tcBorders>
                  <w:vAlign w:val="center"/>
                </w:tcPr>
                <w:p>
                  <w:pPr>
                    <w:pStyle w:val="35"/>
                    <w:tabs>
                      <w:tab w:val="left" w:pos="1021"/>
                    </w:tabs>
                  </w:pPr>
                  <w:r>
                    <w:t>单罐容积</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hRule="atLeast"/>
                <w:jc w:val="center"/>
              </w:trPr>
              <w:tc>
                <w:tcPr>
                  <w:tcW w:w="1499" w:type="pct"/>
                  <w:tcBorders>
                    <w:top w:val="single" w:color="000000" w:sz="8" w:space="0"/>
                    <w:left w:val="single" w:color="000000" w:sz="8" w:space="0"/>
                    <w:bottom w:val="single" w:color="000000" w:sz="8" w:space="0"/>
                    <w:right w:val="single" w:color="000000" w:sz="8" w:space="0"/>
                  </w:tcBorders>
                  <w:vAlign w:val="center"/>
                </w:tcPr>
                <w:p>
                  <w:pPr>
                    <w:pStyle w:val="35"/>
                    <w:tabs>
                      <w:tab w:val="left" w:pos="1021"/>
                    </w:tabs>
                  </w:pPr>
                  <w:r>
                    <w:t>一级</w:t>
                  </w:r>
                </w:p>
              </w:tc>
              <w:tc>
                <w:tcPr>
                  <w:tcW w:w="1691" w:type="pct"/>
                  <w:tcBorders>
                    <w:top w:val="single" w:color="000000" w:sz="8" w:space="0"/>
                    <w:left w:val="single" w:color="000000" w:sz="8" w:space="0"/>
                    <w:bottom w:val="single" w:color="000000" w:sz="8" w:space="0"/>
                    <w:right w:val="single" w:color="000000" w:sz="8" w:space="0"/>
                  </w:tcBorders>
                  <w:vAlign w:val="center"/>
                </w:tcPr>
                <w:p>
                  <w:pPr>
                    <w:pStyle w:val="35"/>
                    <w:tabs>
                      <w:tab w:val="left" w:pos="1021"/>
                    </w:tabs>
                  </w:pPr>
                  <w:r>
                    <w:t>150＜V≤210</w:t>
                  </w:r>
                </w:p>
              </w:tc>
              <w:tc>
                <w:tcPr>
                  <w:tcW w:w="1809" w:type="pct"/>
                  <w:tcBorders>
                    <w:top w:val="single" w:color="000000" w:sz="8" w:space="0"/>
                    <w:left w:val="single" w:color="000000" w:sz="8" w:space="0"/>
                    <w:bottom w:val="single" w:color="000000" w:sz="8" w:space="0"/>
                    <w:right w:val="single" w:color="000000" w:sz="8" w:space="0"/>
                  </w:tcBorders>
                  <w:vAlign w:val="center"/>
                </w:tcPr>
                <w:p>
                  <w:pPr>
                    <w:pStyle w:val="35"/>
                    <w:tabs>
                      <w:tab w:val="left" w:pos="1021"/>
                    </w:tabs>
                  </w:pPr>
                  <w:r>
                    <w:t>V≤50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hRule="atLeast"/>
                <w:jc w:val="center"/>
              </w:trPr>
              <w:tc>
                <w:tcPr>
                  <w:tcW w:w="1499" w:type="pct"/>
                  <w:tcBorders>
                    <w:top w:val="single" w:color="000000" w:sz="8" w:space="0"/>
                    <w:left w:val="single" w:color="000000" w:sz="8" w:space="0"/>
                    <w:bottom w:val="single" w:color="000000" w:sz="8" w:space="0"/>
                    <w:right w:val="single" w:color="000000" w:sz="8" w:space="0"/>
                  </w:tcBorders>
                  <w:vAlign w:val="center"/>
                </w:tcPr>
                <w:p>
                  <w:pPr>
                    <w:pStyle w:val="35"/>
                    <w:tabs>
                      <w:tab w:val="left" w:pos="1021"/>
                    </w:tabs>
                  </w:pPr>
                  <w:r>
                    <w:t>二级</w:t>
                  </w:r>
                </w:p>
              </w:tc>
              <w:tc>
                <w:tcPr>
                  <w:tcW w:w="1691" w:type="pct"/>
                  <w:tcBorders>
                    <w:top w:val="single" w:color="000000" w:sz="8" w:space="0"/>
                    <w:left w:val="single" w:color="000000" w:sz="8" w:space="0"/>
                    <w:bottom w:val="single" w:color="000000" w:sz="8" w:space="0"/>
                    <w:right w:val="single" w:color="000000" w:sz="8" w:space="0"/>
                  </w:tcBorders>
                  <w:vAlign w:val="center"/>
                </w:tcPr>
                <w:p>
                  <w:pPr>
                    <w:pStyle w:val="35"/>
                    <w:tabs>
                      <w:tab w:val="left" w:pos="1021"/>
                    </w:tabs>
                  </w:pPr>
                  <w:r>
                    <w:t>90＜V≤150</w:t>
                  </w:r>
                </w:p>
              </w:tc>
              <w:tc>
                <w:tcPr>
                  <w:tcW w:w="1809" w:type="pct"/>
                  <w:tcBorders>
                    <w:top w:val="single" w:color="000000" w:sz="8" w:space="0"/>
                    <w:left w:val="single" w:color="000000" w:sz="8" w:space="0"/>
                    <w:bottom w:val="single" w:color="000000" w:sz="8" w:space="0"/>
                    <w:right w:val="single" w:color="000000" w:sz="8" w:space="0"/>
                  </w:tcBorders>
                  <w:vAlign w:val="center"/>
                </w:tcPr>
                <w:p>
                  <w:pPr>
                    <w:pStyle w:val="35"/>
                    <w:tabs>
                      <w:tab w:val="left" w:pos="1021"/>
                    </w:tabs>
                  </w:pPr>
                  <w:r>
                    <w:t>V≤50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hRule="atLeast"/>
                <w:jc w:val="center"/>
              </w:trPr>
              <w:tc>
                <w:tcPr>
                  <w:tcW w:w="1499" w:type="pct"/>
                  <w:tcBorders>
                    <w:top w:val="single" w:color="000000" w:sz="8" w:space="0"/>
                    <w:left w:val="single" w:color="000000" w:sz="8" w:space="0"/>
                    <w:bottom w:val="single" w:color="000000" w:sz="8" w:space="0"/>
                    <w:right w:val="single" w:color="000000" w:sz="8" w:space="0"/>
                  </w:tcBorders>
                  <w:vAlign w:val="center"/>
                </w:tcPr>
                <w:p>
                  <w:pPr>
                    <w:pStyle w:val="35"/>
                    <w:tabs>
                      <w:tab w:val="left" w:pos="1021"/>
                    </w:tabs>
                  </w:pPr>
                  <w:r>
                    <w:t>三级</w:t>
                  </w:r>
                </w:p>
              </w:tc>
              <w:tc>
                <w:tcPr>
                  <w:tcW w:w="1691" w:type="pct"/>
                  <w:tcBorders>
                    <w:top w:val="single" w:color="000000" w:sz="8" w:space="0"/>
                    <w:left w:val="single" w:color="000000" w:sz="8" w:space="0"/>
                    <w:bottom w:val="single" w:color="000000" w:sz="8" w:space="0"/>
                    <w:right w:val="single" w:color="000000" w:sz="8" w:space="0"/>
                  </w:tcBorders>
                  <w:vAlign w:val="center"/>
                </w:tcPr>
                <w:p>
                  <w:pPr>
                    <w:pStyle w:val="35"/>
                    <w:tabs>
                      <w:tab w:val="left" w:pos="1021"/>
                    </w:tabs>
                  </w:pPr>
                  <w:r>
                    <w:t>V≤90</w:t>
                  </w:r>
                </w:p>
              </w:tc>
              <w:tc>
                <w:tcPr>
                  <w:tcW w:w="1809" w:type="pct"/>
                  <w:tcBorders>
                    <w:top w:val="single" w:color="000000" w:sz="8" w:space="0"/>
                    <w:left w:val="single" w:color="000000" w:sz="8" w:space="0"/>
                    <w:bottom w:val="single" w:color="000000" w:sz="8" w:space="0"/>
                    <w:right w:val="single" w:color="000000" w:sz="8" w:space="0"/>
                  </w:tcBorders>
                  <w:vAlign w:val="center"/>
                </w:tcPr>
                <w:p>
                  <w:pPr>
                    <w:pStyle w:val="35"/>
                    <w:tabs>
                      <w:tab w:val="left" w:pos="1021"/>
                    </w:tabs>
                  </w:pPr>
                  <w:r>
                    <w:t>汽油罐≤30，柴油罐≤50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hRule="atLeast"/>
                <w:jc w:val="center"/>
              </w:trPr>
              <w:tc>
                <w:tcPr>
                  <w:tcW w:w="5000" w:type="pct"/>
                  <w:gridSpan w:val="3"/>
                  <w:tcBorders>
                    <w:top w:val="single" w:color="000000" w:sz="8" w:space="0"/>
                    <w:left w:val="single" w:color="000000" w:sz="8" w:space="0"/>
                    <w:bottom w:val="single" w:color="000000" w:sz="8" w:space="0"/>
                    <w:right w:val="single" w:color="000000" w:sz="8" w:space="0"/>
                  </w:tcBorders>
                  <w:vAlign w:val="center"/>
                </w:tcPr>
                <w:p>
                  <w:pPr>
                    <w:pStyle w:val="35"/>
                    <w:tabs>
                      <w:tab w:val="left" w:pos="1021"/>
                    </w:tabs>
                  </w:pPr>
                  <w:r>
                    <w:t>注：V为油罐总容积、柴油罐容积可折半计入油罐总容积</w:t>
                  </w:r>
                </w:p>
              </w:tc>
            </w:tr>
          </w:tbl>
          <w:p>
            <w:pPr>
              <w:pStyle w:val="14"/>
              <w:bidi w:val="0"/>
              <w:rPr>
                <w:rFonts w:hint="default" w:ascii="Times New Roman" w:hAnsi="Times New Roman" w:cs="Times New Roman"/>
              </w:rPr>
            </w:pPr>
            <w:r>
              <w:rPr>
                <w:rFonts w:hint="eastAsia" w:cs="Times New Roman"/>
                <w:lang w:val="en-US" w:eastAsia="zh-CN"/>
              </w:rPr>
              <w:t>5</w:t>
            </w:r>
            <w:r>
              <w:rPr>
                <w:rFonts w:hint="default" w:ascii="Times New Roman" w:hAnsi="Times New Roman" w:cs="Times New Roman"/>
              </w:rPr>
              <w:t>、主要原辅材料及能源消耗</w:t>
            </w:r>
          </w:p>
          <w:p>
            <w:pPr>
              <w:pStyle w:val="14"/>
              <w:ind w:firstLine="480"/>
              <w:rPr>
                <w:szCs w:val="22"/>
              </w:rPr>
            </w:pPr>
            <w:r>
              <w:rPr>
                <w:szCs w:val="22"/>
              </w:rPr>
              <w:t xml:space="preserve">项目运营过程中主要原辅材料及能耗情况，详见下表： </w:t>
            </w:r>
          </w:p>
          <w:p>
            <w:pPr>
              <w:pStyle w:val="36"/>
              <w:tabs>
                <w:tab w:val="left" w:pos="1021"/>
              </w:tabs>
            </w:pPr>
            <w:r>
              <w:t xml:space="preserve">表 </w:t>
            </w:r>
            <w:r>
              <w:rPr>
                <w:rFonts w:hint="eastAsia"/>
                <w:lang w:val="en-US" w:eastAsia="zh-CN"/>
              </w:rPr>
              <w:t>2.1-5（1）</w:t>
            </w:r>
            <w:r>
              <w:t xml:space="preserve"> 项目</w:t>
            </w:r>
            <w:r>
              <w:rPr>
                <w:color w:val="000000"/>
                <w:szCs w:val="21"/>
              </w:rPr>
              <w:t xml:space="preserve">主要原辅材料及能耗情况表 </w:t>
            </w:r>
          </w:p>
          <w:tbl>
            <w:tblPr>
              <w:tblStyle w:val="31"/>
              <w:tblW w:w="4997"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476"/>
              <w:gridCol w:w="736"/>
              <w:gridCol w:w="882"/>
              <w:gridCol w:w="974"/>
              <w:gridCol w:w="1842"/>
              <w:gridCol w:w="715"/>
              <w:gridCol w:w="1061"/>
              <w:gridCol w:w="832"/>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17" w:type="pct"/>
                  <w:tcBorders>
                    <w:top w:val="single" w:color="auto" w:sz="4" w:space="0"/>
                    <w:left w:val="single" w:color="auto" w:sz="4" w:space="0"/>
                    <w:bottom w:val="single" w:color="auto" w:sz="6" w:space="0"/>
                    <w:right w:val="single" w:color="auto" w:sz="6" w:space="0"/>
                  </w:tcBorders>
                  <w:shd w:val="clear" w:color="auto" w:fill="FFFFFF"/>
                  <w:vAlign w:val="center"/>
                </w:tcPr>
                <w:p>
                  <w:pPr>
                    <w:pStyle w:val="35"/>
                    <w:tabs>
                      <w:tab w:val="left" w:pos="1021"/>
                    </w:tabs>
                  </w:pPr>
                  <w:r>
                    <w:t>序号</w:t>
                  </w:r>
                </w:p>
              </w:tc>
              <w:tc>
                <w:tcPr>
                  <w:tcW w:w="489" w:type="pct"/>
                  <w:tcBorders>
                    <w:top w:val="single" w:color="auto" w:sz="4" w:space="0"/>
                    <w:left w:val="single" w:color="auto" w:sz="6" w:space="0"/>
                    <w:bottom w:val="single" w:color="auto" w:sz="6" w:space="0"/>
                    <w:right w:val="single" w:color="auto" w:sz="6" w:space="0"/>
                  </w:tcBorders>
                  <w:shd w:val="clear" w:color="auto" w:fill="FFFFFF"/>
                  <w:vAlign w:val="center"/>
                </w:tcPr>
                <w:p>
                  <w:pPr>
                    <w:pStyle w:val="35"/>
                    <w:tabs>
                      <w:tab w:val="left" w:pos="1021"/>
                    </w:tabs>
                  </w:pPr>
                  <w:r>
                    <w:t>名称</w:t>
                  </w:r>
                </w:p>
              </w:tc>
              <w:tc>
                <w:tcPr>
                  <w:tcW w:w="586" w:type="pct"/>
                  <w:tcBorders>
                    <w:top w:val="single" w:color="auto" w:sz="4" w:space="0"/>
                    <w:left w:val="single" w:color="auto" w:sz="6" w:space="0"/>
                    <w:bottom w:val="single" w:color="auto" w:sz="6" w:space="0"/>
                    <w:right w:val="single" w:color="auto" w:sz="6" w:space="0"/>
                  </w:tcBorders>
                  <w:shd w:val="clear" w:color="auto" w:fill="FFFFFF"/>
                  <w:vAlign w:val="center"/>
                </w:tcPr>
                <w:p>
                  <w:pPr>
                    <w:pStyle w:val="35"/>
                    <w:tabs>
                      <w:tab w:val="left" w:pos="1021"/>
                    </w:tabs>
                  </w:pPr>
                  <w:r>
                    <w:t>年用量（t）</w:t>
                  </w:r>
                </w:p>
              </w:tc>
              <w:tc>
                <w:tcPr>
                  <w:tcW w:w="647" w:type="pct"/>
                  <w:tcBorders>
                    <w:top w:val="single" w:color="auto" w:sz="4" w:space="0"/>
                    <w:left w:val="single" w:color="auto" w:sz="6" w:space="0"/>
                    <w:bottom w:val="single" w:color="auto" w:sz="6" w:space="0"/>
                    <w:right w:val="single" w:color="auto" w:sz="6" w:space="0"/>
                  </w:tcBorders>
                  <w:shd w:val="clear" w:color="auto" w:fill="FFFFFF"/>
                  <w:vAlign w:val="center"/>
                </w:tcPr>
                <w:p>
                  <w:pPr>
                    <w:pStyle w:val="35"/>
                    <w:tabs>
                      <w:tab w:val="left" w:pos="1021"/>
                    </w:tabs>
                  </w:pPr>
                  <w:r>
                    <w:t>来源</w:t>
                  </w:r>
                </w:p>
              </w:tc>
              <w:tc>
                <w:tcPr>
                  <w:tcW w:w="1224" w:type="pct"/>
                  <w:tcBorders>
                    <w:top w:val="single" w:color="auto" w:sz="4" w:space="0"/>
                    <w:left w:val="single" w:color="auto" w:sz="6" w:space="0"/>
                    <w:bottom w:val="single" w:color="auto" w:sz="6" w:space="0"/>
                    <w:right w:val="single" w:color="auto" w:sz="6" w:space="0"/>
                  </w:tcBorders>
                  <w:shd w:val="clear" w:color="auto" w:fill="FFFFFF"/>
                  <w:vAlign w:val="center"/>
                </w:tcPr>
                <w:p>
                  <w:pPr>
                    <w:pStyle w:val="35"/>
                    <w:tabs>
                      <w:tab w:val="left" w:pos="1021"/>
                    </w:tabs>
                  </w:pPr>
                  <w:r>
                    <w:t>主要化学成份</w:t>
                  </w:r>
                </w:p>
              </w:tc>
              <w:tc>
                <w:tcPr>
                  <w:tcW w:w="475" w:type="pct"/>
                  <w:tcBorders>
                    <w:top w:val="single" w:color="auto" w:sz="4" w:space="0"/>
                    <w:left w:val="single" w:color="auto" w:sz="6" w:space="0"/>
                    <w:bottom w:val="single" w:color="auto" w:sz="6" w:space="0"/>
                    <w:right w:val="single" w:color="auto" w:sz="6" w:space="0"/>
                  </w:tcBorders>
                  <w:shd w:val="clear" w:color="auto" w:fill="FFFFFF"/>
                  <w:vAlign w:val="center"/>
                </w:tcPr>
                <w:p>
                  <w:pPr>
                    <w:pStyle w:val="35"/>
                    <w:tabs>
                      <w:tab w:val="left" w:pos="1021"/>
                    </w:tabs>
                  </w:pPr>
                  <w:r>
                    <w:t>运输方式</w:t>
                  </w:r>
                </w:p>
              </w:tc>
              <w:tc>
                <w:tcPr>
                  <w:tcW w:w="705" w:type="pct"/>
                  <w:tcBorders>
                    <w:top w:val="single" w:color="auto" w:sz="4" w:space="0"/>
                    <w:left w:val="single" w:color="auto" w:sz="6" w:space="0"/>
                    <w:bottom w:val="single" w:color="auto" w:sz="6" w:space="0"/>
                    <w:right w:val="single" w:color="auto" w:sz="6" w:space="0"/>
                  </w:tcBorders>
                  <w:shd w:val="clear" w:color="auto" w:fill="FFFFFF"/>
                  <w:vAlign w:val="center"/>
                </w:tcPr>
                <w:p>
                  <w:pPr>
                    <w:pStyle w:val="35"/>
                    <w:tabs>
                      <w:tab w:val="left" w:pos="1021"/>
                    </w:tabs>
                  </w:pPr>
                  <w:r>
                    <w:t>最大储存量</w:t>
                  </w:r>
                </w:p>
              </w:tc>
              <w:tc>
                <w:tcPr>
                  <w:tcW w:w="553" w:type="pct"/>
                  <w:tcBorders>
                    <w:top w:val="single" w:color="auto" w:sz="4" w:space="0"/>
                    <w:left w:val="single" w:color="auto" w:sz="6" w:space="0"/>
                    <w:bottom w:val="single" w:color="auto" w:sz="6" w:space="0"/>
                    <w:right w:val="single" w:color="auto" w:sz="4" w:space="0"/>
                  </w:tcBorders>
                  <w:shd w:val="clear" w:color="auto" w:fill="FFFFFF"/>
                  <w:vAlign w:val="center"/>
                </w:tcPr>
                <w:p>
                  <w:pPr>
                    <w:pStyle w:val="35"/>
                    <w:tabs>
                      <w:tab w:val="left" w:pos="1021"/>
                    </w:tabs>
                  </w:pPr>
                  <w:r>
                    <w:t>储存方式</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17" w:type="pct"/>
                  <w:tcBorders>
                    <w:top w:val="single" w:color="auto" w:sz="6" w:space="0"/>
                    <w:left w:val="single" w:color="auto" w:sz="4" w:space="0"/>
                    <w:bottom w:val="single" w:color="auto" w:sz="6" w:space="0"/>
                    <w:right w:val="single" w:color="auto" w:sz="6" w:space="0"/>
                  </w:tcBorders>
                  <w:shd w:val="clear" w:color="auto" w:fill="FFFFFF"/>
                  <w:vAlign w:val="center"/>
                </w:tcPr>
                <w:p>
                  <w:pPr>
                    <w:pStyle w:val="35"/>
                    <w:tabs>
                      <w:tab w:val="left" w:pos="1021"/>
                    </w:tabs>
                  </w:pPr>
                  <w:r>
                    <w:t>1</w:t>
                  </w:r>
                </w:p>
              </w:tc>
              <w:tc>
                <w:tcPr>
                  <w:tcW w:w="489" w:type="pct"/>
                  <w:tcBorders>
                    <w:top w:val="single" w:color="auto" w:sz="6" w:space="0"/>
                    <w:left w:val="single" w:color="auto" w:sz="6" w:space="0"/>
                    <w:bottom w:val="single" w:color="auto" w:sz="6" w:space="0"/>
                    <w:right w:val="single" w:color="auto" w:sz="6" w:space="0"/>
                  </w:tcBorders>
                  <w:shd w:val="clear" w:color="auto" w:fill="FFFFFF"/>
                  <w:vAlign w:val="center"/>
                </w:tcPr>
                <w:p>
                  <w:pPr>
                    <w:pStyle w:val="35"/>
                    <w:tabs>
                      <w:tab w:val="left" w:pos="1021"/>
                    </w:tabs>
                  </w:pPr>
                  <w:r>
                    <w:t xml:space="preserve">0#柴油 </w:t>
                  </w:r>
                </w:p>
              </w:tc>
              <w:tc>
                <w:tcPr>
                  <w:tcW w:w="586" w:type="pct"/>
                  <w:tcBorders>
                    <w:top w:val="single" w:color="auto" w:sz="6" w:space="0"/>
                    <w:left w:val="single" w:color="auto" w:sz="6" w:space="0"/>
                    <w:bottom w:val="single" w:color="auto" w:sz="6" w:space="0"/>
                    <w:right w:val="single" w:color="auto" w:sz="6" w:space="0"/>
                  </w:tcBorders>
                  <w:shd w:val="clear" w:color="auto" w:fill="FFFFFF"/>
                  <w:vAlign w:val="center"/>
                </w:tcPr>
                <w:p>
                  <w:pPr>
                    <w:pStyle w:val="35"/>
                    <w:tabs>
                      <w:tab w:val="left" w:pos="1021"/>
                    </w:tabs>
                    <w:rPr>
                      <w:rFonts w:hint="default" w:eastAsia="宋体"/>
                      <w:lang w:val="en-US" w:eastAsia="zh-CN"/>
                    </w:rPr>
                  </w:pPr>
                  <w:r>
                    <w:rPr>
                      <w:rFonts w:hint="eastAsia"/>
                      <w:lang w:val="en-US" w:eastAsia="zh-CN"/>
                    </w:rPr>
                    <w:t>300</w:t>
                  </w:r>
                </w:p>
              </w:tc>
              <w:tc>
                <w:tcPr>
                  <w:tcW w:w="647" w:type="pct"/>
                  <w:vMerge w:val="restart"/>
                  <w:tcBorders>
                    <w:top w:val="single" w:color="auto" w:sz="6" w:space="0"/>
                    <w:left w:val="single" w:color="auto" w:sz="6" w:space="0"/>
                    <w:bottom w:val="single" w:color="auto" w:sz="6" w:space="0"/>
                    <w:right w:val="single" w:color="auto" w:sz="6" w:space="0"/>
                  </w:tcBorders>
                  <w:shd w:val="clear" w:color="auto" w:fill="FFFFFF"/>
                  <w:vAlign w:val="center"/>
                </w:tcPr>
                <w:p>
                  <w:pPr>
                    <w:pStyle w:val="35"/>
                    <w:tabs>
                      <w:tab w:val="left" w:pos="1021"/>
                    </w:tabs>
                  </w:pPr>
                  <w:r>
                    <w:t>中石化油库</w:t>
                  </w:r>
                </w:p>
              </w:tc>
              <w:tc>
                <w:tcPr>
                  <w:tcW w:w="1224" w:type="pct"/>
                  <w:tcBorders>
                    <w:top w:val="single" w:color="auto" w:sz="6" w:space="0"/>
                    <w:left w:val="single" w:color="auto" w:sz="6" w:space="0"/>
                    <w:bottom w:val="single" w:color="auto" w:sz="6" w:space="0"/>
                    <w:right w:val="single" w:color="auto" w:sz="6" w:space="0"/>
                  </w:tcBorders>
                  <w:shd w:val="clear" w:color="auto" w:fill="FFFFFF"/>
                  <w:vAlign w:val="center"/>
                </w:tcPr>
                <w:p>
                  <w:pPr>
                    <w:pStyle w:val="35"/>
                    <w:tabs>
                      <w:tab w:val="left" w:pos="1021"/>
                    </w:tabs>
                  </w:pPr>
                  <w:r>
                    <w:t xml:space="preserve">烷烃、芳烃、稀烃等，十六烷值不小于 45 </w:t>
                  </w:r>
                </w:p>
              </w:tc>
              <w:tc>
                <w:tcPr>
                  <w:tcW w:w="475" w:type="pct"/>
                  <w:vMerge w:val="restart"/>
                  <w:tcBorders>
                    <w:top w:val="single" w:color="auto" w:sz="6" w:space="0"/>
                    <w:left w:val="single" w:color="auto" w:sz="6" w:space="0"/>
                    <w:bottom w:val="single" w:color="auto" w:sz="6" w:space="0"/>
                    <w:right w:val="single" w:color="auto" w:sz="6" w:space="0"/>
                  </w:tcBorders>
                  <w:shd w:val="clear" w:color="auto" w:fill="FFFFFF"/>
                  <w:vAlign w:val="center"/>
                </w:tcPr>
                <w:p>
                  <w:pPr>
                    <w:pStyle w:val="35"/>
                    <w:tabs>
                      <w:tab w:val="left" w:pos="1021"/>
                    </w:tabs>
                  </w:pPr>
                  <w:r>
                    <w:t>汽车</w:t>
                  </w:r>
                </w:p>
              </w:tc>
              <w:tc>
                <w:tcPr>
                  <w:tcW w:w="705" w:type="pct"/>
                  <w:tcBorders>
                    <w:top w:val="single" w:color="auto" w:sz="6" w:space="0"/>
                    <w:left w:val="single" w:color="auto" w:sz="6" w:space="0"/>
                    <w:bottom w:val="single" w:color="auto" w:sz="6" w:space="0"/>
                    <w:right w:val="single" w:color="auto" w:sz="6" w:space="0"/>
                  </w:tcBorders>
                  <w:shd w:val="clear" w:color="auto" w:fill="FFFFFF"/>
                  <w:vAlign w:val="center"/>
                </w:tcPr>
                <w:p>
                  <w:pPr>
                    <w:pStyle w:val="35"/>
                    <w:tabs>
                      <w:tab w:val="left" w:pos="1021"/>
                    </w:tabs>
                    <w:rPr>
                      <w:rFonts w:hint="default" w:eastAsia="宋体"/>
                      <w:lang w:val="en-US" w:eastAsia="zh-CN"/>
                    </w:rPr>
                  </w:pPr>
                  <w:r>
                    <w:rPr>
                      <w:rFonts w:hint="eastAsia"/>
                      <w:lang w:val="en-US" w:eastAsia="zh-CN"/>
                    </w:rPr>
                    <w:t>37</w:t>
                  </w:r>
                </w:p>
              </w:tc>
              <w:tc>
                <w:tcPr>
                  <w:tcW w:w="553" w:type="pct"/>
                  <w:vMerge w:val="restart"/>
                  <w:tcBorders>
                    <w:top w:val="single" w:color="auto" w:sz="6" w:space="0"/>
                    <w:left w:val="single" w:color="auto" w:sz="6" w:space="0"/>
                    <w:bottom w:val="single" w:color="auto" w:sz="6" w:space="0"/>
                    <w:right w:val="single" w:color="auto" w:sz="4" w:space="0"/>
                  </w:tcBorders>
                  <w:shd w:val="clear" w:color="auto" w:fill="FFFFFF"/>
                  <w:vAlign w:val="center"/>
                </w:tcPr>
                <w:p>
                  <w:pPr>
                    <w:pStyle w:val="35"/>
                    <w:tabs>
                      <w:tab w:val="left" w:pos="1021"/>
                    </w:tabs>
                  </w:pPr>
                  <w:r>
                    <w:t>地埋储罐</w:t>
                  </w:r>
                </w:p>
                <w:p>
                  <w:pPr>
                    <w:pStyle w:val="35"/>
                    <w:tabs>
                      <w:tab w:val="left" w:pos="1021"/>
                    </w:tabs>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17" w:type="pct"/>
                  <w:tcBorders>
                    <w:top w:val="single" w:color="auto" w:sz="6" w:space="0"/>
                    <w:left w:val="single" w:color="auto" w:sz="4" w:space="0"/>
                    <w:bottom w:val="single" w:color="auto" w:sz="6" w:space="0"/>
                    <w:right w:val="single" w:color="auto" w:sz="6" w:space="0"/>
                  </w:tcBorders>
                  <w:shd w:val="clear" w:color="auto" w:fill="FFFFFF"/>
                  <w:vAlign w:val="center"/>
                </w:tcPr>
                <w:p>
                  <w:pPr>
                    <w:pStyle w:val="35"/>
                    <w:tabs>
                      <w:tab w:val="left" w:pos="1021"/>
                    </w:tabs>
                  </w:pPr>
                  <w:r>
                    <w:t>2</w:t>
                  </w:r>
                </w:p>
              </w:tc>
              <w:tc>
                <w:tcPr>
                  <w:tcW w:w="489" w:type="pct"/>
                  <w:tcBorders>
                    <w:top w:val="single" w:color="auto" w:sz="6" w:space="0"/>
                    <w:left w:val="single" w:color="auto" w:sz="6" w:space="0"/>
                    <w:bottom w:val="single" w:color="auto" w:sz="6" w:space="0"/>
                    <w:right w:val="single" w:color="auto" w:sz="6" w:space="0"/>
                  </w:tcBorders>
                  <w:shd w:val="clear" w:color="auto" w:fill="FFFFFF"/>
                  <w:vAlign w:val="center"/>
                </w:tcPr>
                <w:p>
                  <w:pPr>
                    <w:pStyle w:val="35"/>
                    <w:tabs>
                      <w:tab w:val="left" w:pos="1021"/>
                    </w:tabs>
                  </w:pPr>
                  <w:r>
                    <w:t>汽油</w:t>
                  </w:r>
                </w:p>
              </w:tc>
              <w:tc>
                <w:tcPr>
                  <w:tcW w:w="586" w:type="pct"/>
                  <w:tcBorders>
                    <w:top w:val="single" w:color="auto" w:sz="6" w:space="0"/>
                    <w:left w:val="single" w:color="auto" w:sz="6" w:space="0"/>
                    <w:bottom w:val="single" w:color="auto" w:sz="6" w:space="0"/>
                    <w:right w:val="single" w:color="auto" w:sz="6" w:space="0"/>
                  </w:tcBorders>
                  <w:shd w:val="clear" w:color="auto" w:fill="FFFFFF"/>
                  <w:vAlign w:val="center"/>
                </w:tcPr>
                <w:p>
                  <w:pPr>
                    <w:pStyle w:val="35"/>
                    <w:tabs>
                      <w:tab w:val="left" w:pos="1021"/>
                    </w:tabs>
                    <w:rPr>
                      <w:rFonts w:hint="default" w:eastAsia="宋体"/>
                      <w:lang w:val="en-US" w:eastAsia="zh-CN"/>
                    </w:rPr>
                  </w:pPr>
                  <w:r>
                    <w:rPr>
                      <w:rFonts w:hint="eastAsia"/>
                      <w:lang w:val="en-US" w:eastAsia="zh-CN"/>
                    </w:rPr>
                    <w:t>700</w:t>
                  </w:r>
                </w:p>
              </w:tc>
              <w:tc>
                <w:tcPr>
                  <w:tcW w:w="647" w:type="pct"/>
                  <w:vMerge w:val="continue"/>
                  <w:tcBorders>
                    <w:top w:val="single" w:color="auto" w:sz="6" w:space="0"/>
                    <w:left w:val="single" w:color="auto" w:sz="6" w:space="0"/>
                    <w:bottom w:val="single" w:color="auto" w:sz="6" w:space="0"/>
                    <w:right w:val="single" w:color="auto" w:sz="6" w:space="0"/>
                  </w:tcBorders>
                  <w:shd w:val="clear" w:color="auto" w:fill="FFFFFF"/>
                  <w:vAlign w:val="center"/>
                </w:tcPr>
                <w:p>
                  <w:pPr>
                    <w:pStyle w:val="35"/>
                    <w:tabs>
                      <w:tab w:val="left" w:pos="1021"/>
                    </w:tabs>
                  </w:pPr>
                </w:p>
              </w:tc>
              <w:tc>
                <w:tcPr>
                  <w:tcW w:w="1224" w:type="pct"/>
                  <w:tcBorders>
                    <w:top w:val="single" w:color="auto" w:sz="6" w:space="0"/>
                    <w:left w:val="single" w:color="auto" w:sz="6" w:space="0"/>
                    <w:bottom w:val="single" w:color="auto" w:sz="6" w:space="0"/>
                    <w:right w:val="single" w:color="auto" w:sz="6" w:space="0"/>
                  </w:tcBorders>
                  <w:shd w:val="clear" w:color="auto" w:fill="FFFFFF"/>
                  <w:vAlign w:val="center"/>
                </w:tcPr>
                <w:p>
                  <w:pPr>
                    <w:pStyle w:val="35"/>
                    <w:tabs>
                      <w:tab w:val="left" w:pos="1021"/>
                    </w:tabs>
                  </w:pPr>
                  <w:r>
                    <w:t>C</w:t>
                  </w:r>
                  <w:r>
                    <w:rPr>
                      <w:vertAlign w:val="subscript"/>
                    </w:rPr>
                    <w:t>4</w:t>
                  </w:r>
                  <w:r>
                    <w:t>～C</w:t>
                  </w:r>
                  <w:r>
                    <w:rPr>
                      <w:vertAlign w:val="subscript"/>
                    </w:rPr>
                    <w:t>12</w:t>
                  </w:r>
                  <w:r>
                    <w:t>脂肪烃和环烃类，并含少量芳香烃和硫化物。</w:t>
                  </w:r>
                </w:p>
              </w:tc>
              <w:tc>
                <w:tcPr>
                  <w:tcW w:w="475" w:type="pct"/>
                  <w:vMerge w:val="continue"/>
                  <w:tcBorders>
                    <w:top w:val="single" w:color="auto" w:sz="6" w:space="0"/>
                    <w:left w:val="single" w:color="auto" w:sz="6" w:space="0"/>
                    <w:bottom w:val="single" w:color="auto" w:sz="6" w:space="0"/>
                    <w:right w:val="single" w:color="auto" w:sz="6" w:space="0"/>
                  </w:tcBorders>
                  <w:shd w:val="clear" w:color="auto" w:fill="FFFFFF"/>
                  <w:vAlign w:val="center"/>
                </w:tcPr>
                <w:p>
                  <w:pPr>
                    <w:pStyle w:val="35"/>
                    <w:tabs>
                      <w:tab w:val="left" w:pos="1021"/>
                    </w:tabs>
                  </w:pPr>
                </w:p>
              </w:tc>
              <w:tc>
                <w:tcPr>
                  <w:tcW w:w="705" w:type="pct"/>
                  <w:tcBorders>
                    <w:top w:val="single" w:color="auto" w:sz="6" w:space="0"/>
                    <w:left w:val="single" w:color="auto" w:sz="6" w:space="0"/>
                    <w:bottom w:val="single" w:color="auto" w:sz="6" w:space="0"/>
                    <w:right w:val="single" w:color="auto" w:sz="6" w:space="0"/>
                  </w:tcBorders>
                  <w:shd w:val="clear" w:color="auto" w:fill="FFFFFF"/>
                  <w:vAlign w:val="center"/>
                </w:tcPr>
                <w:p>
                  <w:pPr>
                    <w:pStyle w:val="35"/>
                    <w:tabs>
                      <w:tab w:val="left" w:pos="1021"/>
                    </w:tabs>
                    <w:rPr>
                      <w:rFonts w:hint="default" w:eastAsia="宋体"/>
                      <w:lang w:val="en-US" w:eastAsia="zh-CN"/>
                    </w:rPr>
                  </w:pPr>
                  <w:r>
                    <w:rPr>
                      <w:rFonts w:hint="eastAsia"/>
                      <w:lang w:val="en-US" w:eastAsia="zh-CN"/>
                    </w:rPr>
                    <w:t>69.6</w:t>
                  </w:r>
                </w:p>
              </w:tc>
              <w:tc>
                <w:tcPr>
                  <w:tcW w:w="553" w:type="pct"/>
                  <w:vMerge w:val="continue"/>
                  <w:tcBorders>
                    <w:top w:val="single" w:color="auto" w:sz="6" w:space="0"/>
                    <w:left w:val="single" w:color="auto" w:sz="6" w:space="0"/>
                    <w:bottom w:val="single" w:color="auto" w:sz="6" w:space="0"/>
                    <w:right w:val="single" w:color="auto" w:sz="4" w:space="0"/>
                  </w:tcBorders>
                  <w:shd w:val="clear" w:color="auto" w:fill="FFFFFF"/>
                  <w:vAlign w:val="center"/>
                </w:tcPr>
                <w:p>
                  <w:pPr>
                    <w:pStyle w:val="35"/>
                    <w:tabs>
                      <w:tab w:val="left" w:pos="1021"/>
                    </w:tabs>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17" w:type="pct"/>
                  <w:tcBorders>
                    <w:top w:val="single" w:color="auto" w:sz="6" w:space="0"/>
                    <w:left w:val="single" w:color="auto" w:sz="4" w:space="0"/>
                    <w:bottom w:val="single" w:color="auto" w:sz="6" w:space="0"/>
                    <w:right w:val="single" w:color="auto" w:sz="6" w:space="0"/>
                  </w:tcBorders>
                  <w:shd w:val="clear" w:color="auto" w:fill="FFFFFF"/>
                  <w:vAlign w:val="center"/>
                </w:tcPr>
                <w:p>
                  <w:pPr>
                    <w:pStyle w:val="35"/>
                    <w:tabs>
                      <w:tab w:val="left" w:pos="1021"/>
                    </w:tabs>
                  </w:pPr>
                  <w:r>
                    <w:t>3</w:t>
                  </w:r>
                </w:p>
              </w:tc>
              <w:tc>
                <w:tcPr>
                  <w:tcW w:w="489" w:type="pct"/>
                  <w:tcBorders>
                    <w:top w:val="single" w:color="auto" w:sz="6" w:space="0"/>
                    <w:left w:val="single" w:color="auto" w:sz="6" w:space="0"/>
                    <w:bottom w:val="single" w:color="auto" w:sz="6" w:space="0"/>
                    <w:right w:val="single" w:color="auto" w:sz="6" w:space="0"/>
                  </w:tcBorders>
                  <w:shd w:val="clear" w:color="auto" w:fill="FFFFFF"/>
                  <w:vAlign w:val="center"/>
                </w:tcPr>
                <w:p>
                  <w:pPr>
                    <w:pStyle w:val="35"/>
                    <w:tabs>
                      <w:tab w:val="left" w:pos="1021"/>
                    </w:tabs>
                  </w:pPr>
                  <w:r>
                    <w:t>水</w:t>
                  </w:r>
                </w:p>
              </w:tc>
              <w:tc>
                <w:tcPr>
                  <w:tcW w:w="586" w:type="pct"/>
                  <w:tcBorders>
                    <w:top w:val="single" w:color="auto" w:sz="6" w:space="0"/>
                    <w:left w:val="single" w:color="auto" w:sz="6" w:space="0"/>
                    <w:bottom w:val="single" w:color="auto" w:sz="6" w:space="0"/>
                    <w:right w:val="single" w:color="auto" w:sz="6" w:space="0"/>
                  </w:tcBorders>
                  <w:shd w:val="clear" w:color="auto" w:fill="FFFFFF"/>
                  <w:vAlign w:val="center"/>
                </w:tcPr>
                <w:p>
                  <w:pPr>
                    <w:pStyle w:val="35"/>
                    <w:tabs>
                      <w:tab w:val="left" w:pos="1021"/>
                    </w:tabs>
                    <w:rPr>
                      <w:rFonts w:hint="default" w:eastAsia="宋体"/>
                      <w:lang w:val="en-US" w:eastAsia="zh-CN"/>
                    </w:rPr>
                  </w:pPr>
                  <w:r>
                    <w:rPr>
                      <w:rFonts w:hint="eastAsia"/>
                      <w:lang w:val="en-US" w:eastAsia="zh-CN"/>
                    </w:rPr>
                    <w:t>992.7</w:t>
                  </w:r>
                </w:p>
              </w:tc>
              <w:tc>
                <w:tcPr>
                  <w:tcW w:w="647" w:type="pct"/>
                  <w:tcBorders>
                    <w:top w:val="single" w:color="auto" w:sz="6" w:space="0"/>
                    <w:left w:val="single" w:color="auto" w:sz="6" w:space="0"/>
                    <w:bottom w:val="single" w:color="auto" w:sz="6" w:space="0"/>
                    <w:right w:val="single" w:color="auto" w:sz="6" w:space="0"/>
                  </w:tcBorders>
                  <w:shd w:val="clear" w:color="auto" w:fill="FFFFFF"/>
                  <w:vAlign w:val="center"/>
                </w:tcPr>
                <w:p>
                  <w:pPr>
                    <w:pStyle w:val="35"/>
                    <w:tabs>
                      <w:tab w:val="left" w:pos="1021"/>
                    </w:tabs>
                  </w:pPr>
                  <w:r>
                    <w:t xml:space="preserve">自来水 </w:t>
                  </w:r>
                </w:p>
              </w:tc>
              <w:tc>
                <w:tcPr>
                  <w:tcW w:w="1224" w:type="pct"/>
                  <w:tcBorders>
                    <w:top w:val="single" w:color="auto" w:sz="6" w:space="0"/>
                    <w:left w:val="single" w:color="auto" w:sz="6" w:space="0"/>
                    <w:bottom w:val="single" w:color="auto" w:sz="6" w:space="0"/>
                    <w:right w:val="single" w:color="auto" w:sz="6" w:space="0"/>
                  </w:tcBorders>
                  <w:shd w:val="clear" w:color="auto" w:fill="FFFFFF"/>
                  <w:vAlign w:val="center"/>
                </w:tcPr>
                <w:p>
                  <w:pPr>
                    <w:pStyle w:val="35"/>
                    <w:tabs>
                      <w:tab w:val="left" w:pos="1021"/>
                    </w:tabs>
                  </w:pPr>
                  <w:r>
                    <w:t>/</w:t>
                  </w:r>
                </w:p>
              </w:tc>
              <w:tc>
                <w:tcPr>
                  <w:tcW w:w="475" w:type="pct"/>
                  <w:tcBorders>
                    <w:top w:val="single" w:color="auto" w:sz="6" w:space="0"/>
                    <w:left w:val="single" w:color="auto" w:sz="6" w:space="0"/>
                    <w:bottom w:val="single" w:color="auto" w:sz="6" w:space="0"/>
                    <w:right w:val="single" w:color="auto" w:sz="6" w:space="0"/>
                  </w:tcBorders>
                  <w:shd w:val="clear" w:color="auto" w:fill="FFFFFF"/>
                  <w:vAlign w:val="center"/>
                </w:tcPr>
                <w:p>
                  <w:pPr>
                    <w:pStyle w:val="35"/>
                    <w:tabs>
                      <w:tab w:val="left" w:pos="1021"/>
                    </w:tabs>
                  </w:pPr>
                  <w:r>
                    <w:t>/</w:t>
                  </w:r>
                </w:p>
              </w:tc>
              <w:tc>
                <w:tcPr>
                  <w:tcW w:w="705" w:type="pct"/>
                  <w:tcBorders>
                    <w:top w:val="single" w:color="auto" w:sz="6" w:space="0"/>
                    <w:left w:val="single" w:color="auto" w:sz="6" w:space="0"/>
                    <w:bottom w:val="single" w:color="auto" w:sz="6" w:space="0"/>
                    <w:right w:val="single" w:color="auto" w:sz="6" w:space="0"/>
                  </w:tcBorders>
                  <w:shd w:val="clear" w:color="auto" w:fill="FFFFFF"/>
                  <w:vAlign w:val="center"/>
                </w:tcPr>
                <w:p>
                  <w:pPr>
                    <w:pStyle w:val="35"/>
                    <w:tabs>
                      <w:tab w:val="left" w:pos="1021"/>
                    </w:tabs>
                  </w:pPr>
                  <w:r>
                    <w:t>/</w:t>
                  </w:r>
                </w:p>
              </w:tc>
              <w:tc>
                <w:tcPr>
                  <w:tcW w:w="553" w:type="pct"/>
                  <w:tcBorders>
                    <w:top w:val="single" w:color="auto" w:sz="6" w:space="0"/>
                    <w:left w:val="single" w:color="auto" w:sz="6" w:space="0"/>
                    <w:bottom w:val="single" w:color="auto" w:sz="6" w:space="0"/>
                    <w:right w:val="single" w:color="auto" w:sz="4" w:space="0"/>
                  </w:tcBorders>
                  <w:shd w:val="clear" w:color="auto" w:fill="FFFFFF"/>
                  <w:vAlign w:val="center"/>
                </w:tcPr>
                <w:p>
                  <w:pPr>
                    <w:pStyle w:val="35"/>
                    <w:tabs>
                      <w:tab w:val="left" w:pos="1021"/>
                    </w:tabs>
                  </w:pPr>
                  <w: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17" w:type="pct"/>
                  <w:tcBorders>
                    <w:top w:val="single" w:color="auto" w:sz="6" w:space="0"/>
                    <w:left w:val="single" w:color="auto" w:sz="4" w:space="0"/>
                    <w:bottom w:val="single" w:color="auto" w:sz="4" w:space="0"/>
                    <w:right w:val="single" w:color="auto" w:sz="6" w:space="0"/>
                  </w:tcBorders>
                  <w:shd w:val="clear" w:color="auto" w:fill="FFFFFF"/>
                  <w:vAlign w:val="center"/>
                </w:tcPr>
                <w:p>
                  <w:pPr>
                    <w:pStyle w:val="35"/>
                    <w:tabs>
                      <w:tab w:val="left" w:pos="1021"/>
                    </w:tabs>
                  </w:pPr>
                  <w:r>
                    <w:t>4</w:t>
                  </w:r>
                </w:p>
              </w:tc>
              <w:tc>
                <w:tcPr>
                  <w:tcW w:w="489" w:type="pct"/>
                  <w:tcBorders>
                    <w:top w:val="single" w:color="auto" w:sz="6" w:space="0"/>
                    <w:left w:val="single" w:color="auto" w:sz="6" w:space="0"/>
                    <w:bottom w:val="single" w:color="auto" w:sz="4" w:space="0"/>
                    <w:right w:val="single" w:color="auto" w:sz="6" w:space="0"/>
                  </w:tcBorders>
                  <w:shd w:val="clear" w:color="auto" w:fill="FFFFFF"/>
                  <w:vAlign w:val="center"/>
                </w:tcPr>
                <w:p>
                  <w:pPr>
                    <w:pStyle w:val="35"/>
                    <w:tabs>
                      <w:tab w:val="left" w:pos="1021"/>
                    </w:tabs>
                  </w:pPr>
                  <w:r>
                    <w:t>电</w:t>
                  </w:r>
                </w:p>
              </w:tc>
              <w:tc>
                <w:tcPr>
                  <w:tcW w:w="586" w:type="pct"/>
                  <w:tcBorders>
                    <w:top w:val="single" w:color="auto" w:sz="6" w:space="0"/>
                    <w:left w:val="single" w:color="auto" w:sz="6" w:space="0"/>
                    <w:bottom w:val="single" w:color="auto" w:sz="4" w:space="0"/>
                    <w:right w:val="single" w:color="auto" w:sz="6" w:space="0"/>
                  </w:tcBorders>
                  <w:shd w:val="clear" w:color="auto" w:fill="FFFFFF"/>
                  <w:vAlign w:val="center"/>
                </w:tcPr>
                <w:p>
                  <w:pPr>
                    <w:pStyle w:val="35"/>
                    <w:tabs>
                      <w:tab w:val="left" w:pos="1021"/>
                    </w:tabs>
                  </w:pPr>
                  <w:r>
                    <w:rPr>
                      <w:rFonts w:hint="eastAsia"/>
                      <w:lang w:val="en-US" w:eastAsia="zh-CN"/>
                    </w:rPr>
                    <w:t>3</w:t>
                  </w:r>
                  <w:r>
                    <w:t xml:space="preserve">.8万度 </w:t>
                  </w:r>
                </w:p>
              </w:tc>
              <w:tc>
                <w:tcPr>
                  <w:tcW w:w="647" w:type="pct"/>
                  <w:tcBorders>
                    <w:top w:val="single" w:color="auto" w:sz="6" w:space="0"/>
                    <w:left w:val="single" w:color="auto" w:sz="6" w:space="0"/>
                    <w:bottom w:val="single" w:color="auto" w:sz="4" w:space="0"/>
                    <w:right w:val="single" w:color="auto" w:sz="6" w:space="0"/>
                  </w:tcBorders>
                  <w:shd w:val="clear" w:color="auto" w:fill="FFFFFF"/>
                  <w:vAlign w:val="center"/>
                </w:tcPr>
                <w:p>
                  <w:pPr>
                    <w:pStyle w:val="35"/>
                    <w:tabs>
                      <w:tab w:val="left" w:pos="1021"/>
                    </w:tabs>
                  </w:pPr>
                  <w:r>
                    <w:t xml:space="preserve">市政电网供电 </w:t>
                  </w:r>
                </w:p>
              </w:tc>
              <w:tc>
                <w:tcPr>
                  <w:tcW w:w="1224" w:type="pct"/>
                  <w:tcBorders>
                    <w:top w:val="single" w:color="auto" w:sz="6" w:space="0"/>
                    <w:left w:val="single" w:color="auto" w:sz="6" w:space="0"/>
                    <w:bottom w:val="single" w:color="auto" w:sz="4" w:space="0"/>
                    <w:right w:val="single" w:color="auto" w:sz="6" w:space="0"/>
                  </w:tcBorders>
                  <w:shd w:val="clear" w:color="auto" w:fill="FFFFFF"/>
                  <w:vAlign w:val="center"/>
                </w:tcPr>
                <w:p>
                  <w:pPr>
                    <w:pStyle w:val="35"/>
                    <w:tabs>
                      <w:tab w:val="left" w:pos="1021"/>
                    </w:tabs>
                  </w:pPr>
                  <w:r>
                    <w:t>/</w:t>
                  </w:r>
                </w:p>
              </w:tc>
              <w:tc>
                <w:tcPr>
                  <w:tcW w:w="475" w:type="pct"/>
                  <w:tcBorders>
                    <w:top w:val="single" w:color="auto" w:sz="6" w:space="0"/>
                    <w:left w:val="single" w:color="auto" w:sz="6" w:space="0"/>
                    <w:bottom w:val="single" w:color="auto" w:sz="4" w:space="0"/>
                    <w:right w:val="single" w:color="auto" w:sz="6" w:space="0"/>
                  </w:tcBorders>
                  <w:shd w:val="clear" w:color="auto" w:fill="FFFFFF"/>
                  <w:vAlign w:val="center"/>
                </w:tcPr>
                <w:p>
                  <w:pPr>
                    <w:pStyle w:val="35"/>
                    <w:tabs>
                      <w:tab w:val="left" w:pos="1021"/>
                    </w:tabs>
                  </w:pPr>
                  <w:r>
                    <w:t>/</w:t>
                  </w:r>
                </w:p>
              </w:tc>
              <w:tc>
                <w:tcPr>
                  <w:tcW w:w="705" w:type="pct"/>
                  <w:tcBorders>
                    <w:top w:val="single" w:color="auto" w:sz="6" w:space="0"/>
                    <w:left w:val="single" w:color="auto" w:sz="6" w:space="0"/>
                    <w:bottom w:val="single" w:color="auto" w:sz="4" w:space="0"/>
                    <w:right w:val="single" w:color="auto" w:sz="6" w:space="0"/>
                  </w:tcBorders>
                  <w:shd w:val="clear" w:color="auto" w:fill="FFFFFF"/>
                  <w:vAlign w:val="center"/>
                </w:tcPr>
                <w:p>
                  <w:pPr>
                    <w:pStyle w:val="35"/>
                    <w:tabs>
                      <w:tab w:val="left" w:pos="1021"/>
                    </w:tabs>
                  </w:pPr>
                  <w:r>
                    <w:t>/</w:t>
                  </w:r>
                </w:p>
              </w:tc>
              <w:tc>
                <w:tcPr>
                  <w:tcW w:w="553" w:type="pct"/>
                  <w:tcBorders>
                    <w:top w:val="single" w:color="auto" w:sz="6" w:space="0"/>
                    <w:left w:val="single" w:color="auto" w:sz="6" w:space="0"/>
                    <w:bottom w:val="single" w:color="auto" w:sz="4" w:space="0"/>
                    <w:right w:val="single" w:color="auto" w:sz="4" w:space="0"/>
                  </w:tcBorders>
                  <w:shd w:val="clear" w:color="auto" w:fill="FFFFFF"/>
                  <w:vAlign w:val="center"/>
                </w:tcPr>
                <w:p>
                  <w:pPr>
                    <w:pStyle w:val="35"/>
                    <w:tabs>
                      <w:tab w:val="left" w:pos="1021"/>
                    </w:tabs>
                  </w:pPr>
                  <w:r>
                    <w:t>/</w:t>
                  </w:r>
                </w:p>
              </w:tc>
            </w:tr>
          </w:tbl>
          <w:p>
            <w:pPr>
              <w:pStyle w:val="14"/>
              <w:ind w:firstLine="480"/>
            </w:pPr>
            <w:r>
              <w:t>项目成品汽油执行国标《车用汽油》（GB17930-201</w:t>
            </w:r>
            <w:r>
              <w:rPr>
                <w:rFonts w:hint="eastAsia"/>
                <w:lang w:val="en-US" w:eastAsia="zh-CN"/>
              </w:rPr>
              <w:t>6</w:t>
            </w:r>
            <w:r>
              <w:t>）标准。项目成品柴油执行国标《车用柴油（Ⅳ）》（GB 19147-201</w:t>
            </w:r>
            <w:r>
              <w:rPr>
                <w:rFonts w:hint="eastAsia"/>
                <w:lang w:val="en-US" w:eastAsia="zh-CN"/>
              </w:rPr>
              <w:t>6</w:t>
            </w:r>
            <w:r>
              <w:t xml:space="preserve">）标准。 </w:t>
            </w:r>
          </w:p>
          <w:p>
            <w:pPr>
              <w:pStyle w:val="14"/>
              <w:ind w:firstLine="480"/>
              <w:rPr>
                <w:rFonts w:hint="eastAsia" w:eastAsia="宋体"/>
                <w:lang w:val="en-US" w:eastAsia="zh-CN"/>
              </w:rPr>
            </w:pPr>
            <w:r>
              <w:t>主要原辅材料理化性质</w:t>
            </w:r>
            <w:r>
              <w:rPr>
                <w:rFonts w:hint="eastAsia"/>
                <w:lang w:eastAsia="zh-CN"/>
              </w:rPr>
              <w:t>如下表。</w:t>
            </w:r>
          </w:p>
          <w:p>
            <w:pPr>
              <w:pStyle w:val="36"/>
              <w:bidi w:val="0"/>
            </w:pPr>
            <w:r>
              <w:t>表</w:t>
            </w:r>
            <w:r>
              <w:rPr>
                <w:rFonts w:hint="eastAsia"/>
                <w:lang w:val="en-US" w:eastAsia="zh-CN"/>
              </w:rPr>
              <w:t>2.1-5（2）</w:t>
            </w:r>
            <w:r>
              <w:t xml:space="preserve"> 汽油的理化性质和危险特性</w:t>
            </w:r>
          </w:p>
          <w:tbl>
            <w:tblPr>
              <w:tblStyle w:val="3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05"/>
              <w:gridCol w:w="1676"/>
              <w:gridCol w:w="780"/>
              <w:gridCol w:w="1424"/>
              <w:gridCol w:w="388"/>
              <w:gridCol w:w="19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6"/>
                  <w:tcBorders>
                    <w:tl2br w:val="nil"/>
                    <w:tr2bl w:val="nil"/>
                  </w:tcBorders>
                  <w:noWrap w:val="0"/>
                  <w:vAlign w:val="center"/>
                </w:tcPr>
                <w:p>
                  <w:pPr>
                    <w:pStyle w:val="35"/>
                    <w:bidi w:val="0"/>
                    <w:jc w:val="center"/>
                  </w:pPr>
                  <w:r>
                    <w:t>危险性概述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7" w:type="pct"/>
                  <w:tcBorders>
                    <w:tl2br w:val="nil"/>
                    <w:tr2bl w:val="nil"/>
                  </w:tcBorders>
                  <w:noWrap w:val="0"/>
                  <w:vAlign w:val="center"/>
                </w:tcPr>
                <w:p>
                  <w:pPr>
                    <w:pStyle w:val="35"/>
                    <w:bidi w:val="0"/>
                    <w:jc w:val="center"/>
                  </w:pPr>
                  <w:r>
                    <w:t>危险性类别：</w:t>
                  </w:r>
                </w:p>
              </w:tc>
              <w:tc>
                <w:tcPr>
                  <w:tcW w:w="1632" w:type="pct"/>
                  <w:gridSpan w:val="2"/>
                  <w:tcBorders>
                    <w:tl2br w:val="nil"/>
                    <w:tr2bl w:val="nil"/>
                  </w:tcBorders>
                  <w:noWrap w:val="0"/>
                  <w:vAlign w:val="center"/>
                </w:tcPr>
                <w:p>
                  <w:pPr>
                    <w:pStyle w:val="35"/>
                    <w:bidi w:val="0"/>
                    <w:jc w:val="center"/>
                  </w:pPr>
                  <w:r>
                    <w:t>第3.1类低闪点易燃液体</w:t>
                  </w:r>
                </w:p>
              </w:tc>
              <w:tc>
                <w:tcPr>
                  <w:tcW w:w="1205" w:type="pct"/>
                  <w:gridSpan w:val="2"/>
                  <w:tcBorders>
                    <w:tl2br w:val="nil"/>
                    <w:tr2bl w:val="nil"/>
                  </w:tcBorders>
                  <w:noWrap w:val="0"/>
                  <w:vAlign w:val="center"/>
                </w:tcPr>
                <w:p>
                  <w:pPr>
                    <w:pStyle w:val="35"/>
                    <w:bidi w:val="0"/>
                    <w:jc w:val="center"/>
                  </w:pPr>
                  <w:r>
                    <w:t>燃爆危险</w:t>
                  </w:r>
                </w:p>
              </w:tc>
              <w:tc>
                <w:tcPr>
                  <w:tcW w:w="1295" w:type="pct"/>
                  <w:tcBorders>
                    <w:tl2br w:val="nil"/>
                    <w:tr2bl w:val="nil"/>
                  </w:tcBorders>
                  <w:noWrap w:val="0"/>
                  <w:vAlign w:val="center"/>
                </w:tcPr>
                <w:p>
                  <w:pPr>
                    <w:pStyle w:val="35"/>
                    <w:bidi w:val="0"/>
                    <w:jc w:val="center"/>
                  </w:pPr>
                  <w:r>
                    <w:t>易燃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7" w:type="pct"/>
                  <w:tcBorders>
                    <w:tl2br w:val="nil"/>
                    <w:tr2bl w:val="nil"/>
                  </w:tcBorders>
                  <w:noWrap w:val="0"/>
                  <w:vAlign w:val="center"/>
                </w:tcPr>
                <w:p>
                  <w:pPr>
                    <w:pStyle w:val="35"/>
                    <w:bidi w:val="0"/>
                    <w:jc w:val="center"/>
                  </w:pPr>
                  <w:r>
                    <w:t>侵入途径：</w:t>
                  </w:r>
                </w:p>
              </w:tc>
              <w:tc>
                <w:tcPr>
                  <w:tcW w:w="1632" w:type="pct"/>
                  <w:gridSpan w:val="2"/>
                  <w:tcBorders>
                    <w:tl2br w:val="nil"/>
                    <w:tr2bl w:val="nil"/>
                  </w:tcBorders>
                  <w:noWrap w:val="0"/>
                  <w:vAlign w:val="center"/>
                </w:tcPr>
                <w:p>
                  <w:pPr>
                    <w:pStyle w:val="35"/>
                    <w:bidi w:val="0"/>
                    <w:jc w:val="center"/>
                  </w:pPr>
                  <w:r>
                    <w:t>吸入、食入、经皮吸收</w:t>
                  </w:r>
                </w:p>
              </w:tc>
              <w:tc>
                <w:tcPr>
                  <w:tcW w:w="1205" w:type="pct"/>
                  <w:gridSpan w:val="2"/>
                  <w:tcBorders>
                    <w:tl2br w:val="nil"/>
                    <w:tr2bl w:val="nil"/>
                  </w:tcBorders>
                  <w:noWrap w:val="0"/>
                  <w:vAlign w:val="center"/>
                </w:tcPr>
                <w:p>
                  <w:pPr>
                    <w:pStyle w:val="35"/>
                    <w:bidi w:val="0"/>
                    <w:jc w:val="center"/>
                  </w:pPr>
                  <w:r>
                    <w:t>有害燃烧产物</w:t>
                  </w:r>
                </w:p>
              </w:tc>
              <w:tc>
                <w:tcPr>
                  <w:tcW w:w="1295" w:type="pct"/>
                  <w:tcBorders>
                    <w:tl2br w:val="nil"/>
                    <w:tr2bl w:val="nil"/>
                  </w:tcBorders>
                  <w:noWrap w:val="0"/>
                  <w:vAlign w:val="center"/>
                </w:tcPr>
                <w:p>
                  <w:pPr>
                    <w:pStyle w:val="35"/>
                    <w:bidi w:val="0"/>
                    <w:jc w:val="center"/>
                  </w:pPr>
                  <w:r>
                    <w:t>一氧化碳、二氧化碳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7" w:type="pct"/>
                  <w:tcBorders>
                    <w:tl2br w:val="nil"/>
                    <w:tr2bl w:val="nil"/>
                  </w:tcBorders>
                  <w:noWrap w:val="0"/>
                  <w:vAlign w:val="center"/>
                </w:tcPr>
                <w:p>
                  <w:pPr>
                    <w:pStyle w:val="35"/>
                    <w:bidi w:val="0"/>
                    <w:jc w:val="center"/>
                  </w:pPr>
                  <w:r>
                    <w:t>健康危害：</w:t>
                  </w:r>
                </w:p>
              </w:tc>
              <w:tc>
                <w:tcPr>
                  <w:tcW w:w="4132" w:type="pct"/>
                  <w:gridSpan w:val="5"/>
                  <w:tcBorders>
                    <w:tl2br w:val="nil"/>
                    <w:tr2bl w:val="nil"/>
                  </w:tcBorders>
                  <w:noWrap w:val="0"/>
                  <w:vAlign w:val="center"/>
                </w:tcPr>
                <w:p>
                  <w:pPr>
                    <w:pStyle w:val="35"/>
                    <w:bidi w:val="0"/>
                    <w:jc w:val="center"/>
                  </w:pPr>
                  <w:r>
                    <w:t>主要作用于中枢神经系统，急性中毒症状有头晕、头痛、恶心、呕吐、步态不稳、共济失调。高浓度吸入出现中毒性脑病。极高浓度吸入引起意识突然丧失，反射性呼吸停止及化学性肺炎。可致角膜溃疡、穿孔、甚至失明。皮肤接触致急性接触性皮炎或过敏性皮炎。急性经口中毒引起急性胃肠炎，重者出现类似急性吸入中毒症状。慢性中毒：神经衰弱综合症，周围神经病，皮肤损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7" w:type="pct"/>
                  <w:tcBorders>
                    <w:tl2br w:val="nil"/>
                    <w:tr2bl w:val="nil"/>
                  </w:tcBorders>
                  <w:noWrap w:val="0"/>
                  <w:vAlign w:val="center"/>
                </w:tcPr>
                <w:p>
                  <w:pPr>
                    <w:pStyle w:val="35"/>
                    <w:bidi w:val="0"/>
                    <w:jc w:val="center"/>
                  </w:pPr>
                  <w:r>
                    <w:t>环境危害：</w:t>
                  </w:r>
                </w:p>
              </w:tc>
              <w:tc>
                <w:tcPr>
                  <w:tcW w:w="4132" w:type="pct"/>
                  <w:gridSpan w:val="5"/>
                  <w:tcBorders>
                    <w:tl2br w:val="nil"/>
                    <w:tr2bl w:val="nil"/>
                  </w:tcBorders>
                  <w:noWrap w:val="0"/>
                  <w:vAlign w:val="center"/>
                </w:tcPr>
                <w:p>
                  <w:pPr>
                    <w:pStyle w:val="35"/>
                    <w:bidi w:val="0"/>
                    <w:jc w:val="center"/>
                  </w:pPr>
                  <w:r>
                    <w:t>该物质对环境有危害，应特别注意对地表水、土壤、大气和饮用水的污染。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6"/>
                  <w:tcBorders>
                    <w:tl2br w:val="nil"/>
                    <w:tr2bl w:val="nil"/>
                  </w:tcBorders>
                  <w:noWrap w:val="0"/>
                  <w:vAlign w:val="center"/>
                </w:tcPr>
                <w:p>
                  <w:pPr>
                    <w:pStyle w:val="35"/>
                    <w:bidi w:val="0"/>
                    <w:jc w:val="center"/>
                  </w:pPr>
                  <w:r>
                    <w:t>理化特性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7" w:type="pct"/>
                  <w:tcBorders>
                    <w:tl2br w:val="nil"/>
                    <w:tr2bl w:val="nil"/>
                  </w:tcBorders>
                  <w:noWrap w:val="0"/>
                  <w:vAlign w:val="center"/>
                </w:tcPr>
                <w:p>
                  <w:pPr>
                    <w:pStyle w:val="35"/>
                    <w:bidi w:val="0"/>
                    <w:jc w:val="center"/>
                  </w:pPr>
                  <w:r>
                    <w:t>外观及性状：</w:t>
                  </w:r>
                </w:p>
              </w:tc>
              <w:tc>
                <w:tcPr>
                  <w:tcW w:w="4132" w:type="pct"/>
                  <w:gridSpan w:val="5"/>
                  <w:tcBorders>
                    <w:tl2br w:val="nil"/>
                    <w:tr2bl w:val="nil"/>
                  </w:tcBorders>
                  <w:noWrap w:val="0"/>
                  <w:vAlign w:val="center"/>
                </w:tcPr>
                <w:p>
                  <w:pPr>
                    <w:pStyle w:val="35"/>
                    <w:bidi w:val="0"/>
                    <w:jc w:val="center"/>
                  </w:pPr>
                  <w:r>
                    <w:t>无色或淡黄色易挥发液体，具有特殊臭味。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7" w:type="pct"/>
                  <w:tcBorders>
                    <w:tl2br w:val="nil"/>
                    <w:tr2bl w:val="nil"/>
                  </w:tcBorders>
                  <w:noWrap w:val="0"/>
                  <w:vAlign w:val="center"/>
                </w:tcPr>
                <w:p>
                  <w:pPr>
                    <w:pStyle w:val="35"/>
                    <w:bidi w:val="0"/>
                    <w:jc w:val="center"/>
                  </w:pPr>
                  <w:r>
                    <w:t>熔点（℃）：</w:t>
                  </w:r>
                </w:p>
              </w:tc>
              <w:tc>
                <w:tcPr>
                  <w:tcW w:w="1114" w:type="pct"/>
                  <w:tcBorders>
                    <w:tl2br w:val="nil"/>
                    <w:tr2bl w:val="nil"/>
                  </w:tcBorders>
                  <w:noWrap w:val="0"/>
                  <w:vAlign w:val="center"/>
                </w:tcPr>
                <w:p>
                  <w:pPr>
                    <w:pStyle w:val="35"/>
                    <w:bidi w:val="0"/>
                    <w:jc w:val="center"/>
                  </w:pPr>
                  <w:r>
                    <w:t>&lt;-60</w:t>
                  </w:r>
                </w:p>
              </w:tc>
              <w:tc>
                <w:tcPr>
                  <w:tcW w:w="1465" w:type="pct"/>
                  <w:gridSpan w:val="2"/>
                  <w:tcBorders>
                    <w:tl2br w:val="nil"/>
                    <w:tr2bl w:val="nil"/>
                  </w:tcBorders>
                  <w:noWrap w:val="0"/>
                  <w:vAlign w:val="center"/>
                </w:tcPr>
                <w:p>
                  <w:pPr>
                    <w:pStyle w:val="35"/>
                    <w:bidi w:val="0"/>
                    <w:jc w:val="center"/>
                  </w:pPr>
                  <w:r>
                    <w:t>相对密度（水＝1）</w:t>
                  </w:r>
                </w:p>
              </w:tc>
              <w:tc>
                <w:tcPr>
                  <w:tcW w:w="1552" w:type="pct"/>
                  <w:gridSpan w:val="2"/>
                  <w:tcBorders>
                    <w:tl2br w:val="nil"/>
                    <w:tr2bl w:val="nil"/>
                  </w:tcBorders>
                  <w:noWrap w:val="0"/>
                  <w:vAlign w:val="center"/>
                </w:tcPr>
                <w:p>
                  <w:pPr>
                    <w:pStyle w:val="35"/>
                    <w:bidi w:val="0"/>
                    <w:jc w:val="center"/>
                  </w:pPr>
                  <w:r>
                    <w:t>0.70～0.79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7" w:type="pct"/>
                  <w:tcBorders>
                    <w:tl2br w:val="nil"/>
                    <w:tr2bl w:val="nil"/>
                  </w:tcBorders>
                  <w:noWrap w:val="0"/>
                  <w:vAlign w:val="center"/>
                </w:tcPr>
                <w:p>
                  <w:pPr>
                    <w:pStyle w:val="35"/>
                    <w:bidi w:val="0"/>
                    <w:jc w:val="center"/>
                  </w:pPr>
                  <w:r>
                    <w:t>闪点（℃）：</w:t>
                  </w:r>
                </w:p>
              </w:tc>
              <w:tc>
                <w:tcPr>
                  <w:tcW w:w="1114" w:type="pct"/>
                  <w:tcBorders>
                    <w:tl2br w:val="nil"/>
                    <w:tr2bl w:val="nil"/>
                  </w:tcBorders>
                  <w:noWrap w:val="0"/>
                  <w:vAlign w:val="center"/>
                </w:tcPr>
                <w:p>
                  <w:pPr>
                    <w:pStyle w:val="35"/>
                    <w:bidi w:val="0"/>
                    <w:jc w:val="center"/>
                  </w:pPr>
                  <w:r>
                    <w:t>-50</w:t>
                  </w:r>
                </w:p>
              </w:tc>
              <w:tc>
                <w:tcPr>
                  <w:tcW w:w="1465" w:type="pct"/>
                  <w:gridSpan w:val="2"/>
                  <w:tcBorders>
                    <w:tl2br w:val="nil"/>
                    <w:tr2bl w:val="nil"/>
                  </w:tcBorders>
                  <w:noWrap w:val="0"/>
                  <w:vAlign w:val="center"/>
                </w:tcPr>
                <w:p>
                  <w:pPr>
                    <w:pStyle w:val="35"/>
                    <w:bidi w:val="0"/>
                    <w:jc w:val="center"/>
                  </w:pPr>
                  <w:r>
                    <w:t>相对密度（空气=1）</w:t>
                  </w:r>
                </w:p>
              </w:tc>
              <w:tc>
                <w:tcPr>
                  <w:tcW w:w="1552" w:type="pct"/>
                  <w:gridSpan w:val="2"/>
                  <w:tcBorders>
                    <w:tl2br w:val="nil"/>
                    <w:tr2bl w:val="nil"/>
                  </w:tcBorders>
                  <w:noWrap w:val="0"/>
                  <w:vAlign w:val="center"/>
                </w:tcPr>
                <w:p>
                  <w:pPr>
                    <w:pStyle w:val="35"/>
                    <w:bidi w:val="0"/>
                    <w:jc w:val="center"/>
                  </w:pPr>
                  <w: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7" w:type="pct"/>
                  <w:tcBorders>
                    <w:tl2br w:val="nil"/>
                    <w:tr2bl w:val="nil"/>
                  </w:tcBorders>
                  <w:noWrap w:val="0"/>
                  <w:vAlign w:val="center"/>
                </w:tcPr>
                <w:p>
                  <w:pPr>
                    <w:pStyle w:val="35"/>
                    <w:bidi w:val="0"/>
                    <w:jc w:val="center"/>
                  </w:pPr>
                  <w:r>
                    <w:t>引燃温度（℃）：</w:t>
                  </w:r>
                </w:p>
              </w:tc>
              <w:tc>
                <w:tcPr>
                  <w:tcW w:w="1114" w:type="pct"/>
                  <w:tcBorders>
                    <w:tl2br w:val="nil"/>
                    <w:tr2bl w:val="nil"/>
                  </w:tcBorders>
                  <w:noWrap w:val="0"/>
                  <w:vAlign w:val="center"/>
                </w:tcPr>
                <w:p>
                  <w:pPr>
                    <w:pStyle w:val="35"/>
                    <w:bidi w:val="0"/>
                    <w:jc w:val="center"/>
                  </w:pPr>
                  <w:r>
                    <w:t>415～530</w:t>
                  </w:r>
                </w:p>
              </w:tc>
              <w:tc>
                <w:tcPr>
                  <w:tcW w:w="1465" w:type="pct"/>
                  <w:gridSpan w:val="2"/>
                  <w:tcBorders>
                    <w:tl2br w:val="nil"/>
                    <w:tr2bl w:val="nil"/>
                  </w:tcBorders>
                  <w:noWrap w:val="0"/>
                  <w:vAlign w:val="center"/>
                </w:tcPr>
                <w:p>
                  <w:pPr>
                    <w:pStyle w:val="35"/>
                    <w:bidi w:val="0"/>
                    <w:jc w:val="center"/>
                  </w:pPr>
                  <w:r>
                    <w:t>爆炸上限％（V/V）：</w:t>
                  </w:r>
                </w:p>
              </w:tc>
              <w:tc>
                <w:tcPr>
                  <w:tcW w:w="1552" w:type="pct"/>
                  <w:gridSpan w:val="2"/>
                  <w:tcBorders>
                    <w:tl2br w:val="nil"/>
                    <w:tr2bl w:val="nil"/>
                  </w:tcBorders>
                  <w:noWrap w:val="0"/>
                  <w:vAlign w:val="center"/>
                </w:tcPr>
                <w:p>
                  <w:pPr>
                    <w:pStyle w:val="35"/>
                    <w:bidi w:val="0"/>
                    <w:jc w:val="center"/>
                  </w:pPr>
                  <w: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7" w:type="pct"/>
                  <w:tcBorders>
                    <w:tl2br w:val="nil"/>
                    <w:tr2bl w:val="nil"/>
                  </w:tcBorders>
                  <w:noWrap w:val="0"/>
                  <w:vAlign w:val="center"/>
                </w:tcPr>
                <w:p>
                  <w:pPr>
                    <w:pStyle w:val="35"/>
                    <w:bidi w:val="0"/>
                    <w:jc w:val="center"/>
                  </w:pPr>
                  <w:r>
                    <w:t>沸点（℃）：</w:t>
                  </w:r>
                </w:p>
              </w:tc>
              <w:tc>
                <w:tcPr>
                  <w:tcW w:w="1114" w:type="pct"/>
                  <w:tcBorders>
                    <w:tl2br w:val="nil"/>
                    <w:tr2bl w:val="nil"/>
                  </w:tcBorders>
                  <w:noWrap w:val="0"/>
                  <w:vAlign w:val="center"/>
                </w:tcPr>
                <w:p>
                  <w:pPr>
                    <w:pStyle w:val="35"/>
                    <w:bidi w:val="0"/>
                    <w:jc w:val="center"/>
                  </w:pPr>
                  <w:r>
                    <w:t>40～200</w:t>
                  </w:r>
                </w:p>
              </w:tc>
              <w:tc>
                <w:tcPr>
                  <w:tcW w:w="1465" w:type="pct"/>
                  <w:gridSpan w:val="2"/>
                  <w:tcBorders>
                    <w:tl2br w:val="nil"/>
                    <w:tr2bl w:val="nil"/>
                  </w:tcBorders>
                  <w:noWrap w:val="0"/>
                  <w:vAlign w:val="center"/>
                </w:tcPr>
                <w:p>
                  <w:pPr>
                    <w:pStyle w:val="35"/>
                    <w:bidi w:val="0"/>
                    <w:jc w:val="center"/>
                  </w:pPr>
                  <w:r>
                    <w:t>爆炸下限％（V/V）：</w:t>
                  </w:r>
                </w:p>
              </w:tc>
              <w:tc>
                <w:tcPr>
                  <w:tcW w:w="1552" w:type="pct"/>
                  <w:gridSpan w:val="2"/>
                  <w:tcBorders>
                    <w:tl2br w:val="nil"/>
                    <w:tr2bl w:val="nil"/>
                  </w:tcBorders>
                  <w:noWrap w:val="0"/>
                  <w:vAlign w:val="center"/>
                </w:tcPr>
                <w:p>
                  <w:pPr>
                    <w:pStyle w:val="35"/>
                    <w:bidi w:val="0"/>
                    <w:jc w:val="center"/>
                  </w:pPr>
                  <w:r>
                    <w:t>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6"/>
                  <w:tcBorders>
                    <w:tl2br w:val="nil"/>
                    <w:tr2bl w:val="nil"/>
                  </w:tcBorders>
                  <w:noWrap w:val="0"/>
                  <w:vAlign w:val="center"/>
                </w:tcPr>
                <w:p>
                  <w:pPr>
                    <w:pStyle w:val="35"/>
                    <w:bidi w:val="0"/>
                    <w:jc w:val="center"/>
                  </w:pPr>
                  <w:r>
                    <w:t>毒理学资料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7" w:type="pct"/>
                  <w:tcBorders>
                    <w:tl2br w:val="nil"/>
                    <w:tr2bl w:val="nil"/>
                  </w:tcBorders>
                  <w:noWrap w:val="0"/>
                  <w:vAlign w:val="center"/>
                </w:tcPr>
                <w:p>
                  <w:pPr>
                    <w:pStyle w:val="35"/>
                    <w:bidi w:val="0"/>
                    <w:jc w:val="center"/>
                  </w:pPr>
                  <w:r>
                    <w:t>急性毒性：</w:t>
                  </w:r>
                </w:p>
              </w:tc>
              <w:tc>
                <w:tcPr>
                  <w:tcW w:w="4132" w:type="pct"/>
                  <w:gridSpan w:val="5"/>
                  <w:tcBorders>
                    <w:tl2br w:val="nil"/>
                    <w:tr2bl w:val="nil"/>
                  </w:tcBorders>
                  <w:noWrap w:val="0"/>
                  <w:vAlign w:val="center"/>
                </w:tcPr>
                <w:p>
                  <w:pPr>
                    <w:pStyle w:val="35"/>
                    <w:bidi w:val="0"/>
                    <w:jc w:val="center"/>
                  </w:pPr>
                  <w:r>
                    <w:t>LD50 67000mg/kg（小鼠经口），（120号溶剂汽油）</w:t>
                  </w:r>
                </w:p>
                <w:p>
                  <w:pPr>
                    <w:pStyle w:val="35"/>
                    <w:bidi w:val="0"/>
                    <w:jc w:val="center"/>
                  </w:pPr>
                  <w:r>
                    <w:t>LC50  103000mg/m³小鼠，2小时（120号溶剂汽油）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7" w:type="pct"/>
                  <w:tcBorders>
                    <w:tl2br w:val="nil"/>
                    <w:tr2bl w:val="nil"/>
                  </w:tcBorders>
                  <w:noWrap w:val="0"/>
                  <w:vAlign w:val="center"/>
                </w:tcPr>
                <w:p>
                  <w:pPr>
                    <w:pStyle w:val="35"/>
                    <w:bidi w:val="0"/>
                    <w:jc w:val="center"/>
                  </w:pPr>
                  <w:r>
                    <w:t>急性中毒：</w:t>
                  </w:r>
                </w:p>
              </w:tc>
              <w:tc>
                <w:tcPr>
                  <w:tcW w:w="4132" w:type="pct"/>
                  <w:gridSpan w:val="5"/>
                  <w:tcBorders>
                    <w:tl2br w:val="nil"/>
                    <w:tr2bl w:val="nil"/>
                  </w:tcBorders>
                  <w:noWrap w:val="0"/>
                  <w:vAlign w:val="center"/>
                </w:tcPr>
                <w:p>
                  <w:pPr>
                    <w:pStyle w:val="35"/>
                    <w:bidi w:val="0"/>
                    <w:jc w:val="center"/>
                  </w:pPr>
                  <w:r>
                    <w:t>高浓度吸入出现中毒性脑病。极高浓度吸入引起意识突然丧失、反射性呼吸停止和化学性肺炎。可致角膜溃疡、穿孔，甚至失明。皮肤接触致急性接触性皮炎或过敏性皮炎。急性经口中毒引起急性胃肠炎；重者出现类似急性吸入中毒症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7" w:type="pct"/>
                  <w:tcBorders>
                    <w:tl2br w:val="nil"/>
                    <w:tr2bl w:val="nil"/>
                  </w:tcBorders>
                  <w:noWrap w:val="0"/>
                  <w:vAlign w:val="center"/>
                </w:tcPr>
                <w:p>
                  <w:pPr>
                    <w:pStyle w:val="35"/>
                    <w:bidi w:val="0"/>
                    <w:jc w:val="center"/>
                  </w:pPr>
                  <w:r>
                    <w:t>慢性中毒：</w:t>
                  </w:r>
                </w:p>
              </w:tc>
              <w:tc>
                <w:tcPr>
                  <w:tcW w:w="4132" w:type="pct"/>
                  <w:gridSpan w:val="5"/>
                  <w:tcBorders>
                    <w:tl2br w:val="nil"/>
                    <w:tr2bl w:val="nil"/>
                  </w:tcBorders>
                  <w:noWrap w:val="0"/>
                  <w:vAlign w:val="center"/>
                </w:tcPr>
                <w:p>
                  <w:pPr>
                    <w:pStyle w:val="35"/>
                    <w:bidi w:val="0"/>
                    <w:jc w:val="center"/>
                  </w:pPr>
                  <w:r>
                    <w:t>神经衰弱综合症，周围神经病，皮肤损害。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7" w:type="pct"/>
                  <w:tcBorders>
                    <w:tl2br w:val="nil"/>
                    <w:tr2bl w:val="nil"/>
                  </w:tcBorders>
                  <w:noWrap w:val="0"/>
                  <w:vAlign w:val="center"/>
                </w:tcPr>
                <w:p>
                  <w:pPr>
                    <w:pStyle w:val="35"/>
                    <w:bidi w:val="0"/>
                    <w:jc w:val="center"/>
                  </w:pPr>
                  <w:r>
                    <w:t>刺激性：</w:t>
                  </w:r>
                </w:p>
              </w:tc>
              <w:tc>
                <w:tcPr>
                  <w:tcW w:w="4132" w:type="pct"/>
                  <w:gridSpan w:val="5"/>
                  <w:tcBorders>
                    <w:tl2br w:val="nil"/>
                    <w:tr2bl w:val="nil"/>
                  </w:tcBorders>
                  <w:noWrap w:val="0"/>
                  <w:vAlign w:val="center"/>
                </w:tcPr>
                <w:p>
                  <w:pPr>
                    <w:pStyle w:val="35"/>
                    <w:bidi w:val="0"/>
                    <w:jc w:val="center"/>
                  </w:pPr>
                  <w:r>
                    <w:t>人经眼：140ppm（8小时），轻度刺激。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7" w:type="pct"/>
                  <w:tcBorders>
                    <w:tl2br w:val="nil"/>
                    <w:tr2bl w:val="nil"/>
                  </w:tcBorders>
                  <w:noWrap w:val="0"/>
                  <w:vAlign w:val="center"/>
                </w:tcPr>
                <w:p>
                  <w:pPr>
                    <w:pStyle w:val="35"/>
                    <w:bidi w:val="0"/>
                    <w:jc w:val="center"/>
                  </w:pPr>
                  <w:r>
                    <w:t>最高容许浓度</w:t>
                  </w:r>
                </w:p>
              </w:tc>
              <w:tc>
                <w:tcPr>
                  <w:tcW w:w="4132" w:type="pct"/>
                  <w:gridSpan w:val="5"/>
                  <w:tcBorders>
                    <w:tl2br w:val="nil"/>
                    <w:tr2bl w:val="nil"/>
                  </w:tcBorders>
                  <w:noWrap w:val="0"/>
                  <w:vAlign w:val="center"/>
                </w:tcPr>
                <w:p>
                  <w:pPr>
                    <w:pStyle w:val="35"/>
                    <w:bidi w:val="0"/>
                    <w:jc w:val="center"/>
                  </w:pPr>
                  <w:r>
                    <w:t>300mg/m³</w:t>
                  </w:r>
                </w:p>
              </w:tc>
            </w:tr>
          </w:tbl>
          <w:p>
            <w:pPr>
              <w:pStyle w:val="36"/>
              <w:bidi w:val="0"/>
              <w:rPr>
                <w:rFonts w:hint="eastAsia"/>
              </w:rPr>
            </w:pPr>
            <w:r>
              <w:t>表</w:t>
            </w:r>
            <w:r>
              <w:rPr>
                <w:rFonts w:hint="eastAsia"/>
                <w:lang w:val="en-US" w:eastAsia="zh-CN"/>
              </w:rPr>
              <w:t>2.1-5（3）</w:t>
            </w:r>
            <w:r>
              <w:t xml:space="preserve">  柴油的理化性质和危险特性</w:t>
            </w:r>
          </w:p>
          <w:tbl>
            <w:tblPr>
              <w:tblStyle w:val="3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05"/>
              <w:gridCol w:w="2188"/>
              <w:gridCol w:w="392"/>
              <w:gridCol w:w="1447"/>
              <w:gridCol w:w="255"/>
              <w:gridCol w:w="18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000" w:type="pct"/>
                  <w:gridSpan w:val="6"/>
                  <w:tcBorders>
                    <w:tl2br w:val="nil"/>
                    <w:tr2bl w:val="nil"/>
                  </w:tcBorders>
                  <w:noWrap w:val="0"/>
                  <w:vAlign w:val="center"/>
                </w:tcPr>
                <w:p>
                  <w:pPr>
                    <w:pStyle w:val="35"/>
                    <w:bidi w:val="0"/>
                    <w:jc w:val="center"/>
                  </w:pPr>
                  <w:r>
                    <w:t>危险性概述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934" w:type="pct"/>
                  <w:tcBorders>
                    <w:tl2br w:val="nil"/>
                    <w:tr2bl w:val="nil"/>
                  </w:tcBorders>
                  <w:noWrap w:val="0"/>
                  <w:vAlign w:val="center"/>
                </w:tcPr>
                <w:p>
                  <w:pPr>
                    <w:pStyle w:val="35"/>
                    <w:bidi w:val="0"/>
                    <w:jc w:val="center"/>
                  </w:pPr>
                  <w:r>
                    <w:t>危险性类别：</w:t>
                  </w:r>
                </w:p>
              </w:tc>
              <w:tc>
                <w:tcPr>
                  <w:tcW w:w="1715" w:type="pct"/>
                  <w:gridSpan w:val="2"/>
                  <w:tcBorders>
                    <w:tl2br w:val="nil"/>
                    <w:tr2bl w:val="nil"/>
                  </w:tcBorders>
                  <w:noWrap w:val="0"/>
                  <w:vAlign w:val="center"/>
                </w:tcPr>
                <w:p>
                  <w:pPr>
                    <w:pStyle w:val="35"/>
                    <w:bidi w:val="0"/>
                    <w:jc w:val="center"/>
                  </w:pPr>
                  <w:r>
                    <w:t>第3.3类高闪点 易燃液体</w:t>
                  </w:r>
                </w:p>
              </w:tc>
              <w:tc>
                <w:tcPr>
                  <w:tcW w:w="1132" w:type="pct"/>
                  <w:gridSpan w:val="2"/>
                  <w:tcBorders>
                    <w:tl2br w:val="nil"/>
                    <w:tr2bl w:val="nil"/>
                  </w:tcBorders>
                  <w:noWrap w:val="0"/>
                  <w:vAlign w:val="center"/>
                </w:tcPr>
                <w:p>
                  <w:pPr>
                    <w:pStyle w:val="35"/>
                    <w:bidi w:val="0"/>
                    <w:jc w:val="center"/>
                  </w:pPr>
                  <w:r>
                    <w:t>燃爆危险：</w:t>
                  </w:r>
                </w:p>
              </w:tc>
              <w:tc>
                <w:tcPr>
                  <w:tcW w:w="1218" w:type="pct"/>
                  <w:tcBorders>
                    <w:tl2br w:val="nil"/>
                    <w:tr2bl w:val="nil"/>
                  </w:tcBorders>
                  <w:noWrap w:val="0"/>
                  <w:vAlign w:val="center"/>
                </w:tcPr>
                <w:p>
                  <w:pPr>
                    <w:pStyle w:val="35"/>
                    <w:bidi w:val="0"/>
                    <w:jc w:val="center"/>
                  </w:pPr>
                  <w:r>
                    <w:t>易燃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934" w:type="pct"/>
                  <w:tcBorders>
                    <w:tl2br w:val="nil"/>
                    <w:tr2bl w:val="nil"/>
                  </w:tcBorders>
                  <w:noWrap w:val="0"/>
                  <w:vAlign w:val="center"/>
                </w:tcPr>
                <w:p>
                  <w:pPr>
                    <w:pStyle w:val="35"/>
                    <w:bidi w:val="0"/>
                    <w:jc w:val="center"/>
                  </w:pPr>
                  <w:r>
                    <w:t>侵入途径：</w:t>
                  </w:r>
                </w:p>
              </w:tc>
              <w:tc>
                <w:tcPr>
                  <w:tcW w:w="1715" w:type="pct"/>
                  <w:gridSpan w:val="2"/>
                  <w:tcBorders>
                    <w:tl2br w:val="nil"/>
                    <w:tr2bl w:val="nil"/>
                  </w:tcBorders>
                  <w:noWrap w:val="0"/>
                  <w:vAlign w:val="center"/>
                </w:tcPr>
                <w:p>
                  <w:pPr>
                    <w:pStyle w:val="35"/>
                    <w:bidi w:val="0"/>
                    <w:jc w:val="center"/>
                  </w:pPr>
                  <w:r>
                    <w:t>吸入、食入、经皮吸收</w:t>
                  </w:r>
                </w:p>
              </w:tc>
              <w:tc>
                <w:tcPr>
                  <w:tcW w:w="1132" w:type="pct"/>
                  <w:gridSpan w:val="2"/>
                  <w:tcBorders>
                    <w:tl2br w:val="nil"/>
                    <w:tr2bl w:val="nil"/>
                  </w:tcBorders>
                  <w:noWrap w:val="0"/>
                  <w:vAlign w:val="center"/>
                </w:tcPr>
                <w:p>
                  <w:pPr>
                    <w:pStyle w:val="35"/>
                    <w:bidi w:val="0"/>
                    <w:jc w:val="center"/>
                  </w:pPr>
                  <w:r>
                    <w:t>有害燃烧产物：</w:t>
                  </w:r>
                </w:p>
              </w:tc>
              <w:tc>
                <w:tcPr>
                  <w:tcW w:w="1218" w:type="pct"/>
                  <w:tcBorders>
                    <w:tl2br w:val="nil"/>
                    <w:tr2bl w:val="nil"/>
                  </w:tcBorders>
                  <w:noWrap w:val="0"/>
                  <w:vAlign w:val="center"/>
                </w:tcPr>
                <w:p>
                  <w:pPr>
                    <w:pStyle w:val="35"/>
                    <w:bidi w:val="0"/>
                    <w:jc w:val="center"/>
                  </w:pPr>
                  <w:r>
                    <w:t>一氧化碳、二氧化碳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934" w:type="pct"/>
                  <w:tcBorders>
                    <w:tl2br w:val="nil"/>
                    <w:tr2bl w:val="nil"/>
                  </w:tcBorders>
                  <w:noWrap w:val="0"/>
                  <w:vAlign w:val="center"/>
                </w:tcPr>
                <w:p>
                  <w:pPr>
                    <w:pStyle w:val="35"/>
                    <w:bidi w:val="0"/>
                    <w:jc w:val="center"/>
                  </w:pPr>
                  <w:r>
                    <w:t>环境危害：</w:t>
                  </w:r>
                </w:p>
              </w:tc>
              <w:tc>
                <w:tcPr>
                  <w:tcW w:w="4065" w:type="pct"/>
                  <w:gridSpan w:val="5"/>
                  <w:tcBorders>
                    <w:tl2br w:val="nil"/>
                    <w:tr2bl w:val="nil"/>
                  </w:tcBorders>
                  <w:noWrap w:val="0"/>
                  <w:vAlign w:val="center"/>
                </w:tcPr>
                <w:p>
                  <w:pPr>
                    <w:pStyle w:val="35"/>
                    <w:bidi w:val="0"/>
                    <w:jc w:val="center"/>
                  </w:pPr>
                  <w:r>
                    <w:t>该物质对环境有危害，应特别注意对地表水、土壤、大气和饮用水的污染。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000" w:type="pct"/>
                  <w:gridSpan w:val="6"/>
                  <w:tcBorders>
                    <w:tl2br w:val="nil"/>
                    <w:tr2bl w:val="nil"/>
                  </w:tcBorders>
                  <w:noWrap w:val="0"/>
                  <w:vAlign w:val="center"/>
                </w:tcPr>
                <w:p>
                  <w:pPr>
                    <w:pStyle w:val="35"/>
                    <w:bidi w:val="0"/>
                    <w:jc w:val="center"/>
                  </w:pPr>
                  <w:r>
                    <w:t>理化特性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934" w:type="pct"/>
                  <w:tcBorders>
                    <w:tl2br w:val="nil"/>
                    <w:tr2bl w:val="nil"/>
                  </w:tcBorders>
                  <w:noWrap w:val="0"/>
                  <w:vAlign w:val="center"/>
                </w:tcPr>
                <w:p>
                  <w:pPr>
                    <w:pStyle w:val="35"/>
                    <w:bidi w:val="0"/>
                    <w:jc w:val="center"/>
                  </w:pPr>
                  <w:r>
                    <w:t>外观及性状：</w:t>
                  </w:r>
                </w:p>
              </w:tc>
              <w:tc>
                <w:tcPr>
                  <w:tcW w:w="1454" w:type="pct"/>
                  <w:tcBorders>
                    <w:tl2br w:val="nil"/>
                    <w:tr2bl w:val="nil"/>
                  </w:tcBorders>
                  <w:noWrap w:val="0"/>
                  <w:vAlign w:val="center"/>
                </w:tcPr>
                <w:p>
                  <w:pPr>
                    <w:pStyle w:val="35"/>
                    <w:bidi w:val="0"/>
                    <w:jc w:val="center"/>
                  </w:pPr>
                  <w:r>
                    <w:t>稍有粘性的棕色液体。</w:t>
                  </w:r>
                </w:p>
              </w:tc>
              <w:tc>
                <w:tcPr>
                  <w:tcW w:w="1223" w:type="pct"/>
                  <w:gridSpan w:val="2"/>
                  <w:tcBorders>
                    <w:tl2br w:val="nil"/>
                    <w:tr2bl w:val="nil"/>
                  </w:tcBorders>
                  <w:noWrap w:val="0"/>
                  <w:vAlign w:val="center"/>
                </w:tcPr>
                <w:p>
                  <w:pPr>
                    <w:pStyle w:val="35"/>
                    <w:bidi w:val="0"/>
                    <w:jc w:val="center"/>
                  </w:pPr>
                  <w:r>
                    <w:t>主要用途：</w:t>
                  </w:r>
                </w:p>
              </w:tc>
              <w:tc>
                <w:tcPr>
                  <w:tcW w:w="1387" w:type="pct"/>
                  <w:gridSpan w:val="2"/>
                  <w:tcBorders>
                    <w:tl2br w:val="nil"/>
                    <w:tr2bl w:val="nil"/>
                  </w:tcBorders>
                  <w:noWrap w:val="0"/>
                  <w:vAlign w:val="center"/>
                </w:tcPr>
                <w:p>
                  <w:pPr>
                    <w:pStyle w:val="35"/>
                    <w:bidi w:val="0"/>
                    <w:jc w:val="center"/>
                  </w:pPr>
                  <w:r>
                    <w:t>用作柴油机的燃料等。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934" w:type="pct"/>
                  <w:tcBorders>
                    <w:tl2br w:val="nil"/>
                    <w:tr2bl w:val="nil"/>
                  </w:tcBorders>
                  <w:noWrap w:val="0"/>
                  <w:vAlign w:val="center"/>
                </w:tcPr>
                <w:p>
                  <w:pPr>
                    <w:pStyle w:val="35"/>
                    <w:bidi w:val="0"/>
                    <w:jc w:val="center"/>
                  </w:pPr>
                  <w:r>
                    <w:t>闪点（℃）：</w:t>
                  </w:r>
                </w:p>
              </w:tc>
              <w:tc>
                <w:tcPr>
                  <w:tcW w:w="1454" w:type="pct"/>
                  <w:tcBorders>
                    <w:tl2br w:val="nil"/>
                    <w:tr2bl w:val="nil"/>
                  </w:tcBorders>
                  <w:noWrap w:val="0"/>
                  <w:vAlign w:val="center"/>
                </w:tcPr>
                <w:p>
                  <w:pPr>
                    <w:pStyle w:val="35"/>
                    <w:bidi w:val="0"/>
                    <w:jc w:val="center"/>
                  </w:pPr>
                  <w:r>
                    <w:t>45～55℃</w:t>
                  </w:r>
                </w:p>
              </w:tc>
              <w:tc>
                <w:tcPr>
                  <w:tcW w:w="1223" w:type="pct"/>
                  <w:gridSpan w:val="2"/>
                  <w:tcBorders>
                    <w:tl2br w:val="nil"/>
                    <w:tr2bl w:val="nil"/>
                  </w:tcBorders>
                  <w:noWrap w:val="0"/>
                  <w:vAlign w:val="center"/>
                </w:tcPr>
                <w:p>
                  <w:pPr>
                    <w:pStyle w:val="35"/>
                    <w:bidi w:val="0"/>
                    <w:jc w:val="center"/>
                  </w:pPr>
                  <w:r>
                    <w:t>相对密度（水＝1）：</w:t>
                  </w:r>
                </w:p>
              </w:tc>
              <w:tc>
                <w:tcPr>
                  <w:tcW w:w="1387" w:type="pct"/>
                  <w:gridSpan w:val="2"/>
                  <w:tcBorders>
                    <w:tl2br w:val="nil"/>
                    <w:tr2bl w:val="nil"/>
                  </w:tcBorders>
                  <w:noWrap w:val="0"/>
                  <w:vAlign w:val="center"/>
                </w:tcPr>
                <w:p>
                  <w:pPr>
                    <w:pStyle w:val="35"/>
                    <w:bidi w:val="0"/>
                    <w:jc w:val="center"/>
                  </w:pPr>
                  <w:r>
                    <w:t>0.87～0.9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934" w:type="pct"/>
                  <w:tcBorders>
                    <w:tl2br w:val="nil"/>
                    <w:tr2bl w:val="nil"/>
                  </w:tcBorders>
                  <w:noWrap w:val="0"/>
                  <w:vAlign w:val="center"/>
                </w:tcPr>
                <w:p>
                  <w:pPr>
                    <w:pStyle w:val="35"/>
                    <w:bidi w:val="0"/>
                    <w:jc w:val="center"/>
                  </w:pPr>
                  <w:r>
                    <w:t>沸点（℃）：</w:t>
                  </w:r>
                </w:p>
              </w:tc>
              <w:tc>
                <w:tcPr>
                  <w:tcW w:w="1454" w:type="pct"/>
                  <w:tcBorders>
                    <w:tl2br w:val="nil"/>
                    <w:tr2bl w:val="nil"/>
                  </w:tcBorders>
                  <w:noWrap w:val="0"/>
                  <w:vAlign w:val="center"/>
                </w:tcPr>
                <w:p>
                  <w:pPr>
                    <w:pStyle w:val="35"/>
                    <w:bidi w:val="0"/>
                    <w:jc w:val="center"/>
                  </w:pPr>
                  <w:r>
                    <w:t>200～350℃</w:t>
                  </w:r>
                </w:p>
              </w:tc>
              <w:tc>
                <w:tcPr>
                  <w:tcW w:w="1223" w:type="pct"/>
                  <w:gridSpan w:val="2"/>
                  <w:tcBorders>
                    <w:tl2br w:val="nil"/>
                    <w:tr2bl w:val="nil"/>
                  </w:tcBorders>
                  <w:noWrap w:val="0"/>
                  <w:vAlign w:val="center"/>
                </w:tcPr>
                <w:p>
                  <w:pPr>
                    <w:pStyle w:val="35"/>
                    <w:bidi w:val="0"/>
                    <w:jc w:val="center"/>
                  </w:pPr>
                  <w:r>
                    <w:t>爆炸上限％（V/V）：</w:t>
                  </w:r>
                </w:p>
              </w:tc>
              <w:tc>
                <w:tcPr>
                  <w:tcW w:w="1387" w:type="pct"/>
                  <w:gridSpan w:val="2"/>
                  <w:tcBorders>
                    <w:tl2br w:val="nil"/>
                    <w:tr2bl w:val="nil"/>
                  </w:tcBorders>
                  <w:noWrap w:val="0"/>
                  <w:vAlign w:val="center"/>
                </w:tcPr>
                <w:p>
                  <w:pPr>
                    <w:pStyle w:val="35"/>
                    <w:bidi w:val="0"/>
                    <w:jc w:val="center"/>
                  </w:pPr>
                  <w:r>
                    <w:t>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934" w:type="pct"/>
                  <w:tcBorders>
                    <w:tl2br w:val="nil"/>
                    <w:tr2bl w:val="nil"/>
                  </w:tcBorders>
                  <w:noWrap w:val="0"/>
                  <w:vAlign w:val="center"/>
                </w:tcPr>
                <w:p>
                  <w:pPr>
                    <w:pStyle w:val="35"/>
                    <w:bidi w:val="0"/>
                    <w:jc w:val="center"/>
                  </w:pPr>
                  <w:r>
                    <w:t>自然点（℃）：</w:t>
                  </w:r>
                </w:p>
              </w:tc>
              <w:tc>
                <w:tcPr>
                  <w:tcW w:w="1454" w:type="pct"/>
                  <w:tcBorders>
                    <w:tl2br w:val="nil"/>
                    <w:tr2bl w:val="nil"/>
                  </w:tcBorders>
                  <w:noWrap w:val="0"/>
                  <w:vAlign w:val="center"/>
                </w:tcPr>
                <w:p>
                  <w:pPr>
                    <w:pStyle w:val="35"/>
                    <w:bidi w:val="0"/>
                    <w:jc w:val="center"/>
                  </w:pPr>
                  <w:r>
                    <w:t>257</w:t>
                  </w:r>
                </w:p>
              </w:tc>
              <w:tc>
                <w:tcPr>
                  <w:tcW w:w="1223" w:type="pct"/>
                  <w:gridSpan w:val="2"/>
                  <w:tcBorders>
                    <w:tl2br w:val="nil"/>
                    <w:tr2bl w:val="nil"/>
                  </w:tcBorders>
                  <w:noWrap w:val="0"/>
                  <w:vAlign w:val="center"/>
                </w:tcPr>
                <w:p>
                  <w:pPr>
                    <w:pStyle w:val="35"/>
                    <w:bidi w:val="0"/>
                    <w:jc w:val="center"/>
                  </w:pPr>
                  <w:r>
                    <w:t>爆炸下限％（V/V）：</w:t>
                  </w:r>
                </w:p>
              </w:tc>
              <w:tc>
                <w:tcPr>
                  <w:tcW w:w="1387" w:type="pct"/>
                  <w:gridSpan w:val="2"/>
                  <w:tcBorders>
                    <w:tl2br w:val="nil"/>
                    <w:tr2bl w:val="nil"/>
                  </w:tcBorders>
                  <w:noWrap w:val="0"/>
                  <w:vAlign w:val="center"/>
                </w:tcPr>
                <w:p>
                  <w:pPr>
                    <w:pStyle w:val="35"/>
                    <w:bidi w:val="0"/>
                    <w:jc w:val="center"/>
                  </w:pPr>
                  <w: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000" w:type="pct"/>
                  <w:gridSpan w:val="6"/>
                  <w:tcBorders>
                    <w:tl2br w:val="nil"/>
                    <w:tr2bl w:val="nil"/>
                  </w:tcBorders>
                  <w:noWrap w:val="0"/>
                  <w:vAlign w:val="center"/>
                </w:tcPr>
                <w:p>
                  <w:pPr>
                    <w:pStyle w:val="35"/>
                    <w:bidi w:val="0"/>
                    <w:jc w:val="center"/>
                  </w:pPr>
                  <w:r>
                    <w:t>毒理学资料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934" w:type="pct"/>
                  <w:tcBorders>
                    <w:tl2br w:val="nil"/>
                    <w:tr2bl w:val="nil"/>
                  </w:tcBorders>
                  <w:noWrap w:val="0"/>
                  <w:vAlign w:val="center"/>
                </w:tcPr>
                <w:p>
                  <w:pPr>
                    <w:pStyle w:val="35"/>
                    <w:bidi w:val="0"/>
                    <w:jc w:val="center"/>
                  </w:pPr>
                  <w:r>
                    <w:t>急性中毒：</w:t>
                  </w:r>
                </w:p>
              </w:tc>
              <w:tc>
                <w:tcPr>
                  <w:tcW w:w="4065" w:type="pct"/>
                  <w:gridSpan w:val="5"/>
                  <w:tcBorders>
                    <w:tl2br w:val="nil"/>
                    <w:tr2bl w:val="nil"/>
                  </w:tcBorders>
                  <w:noWrap w:val="0"/>
                  <w:vAlign w:val="center"/>
                </w:tcPr>
                <w:p>
                  <w:pPr>
                    <w:pStyle w:val="35"/>
                    <w:bidi w:val="0"/>
                    <w:jc w:val="center"/>
                  </w:pPr>
                  <w:r>
                    <w:t>皮肤接触柴油可引起接触性皮炎、油性痤疮，吸入可引起吸入性肺炎，能经胎盘进入胎儿血中。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934" w:type="pct"/>
                  <w:tcBorders>
                    <w:tl2br w:val="nil"/>
                    <w:tr2bl w:val="nil"/>
                  </w:tcBorders>
                  <w:noWrap w:val="0"/>
                  <w:vAlign w:val="center"/>
                </w:tcPr>
                <w:p>
                  <w:pPr>
                    <w:pStyle w:val="35"/>
                    <w:bidi w:val="0"/>
                    <w:jc w:val="center"/>
                  </w:pPr>
                  <w:r>
                    <w:t>慢性中毒：</w:t>
                  </w:r>
                </w:p>
              </w:tc>
              <w:tc>
                <w:tcPr>
                  <w:tcW w:w="4065" w:type="pct"/>
                  <w:gridSpan w:val="5"/>
                  <w:tcBorders>
                    <w:tl2br w:val="nil"/>
                    <w:tr2bl w:val="nil"/>
                  </w:tcBorders>
                  <w:noWrap w:val="0"/>
                  <w:vAlign w:val="center"/>
                </w:tcPr>
                <w:p>
                  <w:pPr>
                    <w:pStyle w:val="35"/>
                    <w:bidi w:val="0"/>
                    <w:jc w:val="center"/>
                  </w:pPr>
                  <w:r>
                    <w:t>柴油废气可引起眼、鼻刺激症状，头痛。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934" w:type="pct"/>
                  <w:tcBorders>
                    <w:tl2br w:val="nil"/>
                    <w:tr2bl w:val="nil"/>
                  </w:tcBorders>
                  <w:noWrap w:val="0"/>
                  <w:vAlign w:val="center"/>
                </w:tcPr>
                <w:p>
                  <w:pPr>
                    <w:pStyle w:val="35"/>
                    <w:bidi w:val="0"/>
                    <w:jc w:val="center"/>
                  </w:pPr>
                  <w:r>
                    <w:t>刺激性：</w:t>
                  </w:r>
                </w:p>
              </w:tc>
              <w:tc>
                <w:tcPr>
                  <w:tcW w:w="4065" w:type="pct"/>
                  <w:gridSpan w:val="5"/>
                  <w:tcBorders>
                    <w:tl2br w:val="nil"/>
                    <w:tr2bl w:val="nil"/>
                  </w:tcBorders>
                  <w:noWrap w:val="0"/>
                  <w:vAlign w:val="center"/>
                </w:tcPr>
                <w:p>
                  <w:pPr>
                    <w:pStyle w:val="35"/>
                    <w:bidi w:val="0"/>
                    <w:jc w:val="center"/>
                  </w:pPr>
                  <w:r>
                    <w:t>具有刺激作用</w:t>
                  </w:r>
                </w:p>
              </w:tc>
            </w:tr>
          </w:tbl>
          <w:p>
            <w:pPr>
              <w:pStyle w:val="14"/>
              <w:bidi w:val="0"/>
              <w:rPr>
                <w:rFonts w:hint="default" w:ascii="Times New Roman" w:hAnsi="Times New Roman" w:cs="Times New Roman"/>
              </w:rPr>
            </w:pPr>
            <w:r>
              <w:rPr>
                <w:rFonts w:hint="eastAsia" w:cs="Times New Roman"/>
                <w:lang w:val="en-US" w:eastAsia="zh-CN"/>
              </w:rPr>
              <w:t>6</w:t>
            </w:r>
            <w:r>
              <w:rPr>
                <w:rFonts w:hint="default" w:ascii="Times New Roman" w:hAnsi="Times New Roman" w:cs="Times New Roman"/>
              </w:rPr>
              <w:t>、主要生产设备</w:t>
            </w:r>
          </w:p>
          <w:p>
            <w:pPr>
              <w:pStyle w:val="14"/>
              <w:ind w:firstLine="480"/>
              <w:rPr>
                <w:szCs w:val="22"/>
              </w:rPr>
            </w:pPr>
            <w:r>
              <w:rPr>
                <w:szCs w:val="22"/>
              </w:rPr>
              <w:t>本项目主要工艺设备选型以能保证产品的安全卫生和质量标准要求为前提，选用</w:t>
            </w:r>
            <w:r>
              <w:rPr>
                <w:color w:val="000000"/>
              </w:rPr>
              <w:t>国内较先进的生产设备。根据国家有关限期淘汰落后设备目录及节能减排要求，本项目设备中不存在国家明令禁止使用或淘汰的设备。</w:t>
            </w:r>
            <w:r>
              <w:rPr>
                <w:szCs w:val="22"/>
              </w:rPr>
              <w:t>项目主要设备清单见下表。</w:t>
            </w:r>
          </w:p>
          <w:p>
            <w:pPr>
              <w:pStyle w:val="36"/>
              <w:bidi w:val="0"/>
            </w:pPr>
            <w:r>
              <w:t>表</w:t>
            </w:r>
            <w:r>
              <w:rPr>
                <w:rFonts w:hint="eastAsia"/>
                <w:lang w:val="en-US" w:eastAsia="zh-CN"/>
              </w:rPr>
              <w:t>2.</w:t>
            </w:r>
            <w:r>
              <w:t xml:space="preserve"> 1-</w:t>
            </w:r>
            <w:r>
              <w:rPr>
                <w:rFonts w:hint="eastAsia"/>
                <w:lang w:val="en-US" w:eastAsia="zh-CN"/>
              </w:rPr>
              <w:t>6</w:t>
            </w:r>
            <w:r>
              <w:t xml:space="preserve"> 项目主要设备清单 </w:t>
            </w:r>
          </w:p>
          <w:tbl>
            <w:tblPr>
              <w:tblStyle w:val="38"/>
              <w:tblW w:w="4992"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574"/>
              <w:gridCol w:w="1981"/>
              <w:gridCol w:w="1896"/>
              <w:gridCol w:w="823"/>
              <w:gridCol w:w="579"/>
              <w:gridCol w:w="1662"/>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381" w:type="pct"/>
                  <w:vAlign w:val="center"/>
                </w:tcPr>
                <w:p>
                  <w:pPr>
                    <w:pStyle w:val="35"/>
                    <w:bidi w:val="0"/>
                  </w:pPr>
                  <w:r>
                    <w:t>序号</w:t>
                  </w:r>
                </w:p>
              </w:tc>
              <w:tc>
                <w:tcPr>
                  <w:tcW w:w="1318" w:type="pct"/>
                  <w:vAlign w:val="center"/>
                </w:tcPr>
                <w:p>
                  <w:pPr>
                    <w:pStyle w:val="35"/>
                    <w:bidi w:val="0"/>
                  </w:pPr>
                  <w:r>
                    <w:t>名称</w:t>
                  </w:r>
                </w:p>
              </w:tc>
              <w:tc>
                <w:tcPr>
                  <w:tcW w:w="1261" w:type="pct"/>
                  <w:vAlign w:val="center"/>
                </w:tcPr>
                <w:p>
                  <w:pPr>
                    <w:pStyle w:val="35"/>
                    <w:bidi w:val="0"/>
                  </w:pPr>
                  <w:r>
                    <w:t>规格型号</w:t>
                  </w:r>
                </w:p>
              </w:tc>
              <w:tc>
                <w:tcPr>
                  <w:tcW w:w="547" w:type="pct"/>
                  <w:vAlign w:val="center"/>
                </w:tcPr>
                <w:p>
                  <w:pPr>
                    <w:pStyle w:val="35"/>
                    <w:bidi w:val="0"/>
                  </w:pPr>
                  <w:r>
                    <w:t>单位</w:t>
                  </w:r>
                </w:p>
              </w:tc>
              <w:tc>
                <w:tcPr>
                  <w:tcW w:w="385" w:type="pct"/>
                  <w:vAlign w:val="center"/>
                </w:tcPr>
                <w:p>
                  <w:pPr>
                    <w:pStyle w:val="35"/>
                    <w:bidi w:val="0"/>
                  </w:pPr>
                  <w:r>
                    <w:t>数量</w:t>
                  </w:r>
                </w:p>
              </w:tc>
              <w:tc>
                <w:tcPr>
                  <w:tcW w:w="1105" w:type="pct"/>
                  <w:vAlign w:val="center"/>
                </w:tcPr>
                <w:p>
                  <w:pPr>
                    <w:pStyle w:val="35"/>
                    <w:bidi w:val="0"/>
                  </w:pPr>
                  <w:r>
                    <w:t>备注</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381" w:type="pct"/>
                  <w:vAlign w:val="center"/>
                </w:tcPr>
                <w:p>
                  <w:pPr>
                    <w:pStyle w:val="35"/>
                    <w:bidi w:val="0"/>
                  </w:pPr>
                  <w:r>
                    <w:t>1</w:t>
                  </w:r>
                </w:p>
              </w:tc>
              <w:tc>
                <w:tcPr>
                  <w:tcW w:w="1318" w:type="pct"/>
                  <w:vAlign w:val="center"/>
                </w:tcPr>
                <w:p>
                  <w:pPr>
                    <w:pStyle w:val="35"/>
                    <w:bidi w:val="0"/>
                  </w:pPr>
                  <w:r>
                    <w:t>0#柴油罐</w:t>
                  </w:r>
                </w:p>
              </w:tc>
              <w:tc>
                <w:tcPr>
                  <w:tcW w:w="1261" w:type="pct"/>
                  <w:vAlign w:val="center"/>
                </w:tcPr>
                <w:p>
                  <w:pPr>
                    <w:pStyle w:val="35"/>
                    <w:bidi w:val="0"/>
                  </w:pPr>
                  <w:r>
                    <w:t>V=</w:t>
                  </w:r>
                  <w:r>
                    <w:rPr>
                      <w:rFonts w:hint="eastAsia"/>
                      <w:lang w:val="en-US" w:eastAsia="zh-CN"/>
                    </w:rPr>
                    <w:t>5</w:t>
                  </w:r>
                  <w:r>
                    <w:t>0m</w:t>
                  </w:r>
                  <w:r>
                    <w:rPr>
                      <w:rFonts w:hint="default"/>
                    </w:rPr>
                    <w:t>³</w:t>
                  </w:r>
                </w:p>
              </w:tc>
              <w:tc>
                <w:tcPr>
                  <w:tcW w:w="547" w:type="pct"/>
                  <w:vAlign w:val="center"/>
                </w:tcPr>
                <w:p>
                  <w:pPr>
                    <w:pStyle w:val="35"/>
                    <w:bidi w:val="0"/>
                  </w:pPr>
                  <w:r>
                    <w:t>个</w:t>
                  </w:r>
                </w:p>
              </w:tc>
              <w:tc>
                <w:tcPr>
                  <w:tcW w:w="385" w:type="pct"/>
                  <w:vAlign w:val="center"/>
                </w:tcPr>
                <w:p>
                  <w:pPr>
                    <w:pStyle w:val="35"/>
                    <w:bidi w:val="0"/>
                  </w:pPr>
                  <w:r>
                    <w:t>1</w:t>
                  </w:r>
                </w:p>
              </w:tc>
              <w:tc>
                <w:tcPr>
                  <w:tcW w:w="1105" w:type="pct"/>
                  <w:vAlign w:val="center"/>
                </w:tcPr>
                <w:p>
                  <w:pPr>
                    <w:pStyle w:val="35"/>
                    <w:bidi w:val="0"/>
                  </w:pPr>
                  <w:r>
                    <w:t>SF双层油罐</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381" w:type="pct"/>
                  <w:vAlign w:val="center"/>
                </w:tcPr>
                <w:p>
                  <w:pPr>
                    <w:pStyle w:val="35"/>
                    <w:bidi w:val="0"/>
                  </w:pPr>
                  <w:r>
                    <w:t>2</w:t>
                  </w:r>
                </w:p>
              </w:tc>
              <w:tc>
                <w:tcPr>
                  <w:tcW w:w="1318" w:type="pct"/>
                  <w:vAlign w:val="center"/>
                </w:tcPr>
                <w:p>
                  <w:pPr>
                    <w:pStyle w:val="35"/>
                    <w:bidi w:val="0"/>
                  </w:pPr>
                  <w:r>
                    <w:t>92#汽油罐</w:t>
                  </w:r>
                </w:p>
              </w:tc>
              <w:tc>
                <w:tcPr>
                  <w:tcW w:w="1261" w:type="pct"/>
                  <w:vAlign w:val="center"/>
                </w:tcPr>
                <w:p>
                  <w:pPr>
                    <w:pStyle w:val="35"/>
                    <w:bidi w:val="0"/>
                  </w:pPr>
                  <w:r>
                    <w:t>V=</w:t>
                  </w:r>
                  <w:r>
                    <w:rPr>
                      <w:rFonts w:hint="eastAsia"/>
                      <w:lang w:val="en-US" w:eastAsia="zh-CN"/>
                    </w:rPr>
                    <w:t>4</w:t>
                  </w:r>
                  <w:r>
                    <w:t>0m</w:t>
                  </w:r>
                  <w:r>
                    <w:rPr>
                      <w:rFonts w:hint="default"/>
                    </w:rPr>
                    <w:t>³</w:t>
                  </w:r>
                </w:p>
              </w:tc>
              <w:tc>
                <w:tcPr>
                  <w:tcW w:w="547" w:type="pct"/>
                  <w:vAlign w:val="center"/>
                </w:tcPr>
                <w:p>
                  <w:pPr>
                    <w:pStyle w:val="35"/>
                    <w:bidi w:val="0"/>
                  </w:pPr>
                  <w:r>
                    <w:t>个</w:t>
                  </w:r>
                </w:p>
              </w:tc>
              <w:tc>
                <w:tcPr>
                  <w:tcW w:w="385" w:type="pct"/>
                  <w:vAlign w:val="center"/>
                </w:tcPr>
                <w:p>
                  <w:pPr>
                    <w:pStyle w:val="35"/>
                    <w:bidi w:val="0"/>
                  </w:pPr>
                  <w:r>
                    <w:t>2</w:t>
                  </w:r>
                </w:p>
              </w:tc>
              <w:tc>
                <w:tcPr>
                  <w:tcW w:w="1105" w:type="pct"/>
                  <w:vAlign w:val="center"/>
                </w:tcPr>
                <w:p>
                  <w:pPr>
                    <w:pStyle w:val="35"/>
                    <w:bidi w:val="0"/>
                  </w:pPr>
                  <w:r>
                    <w:t>SF双层油罐</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381" w:type="pct"/>
                  <w:vAlign w:val="center"/>
                </w:tcPr>
                <w:p>
                  <w:pPr>
                    <w:pStyle w:val="35"/>
                    <w:bidi w:val="0"/>
                  </w:pPr>
                  <w:r>
                    <w:t>3</w:t>
                  </w:r>
                </w:p>
              </w:tc>
              <w:tc>
                <w:tcPr>
                  <w:tcW w:w="1318" w:type="pct"/>
                  <w:vAlign w:val="center"/>
                </w:tcPr>
                <w:p>
                  <w:pPr>
                    <w:pStyle w:val="35"/>
                    <w:bidi w:val="0"/>
                  </w:pPr>
                  <w:r>
                    <w:t>95#汽油罐</w:t>
                  </w:r>
                </w:p>
              </w:tc>
              <w:tc>
                <w:tcPr>
                  <w:tcW w:w="1261" w:type="pct"/>
                  <w:vAlign w:val="center"/>
                </w:tcPr>
                <w:p>
                  <w:pPr>
                    <w:pStyle w:val="35"/>
                    <w:bidi w:val="0"/>
                  </w:pPr>
                  <w:r>
                    <w:t>V=</w:t>
                  </w:r>
                  <w:r>
                    <w:rPr>
                      <w:rFonts w:hint="eastAsia"/>
                      <w:lang w:val="en-US" w:eastAsia="zh-CN"/>
                    </w:rPr>
                    <w:t>4</w:t>
                  </w:r>
                  <w:r>
                    <w:t>0m</w:t>
                  </w:r>
                  <w:r>
                    <w:rPr>
                      <w:rFonts w:hint="default"/>
                    </w:rPr>
                    <w:t>³</w:t>
                  </w:r>
                </w:p>
              </w:tc>
              <w:tc>
                <w:tcPr>
                  <w:tcW w:w="547" w:type="pct"/>
                  <w:vAlign w:val="center"/>
                </w:tcPr>
                <w:p>
                  <w:pPr>
                    <w:pStyle w:val="35"/>
                    <w:bidi w:val="0"/>
                  </w:pPr>
                  <w:r>
                    <w:t>个</w:t>
                  </w:r>
                </w:p>
              </w:tc>
              <w:tc>
                <w:tcPr>
                  <w:tcW w:w="385" w:type="pct"/>
                  <w:vAlign w:val="center"/>
                </w:tcPr>
                <w:p>
                  <w:pPr>
                    <w:pStyle w:val="35"/>
                    <w:bidi w:val="0"/>
                  </w:pPr>
                  <w:r>
                    <w:t>1</w:t>
                  </w:r>
                </w:p>
              </w:tc>
              <w:tc>
                <w:tcPr>
                  <w:tcW w:w="1105" w:type="pct"/>
                  <w:vAlign w:val="center"/>
                </w:tcPr>
                <w:p>
                  <w:pPr>
                    <w:pStyle w:val="35"/>
                    <w:bidi w:val="0"/>
                  </w:pPr>
                  <w:r>
                    <w:t>SF双层油罐</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381" w:type="pct"/>
                  <w:vAlign w:val="center"/>
                </w:tcPr>
                <w:p>
                  <w:pPr>
                    <w:pStyle w:val="35"/>
                    <w:bidi w:val="0"/>
                  </w:pPr>
                  <w:r>
                    <w:t>4</w:t>
                  </w:r>
                </w:p>
              </w:tc>
              <w:tc>
                <w:tcPr>
                  <w:tcW w:w="1318" w:type="pct"/>
                  <w:vAlign w:val="center"/>
                </w:tcPr>
                <w:p>
                  <w:pPr>
                    <w:pStyle w:val="35"/>
                    <w:bidi w:val="0"/>
                  </w:pPr>
                  <w:r>
                    <w:t>加油机</w:t>
                  </w:r>
                </w:p>
              </w:tc>
              <w:tc>
                <w:tcPr>
                  <w:tcW w:w="1261" w:type="pct"/>
                  <w:vAlign w:val="center"/>
                </w:tcPr>
                <w:p>
                  <w:pPr>
                    <w:pStyle w:val="35"/>
                    <w:bidi w:val="0"/>
                    <w:rPr>
                      <w:rFonts w:hint="eastAsia" w:eastAsia="宋体"/>
                      <w:lang w:eastAsia="zh-CN"/>
                    </w:rPr>
                  </w:pPr>
                  <w:r>
                    <w:rPr>
                      <w:rFonts w:hint="eastAsia"/>
                      <w:lang w:val="en-US" w:eastAsia="zh-CN"/>
                    </w:rPr>
                    <w:t>/</w:t>
                  </w:r>
                </w:p>
              </w:tc>
              <w:tc>
                <w:tcPr>
                  <w:tcW w:w="547" w:type="pct"/>
                  <w:vAlign w:val="center"/>
                </w:tcPr>
                <w:p>
                  <w:pPr>
                    <w:pStyle w:val="35"/>
                    <w:bidi w:val="0"/>
                  </w:pPr>
                  <w:r>
                    <w:t>台</w:t>
                  </w:r>
                </w:p>
              </w:tc>
              <w:tc>
                <w:tcPr>
                  <w:tcW w:w="385" w:type="pct"/>
                  <w:vAlign w:val="center"/>
                </w:tcPr>
                <w:p>
                  <w:pPr>
                    <w:pStyle w:val="35"/>
                    <w:bidi w:val="0"/>
                    <w:rPr>
                      <w:rFonts w:hint="eastAsia" w:eastAsia="宋体"/>
                      <w:lang w:eastAsia="zh-CN"/>
                    </w:rPr>
                  </w:pPr>
                  <w:r>
                    <w:rPr>
                      <w:rFonts w:hint="eastAsia"/>
                      <w:lang w:val="en-US" w:eastAsia="zh-CN"/>
                    </w:rPr>
                    <w:t>4</w:t>
                  </w:r>
                </w:p>
              </w:tc>
              <w:tc>
                <w:tcPr>
                  <w:tcW w:w="1105" w:type="pct"/>
                  <w:vAlign w:val="center"/>
                </w:tcPr>
                <w:p>
                  <w:pPr>
                    <w:pStyle w:val="35"/>
                    <w:bidi w:val="0"/>
                  </w:pPr>
                  <w:r>
                    <w:rPr>
                      <w:rFonts w:hint="eastAsia"/>
                      <w:lang w:val="en-US" w:eastAsia="zh-CN"/>
                    </w:rPr>
                    <w:t>24</w:t>
                  </w:r>
                  <w:r>
                    <w:t>枪潜油泵加油机</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381" w:type="pct"/>
                  <w:vAlign w:val="center"/>
                </w:tcPr>
                <w:p>
                  <w:pPr>
                    <w:pStyle w:val="35"/>
                    <w:bidi w:val="0"/>
                  </w:pPr>
                  <w:r>
                    <w:t>5</w:t>
                  </w:r>
                </w:p>
              </w:tc>
              <w:tc>
                <w:tcPr>
                  <w:tcW w:w="1318" w:type="pct"/>
                  <w:vAlign w:val="center"/>
                </w:tcPr>
                <w:p>
                  <w:pPr>
                    <w:pStyle w:val="35"/>
                    <w:bidi w:val="0"/>
                  </w:pPr>
                  <w:r>
                    <w:t>阻火器</w:t>
                  </w:r>
                </w:p>
              </w:tc>
              <w:tc>
                <w:tcPr>
                  <w:tcW w:w="1261" w:type="pct"/>
                  <w:vAlign w:val="center"/>
                </w:tcPr>
                <w:p>
                  <w:pPr>
                    <w:pStyle w:val="35"/>
                    <w:bidi w:val="0"/>
                    <w:rPr>
                      <w:rFonts w:hint="eastAsia"/>
                      <w:lang w:val="en-US" w:eastAsia="zh-CN"/>
                    </w:rPr>
                  </w:pPr>
                  <w:r>
                    <w:rPr>
                      <w:rFonts w:hint="eastAsia"/>
                      <w:lang w:val="en-US" w:eastAsia="zh-CN"/>
                    </w:rPr>
                    <w:t>/</w:t>
                  </w:r>
                </w:p>
              </w:tc>
              <w:tc>
                <w:tcPr>
                  <w:tcW w:w="547" w:type="pct"/>
                  <w:vAlign w:val="center"/>
                </w:tcPr>
                <w:p>
                  <w:pPr>
                    <w:pStyle w:val="35"/>
                    <w:bidi w:val="0"/>
                  </w:pPr>
                  <w:r>
                    <w:t>个</w:t>
                  </w:r>
                </w:p>
              </w:tc>
              <w:tc>
                <w:tcPr>
                  <w:tcW w:w="385" w:type="pct"/>
                  <w:vAlign w:val="center"/>
                </w:tcPr>
                <w:p>
                  <w:pPr>
                    <w:pStyle w:val="35"/>
                    <w:bidi w:val="0"/>
                  </w:pPr>
                  <w:r>
                    <w:t>3</w:t>
                  </w:r>
                </w:p>
              </w:tc>
              <w:tc>
                <w:tcPr>
                  <w:tcW w:w="1105" w:type="pct"/>
                  <w:vAlign w:val="center"/>
                </w:tcPr>
                <w:p>
                  <w:pPr>
                    <w:pStyle w:val="35"/>
                    <w:bidi w:val="0"/>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381" w:type="pct"/>
                  <w:vAlign w:val="center"/>
                </w:tcPr>
                <w:p>
                  <w:pPr>
                    <w:pStyle w:val="35"/>
                    <w:bidi w:val="0"/>
                  </w:pPr>
                  <w:r>
                    <w:t>6</w:t>
                  </w:r>
                </w:p>
              </w:tc>
              <w:tc>
                <w:tcPr>
                  <w:tcW w:w="1318" w:type="pct"/>
                  <w:vAlign w:val="center"/>
                </w:tcPr>
                <w:p>
                  <w:pPr>
                    <w:pStyle w:val="35"/>
                    <w:bidi w:val="0"/>
                  </w:pPr>
                  <w:r>
                    <w:t>呼吸阀</w:t>
                  </w:r>
                </w:p>
              </w:tc>
              <w:tc>
                <w:tcPr>
                  <w:tcW w:w="1261" w:type="pct"/>
                  <w:vAlign w:val="center"/>
                </w:tcPr>
                <w:p>
                  <w:pPr>
                    <w:pStyle w:val="35"/>
                    <w:bidi w:val="0"/>
                    <w:rPr>
                      <w:rFonts w:hint="eastAsia"/>
                      <w:lang w:val="en-US" w:eastAsia="zh-CN"/>
                    </w:rPr>
                  </w:pPr>
                  <w:r>
                    <w:rPr>
                      <w:rFonts w:hint="eastAsia"/>
                      <w:lang w:val="en-US" w:eastAsia="zh-CN"/>
                    </w:rPr>
                    <w:t>/</w:t>
                  </w:r>
                </w:p>
              </w:tc>
              <w:tc>
                <w:tcPr>
                  <w:tcW w:w="547" w:type="pct"/>
                  <w:vAlign w:val="center"/>
                </w:tcPr>
                <w:p>
                  <w:pPr>
                    <w:pStyle w:val="35"/>
                    <w:bidi w:val="0"/>
                  </w:pPr>
                  <w:r>
                    <w:t>个</w:t>
                  </w:r>
                </w:p>
              </w:tc>
              <w:tc>
                <w:tcPr>
                  <w:tcW w:w="385" w:type="pct"/>
                  <w:vAlign w:val="center"/>
                </w:tcPr>
                <w:p>
                  <w:pPr>
                    <w:pStyle w:val="35"/>
                    <w:bidi w:val="0"/>
                  </w:pPr>
                  <w:r>
                    <w:t>1</w:t>
                  </w:r>
                </w:p>
              </w:tc>
              <w:tc>
                <w:tcPr>
                  <w:tcW w:w="1105" w:type="pct"/>
                  <w:vAlign w:val="center"/>
                </w:tcPr>
                <w:p>
                  <w:pPr>
                    <w:pStyle w:val="35"/>
                    <w:bidi w:val="0"/>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381" w:type="pct"/>
                  <w:vAlign w:val="center"/>
                </w:tcPr>
                <w:p>
                  <w:pPr>
                    <w:pStyle w:val="35"/>
                    <w:bidi w:val="0"/>
                  </w:pPr>
                  <w:r>
                    <w:t>7</w:t>
                  </w:r>
                </w:p>
              </w:tc>
              <w:tc>
                <w:tcPr>
                  <w:tcW w:w="1318" w:type="pct"/>
                  <w:vAlign w:val="center"/>
                </w:tcPr>
                <w:p>
                  <w:pPr>
                    <w:pStyle w:val="35"/>
                    <w:bidi w:val="0"/>
                  </w:pPr>
                  <w:r>
                    <w:t>快速接头</w:t>
                  </w:r>
                </w:p>
              </w:tc>
              <w:tc>
                <w:tcPr>
                  <w:tcW w:w="1261" w:type="pct"/>
                  <w:vAlign w:val="center"/>
                </w:tcPr>
                <w:p>
                  <w:pPr>
                    <w:pStyle w:val="35"/>
                    <w:bidi w:val="0"/>
                    <w:rPr>
                      <w:rFonts w:hint="eastAsia"/>
                      <w:lang w:val="en-US" w:eastAsia="zh-CN"/>
                    </w:rPr>
                  </w:pPr>
                  <w:r>
                    <w:rPr>
                      <w:rFonts w:hint="eastAsia"/>
                      <w:lang w:val="en-US" w:eastAsia="zh-CN"/>
                    </w:rPr>
                    <w:t>/</w:t>
                  </w:r>
                </w:p>
              </w:tc>
              <w:tc>
                <w:tcPr>
                  <w:tcW w:w="547" w:type="pct"/>
                  <w:vAlign w:val="center"/>
                </w:tcPr>
                <w:p>
                  <w:pPr>
                    <w:pStyle w:val="35"/>
                    <w:bidi w:val="0"/>
                  </w:pPr>
                  <w:r>
                    <w:t>个</w:t>
                  </w:r>
                </w:p>
              </w:tc>
              <w:tc>
                <w:tcPr>
                  <w:tcW w:w="385" w:type="pct"/>
                  <w:vAlign w:val="center"/>
                </w:tcPr>
                <w:p>
                  <w:pPr>
                    <w:pStyle w:val="35"/>
                    <w:bidi w:val="0"/>
                  </w:pPr>
                  <w:r>
                    <w:t>5</w:t>
                  </w:r>
                </w:p>
              </w:tc>
              <w:tc>
                <w:tcPr>
                  <w:tcW w:w="1105" w:type="pct"/>
                  <w:vAlign w:val="center"/>
                </w:tcPr>
                <w:p>
                  <w:pPr>
                    <w:pStyle w:val="35"/>
                    <w:bidi w:val="0"/>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381" w:type="pct"/>
                  <w:vAlign w:val="center"/>
                </w:tcPr>
                <w:p>
                  <w:pPr>
                    <w:pStyle w:val="35"/>
                    <w:bidi w:val="0"/>
                  </w:pPr>
                  <w:r>
                    <w:t>8</w:t>
                  </w:r>
                </w:p>
              </w:tc>
              <w:tc>
                <w:tcPr>
                  <w:tcW w:w="1318" w:type="pct"/>
                  <w:vAlign w:val="center"/>
                </w:tcPr>
                <w:p>
                  <w:pPr>
                    <w:pStyle w:val="35"/>
                    <w:bidi w:val="0"/>
                  </w:pPr>
                  <w:r>
                    <w:t>潜油泵</w:t>
                  </w:r>
                </w:p>
              </w:tc>
              <w:tc>
                <w:tcPr>
                  <w:tcW w:w="1261" w:type="pct"/>
                  <w:vAlign w:val="center"/>
                </w:tcPr>
                <w:p>
                  <w:pPr>
                    <w:pStyle w:val="35"/>
                    <w:bidi w:val="0"/>
                    <w:rPr>
                      <w:rFonts w:hint="eastAsia"/>
                      <w:lang w:val="en-US" w:eastAsia="zh-CN"/>
                    </w:rPr>
                  </w:pPr>
                  <w:r>
                    <w:rPr>
                      <w:rFonts w:hint="eastAsia"/>
                      <w:lang w:val="en-US" w:eastAsia="zh-CN"/>
                    </w:rPr>
                    <w:t>/</w:t>
                  </w:r>
                </w:p>
              </w:tc>
              <w:tc>
                <w:tcPr>
                  <w:tcW w:w="547" w:type="pct"/>
                  <w:vAlign w:val="center"/>
                </w:tcPr>
                <w:p>
                  <w:pPr>
                    <w:pStyle w:val="35"/>
                    <w:bidi w:val="0"/>
                  </w:pPr>
                  <w:r>
                    <w:t>台</w:t>
                  </w:r>
                </w:p>
              </w:tc>
              <w:tc>
                <w:tcPr>
                  <w:tcW w:w="385" w:type="pct"/>
                  <w:vAlign w:val="center"/>
                </w:tcPr>
                <w:p>
                  <w:pPr>
                    <w:pStyle w:val="35"/>
                    <w:bidi w:val="0"/>
                  </w:pPr>
                  <w:r>
                    <w:t>4</w:t>
                  </w:r>
                </w:p>
              </w:tc>
              <w:tc>
                <w:tcPr>
                  <w:tcW w:w="1105" w:type="pct"/>
                  <w:vAlign w:val="center"/>
                </w:tcPr>
                <w:p>
                  <w:pPr>
                    <w:pStyle w:val="35"/>
                    <w:bidi w:val="0"/>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381" w:type="pct"/>
                  <w:vAlign w:val="center"/>
                </w:tcPr>
                <w:p>
                  <w:pPr>
                    <w:pStyle w:val="35"/>
                    <w:bidi w:val="0"/>
                  </w:pPr>
                  <w:r>
                    <w:t>9</w:t>
                  </w:r>
                </w:p>
              </w:tc>
              <w:tc>
                <w:tcPr>
                  <w:tcW w:w="1318" w:type="pct"/>
                  <w:vAlign w:val="center"/>
                </w:tcPr>
                <w:p>
                  <w:pPr>
                    <w:pStyle w:val="35"/>
                    <w:bidi w:val="0"/>
                  </w:pPr>
                  <w:r>
                    <w:t>防溢阀</w:t>
                  </w:r>
                </w:p>
              </w:tc>
              <w:tc>
                <w:tcPr>
                  <w:tcW w:w="1261" w:type="pct"/>
                  <w:vAlign w:val="center"/>
                </w:tcPr>
                <w:p>
                  <w:pPr>
                    <w:pStyle w:val="35"/>
                    <w:bidi w:val="0"/>
                    <w:rPr>
                      <w:rFonts w:hint="eastAsia"/>
                      <w:lang w:val="en-US" w:eastAsia="zh-CN"/>
                    </w:rPr>
                  </w:pPr>
                  <w:r>
                    <w:rPr>
                      <w:rFonts w:hint="eastAsia"/>
                      <w:lang w:val="en-US" w:eastAsia="zh-CN"/>
                    </w:rPr>
                    <w:t>/</w:t>
                  </w:r>
                </w:p>
              </w:tc>
              <w:tc>
                <w:tcPr>
                  <w:tcW w:w="547" w:type="pct"/>
                  <w:vAlign w:val="center"/>
                </w:tcPr>
                <w:p>
                  <w:pPr>
                    <w:pStyle w:val="35"/>
                    <w:bidi w:val="0"/>
                  </w:pPr>
                  <w:r>
                    <w:t>个</w:t>
                  </w:r>
                </w:p>
              </w:tc>
              <w:tc>
                <w:tcPr>
                  <w:tcW w:w="385" w:type="pct"/>
                  <w:vAlign w:val="center"/>
                </w:tcPr>
                <w:p>
                  <w:pPr>
                    <w:pStyle w:val="35"/>
                    <w:bidi w:val="0"/>
                  </w:pPr>
                  <w:r>
                    <w:t>4</w:t>
                  </w:r>
                </w:p>
              </w:tc>
              <w:tc>
                <w:tcPr>
                  <w:tcW w:w="1105" w:type="pct"/>
                  <w:vAlign w:val="center"/>
                </w:tcPr>
                <w:p>
                  <w:pPr>
                    <w:pStyle w:val="35"/>
                    <w:bidi w:val="0"/>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381" w:type="pct"/>
                  <w:vAlign w:val="center"/>
                </w:tcPr>
                <w:p>
                  <w:pPr>
                    <w:pStyle w:val="35"/>
                    <w:bidi w:val="0"/>
                  </w:pPr>
                  <w:r>
                    <w:t>10</w:t>
                  </w:r>
                </w:p>
              </w:tc>
              <w:tc>
                <w:tcPr>
                  <w:tcW w:w="1318" w:type="pct"/>
                  <w:vAlign w:val="center"/>
                </w:tcPr>
                <w:p>
                  <w:pPr>
                    <w:pStyle w:val="35"/>
                    <w:bidi w:val="0"/>
                  </w:pPr>
                  <w:r>
                    <w:t>液位仪</w:t>
                  </w:r>
                </w:p>
              </w:tc>
              <w:tc>
                <w:tcPr>
                  <w:tcW w:w="1261" w:type="pct"/>
                  <w:vAlign w:val="center"/>
                </w:tcPr>
                <w:p>
                  <w:pPr>
                    <w:pStyle w:val="35"/>
                    <w:bidi w:val="0"/>
                    <w:rPr>
                      <w:rFonts w:hint="eastAsia"/>
                      <w:lang w:val="en-US" w:eastAsia="zh-CN"/>
                    </w:rPr>
                  </w:pPr>
                  <w:r>
                    <w:rPr>
                      <w:rFonts w:hint="eastAsia"/>
                      <w:lang w:val="en-US" w:eastAsia="zh-CN"/>
                    </w:rPr>
                    <w:t>/</w:t>
                  </w:r>
                </w:p>
              </w:tc>
              <w:tc>
                <w:tcPr>
                  <w:tcW w:w="547" w:type="pct"/>
                  <w:vAlign w:val="center"/>
                </w:tcPr>
                <w:p>
                  <w:pPr>
                    <w:pStyle w:val="35"/>
                    <w:bidi w:val="0"/>
                  </w:pPr>
                  <w:r>
                    <w:t>套</w:t>
                  </w:r>
                </w:p>
              </w:tc>
              <w:tc>
                <w:tcPr>
                  <w:tcW w:w="385" w:type="pct"/>
                  <w:vAlign w:val="center"/>
                </w:tcPr>
                <w:p>
                  <w:pPr>
                    <w:pStyle w:val="35"/>
                    <w:bidi w:val="0"/>
                  </w:pPr>
                  <w:r>
                    <w:t>1</w:t>
                  </w:r>
                </w:p>
              </w:tc>
              <w:tc>
                <w:tcPr>
                  <w:tcW w:w="1105" w:type="pct"/>
                  <w:vAlign w:val="center"/>
                </w:tcPr>
                <w:p>
                  <w:pPr>
                    <w:pStyle w:val="35"/>
                    <w:bidi w:val="0"/>
                  </w:pPr>
                  <w:r>
                    <w:t>站房</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381" w:type="pct"/>
                  <w:vAlign w:val="center"/>
                </w:tcPr>
                <w:p>
                  <w:pPr>
                    <w:pStyle w:val="35"/>
                    <w:bidi w:val="0"/>
                  </w:pPr>
                  <w:r>
                    <w:t>11</w:t>
                  </w:r>
                </w:p>
              </w:tc>
              <w:tc>
                <w:tcPr>
                  <w:tcW w:w="1318" w:type="pct"/>
                  <w:vAlign w:val="center"/>
                </w:tcPr>
                <w:p>
                  <w:pPr>
                    <w:pStyle w:val="35"/>
                    <w:bidi w:val="0"/>
                  </w:pPr>
                  <w:r>
                    <w:t>双层油罐、双层输油管道检漏系统</w:t>
                  </w:r>
                </w:p>
              </w:tc>
              <w:tc>
                <w:tcPr>
                  <w:tcW w:w="1261" w:type="pct"/>
                  <w:vAlign w:val="center"/>
                </w:tcPr>
                <w:p>
                  <w:pPr>
                    <w:pStyle w:val="35"/>
                    <w:bidi w:val="0"/>
                    <w:rPr>
                      <w:rFonts w:hint="eastAsia"/>
                      <w:lang w:val="en-US" w:eastAsia="zh-CN"/>
                    </w:rPr>
                  </w:pPr>
                  <w:r>
                    <w:rPr>
                      <w:rFonts w:hint="eastAsia"/>
                      <w:lang w:val="en-US" w:eastAsia="zh-CN"/>
                    </w:rPr>
                    <w:t>/</w:t>
                  </w:r>
                </w:p>
              </w:tc>
              <w:tc>
                <w:tcPr>
                  <w:tcW w:w="547" w:type="pct"/>
                  <w:vAlign w:val="center"/>
                </w:tcPr>
                <w:p>
                  <w:pPr>
                    <w:pStyle w:val="35"/>
                    <w:bidi w:val="0"/>
                  </w:pPr>
                  <w:r>
                    <w:t>套</w:t>
                  </w:r>
                </w:p>
              </w:tc>
              <w:tc>
                <w:tcPr>
                  <w:tcW w:w="385" w:type="pct"/>
                  <w:vAlign w:val="center"/>
                </w:tcPr>
                <w:p>
                  <w:pPr>
                    <w:pStyle w:val="35"/>
                    <w:bidi w:val="0"/>
                  </w:pPr>
                  <w:r>
                    <w:t>1</w:t>
                  </w:r>
                </w:p>
              </w:tc>
              <w:tc>
                <w:tcPr>
                  <w:tcW w:w="1105" w:type="pct"/>
                  <w:vAlign w:val="center"/>
                </w:tcPr>
                <w:p>
                  <w:pPr>
                    <w:pStyle w:val="35"/>
                    <w:bidi w:val="0"/>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381" w:type="pct"/>
                  <w:vAlign w:val="center"/>
                </w:tcPr>
                <w:p>
                  <w:pPr>
                    <w:pStyle w:val="35"/>
                    <w:bidi w:val="0"/>
                  </w:pPr>
                  <w:r>
                    <w:t>12</w:t>
                  </w:r>
                </w:p>
              </w:tc>
              <w:tc>
                <w:tcPr>
                  <w:tcW w:w="1318" w:type="pct"/>
                  <w:vAlign w:val="center"/>
                </w:tcPr>
                <w:p>
                  <w:pPr>
                    <w:pStyle w:val="35"/>
                    <w:bidi w:val="0"/>
                  </w:pPr>
                  <w:r>
                    <w:t>球阀</w:t>
                  </w:r>
                </w:p>
              </w:tc>
              <w:tc>
                <w:tcPr>
                  <w:tcW w:w="1261" w:type="pct"/>
                  <w:vAlign w:val="center"/>
                </w:tcPr>
                <w:p>
                  <w:pPr>
                    <w:pStyle w:val="35"/>
                    <w:bidi w:val="0"/>
                    <w:rPr>
                      <w:rFonts w:hint="eastAsia"/>
                      <w:lang w:val="en-US" w:eastAsia="zh-CN"/>
                    </w:rPr>
                  </w:pPr>
                  <w:r>
                    <w:rPr>
                      <w:rFonts w:hint="eastAsia"/>
                      <w:lang w:val="en-US" w:eastAsia="zh-CN"/>
                    </w:rPr>
                    <w:t>/</w:t>
                  </w:r>
                </w:p>
              </w:tc>
              <w:tc>
                <w:tcPr>
                  <w:tcW w:w="547" w:type="pct"/>
                  <w:vAlign w:val="center"/>
                </w:tcPr>
                <w:p>
                  <w:pPr>
                    <w:pStyle w:val="35"/>
                    <w:bidi w:val="0"/>
                  </w:pPr>
                  <w:r>
                    <w:t>个</w:t>
                  </w:r>
                </w:p>
              </w:tc>
              <w:tc>
                <w:tcPr>
                  <w:tcW w:w="385" w:type="pct"/>
                  <w:vAlign w:val="center"/>
                </w:tcPr>
                <w:p>
                  <w:pPr>
                    <w:pStyle w:val="35"/>
                    <w:bidi w:val="0"/>
                  </w:pPr>
                  <w:r>
                    <w:t>10</w:t>
                  </w:r>
                </w:p>
              </w:tc>
              <w:tc>
                <w:tcPr>
                  <w:tcW w:w="1105" w:type="pct"/>
                  <w:vAlign w:val="center"/>
                </w:tcPr>
                <w:p>
                  <w:pPr>
                    <w:pStyle w:val="35"/>
                    <w:bidi w:val="0"/>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381" w:type="pct"/>
                  <w:vAlign w:val="center"/>
                </w:tcPr>
                <w:p>
                  <w:pPr>
                    <w:pStyle w:val="35"/>
                    <w:bidi w:val="0"/>
                  </w:pPr>
                  <w:r>
                    <w:t>13</w:t>
                  </w:r>
                </w:p>
              </w:tc>
              <w:tc>
                <w:tcPr>
                  <w:tcW w:w="1318" w:type="pct"/>
                  <w:vAlign w:val="center"/>
                </w:tcPr>
                <w:p>
                  <w:pPr>
                    <w:pStyle w:val="35"/>
                    <w:bidi w:val="0"/>
                  </w:pPr>
                  <w:r>
                    <w:t>剪切阀</w:t>
                  </w:r>
                </w:p>
              </w:tc>
              <w:tc>
                <w:tcPr>
                  <w:tcW w:w="1261" w:type="pct"/>
                  <w:vAlign w:val="center"/>
                </w:tcPr>
                <w:p>
                  <w:pPr>
                    <w:pStyle w:val="35"/>
                    <w:bidi w:val="0"/>
                    <w:rPr>
                      <w:rFonts w:hint="eastAsia"/>
                      <w:lang w:val="en-US" w:eastAsia="zh-CN"/>
                    </w:rPr>
                  </w:pPr>
                  <w:r>
                    <w:rPr>
                      <w:rFonts w:hint="eastAsia"/>
                      <w:lang w:val="en-US" w:eastAsia="zh-CN"/>
                    </w:rPr>
                    <w:t>/</w:t>
                  </w:r>
                </w:p>
              </w:tc>
              <w:tc>
                <w:tcPr>
                  <w:tcW w:w="547" w:type="pct"/>
                  <w:vAlign w:val="center"/>
                </w:tcPr>
                <w:p>
                  <w:pPr>
                    <w:pStyle w:val="35"/>
                    <w:bidi w:val="0"/>
                  </w:pPr>
                  <w:r>
                    <w:t>个</w:t>
                  </w:r>
                </w:p>
              </w:tc>
              <w:tc>
                <w:tcPr>
                  <w:tcW w:w="385" w:type="pct"/>
                  <w:vAlign w:val="center"/>
                </w:tcPr>
                <w:p>
                  <w:pPr>
                    <w:pStyle w:val="35"/>
                    <w:bidi w:val="0"/>
                  </w:pPr>
                  <w:r>
                    <w:t>12</w:t>
                  </w:r>
                </w:p>
              </w:tc>
              <w:tc>
                <w:tcPr>
                  <w:tcW w:w="1105" w:type="pct"/>
                  <w:vAlign w:val="center"/>
                </w:tcPr>
                <w:p>
                  <w:pPr>
                    <w:pStyle w:val="35"/>
                    <w:bidi w:val="0"/>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381" w:type="pct"/>
                  <w:vAlign w:val="center"/>
                </w:tcPr>
                <w:p>
                  <w:pPr>
                    <w:pStyle w:val="35"/>
                    <w:bidi w:val="0"/>
                  </w:pPr>
                  <w:r>
                    <w:t>14</w:t>
                  </w:r>
                </w:p>
              </w:tc>
              <w:tc>
                <w:tcPr>
                  <w:tcW w:w="1318" w:type="pct"/>
                  <w:vAlign w:val="center"/>
                </w:tcPr>
                <w:p>
                  <w:pPr>
                    <w:pStyle w:val="35"/>
                    <w:bidi w:val="0"/>
                  </w:pPr>
                  <w:r>
                    <w:t>监控系统</w:t>
                  </w:r>
                </w:p>
              </w:tc>
              <w:tc>
                <w:tcPr>
                  <w:tcW w:w="1261" w:type="pct"/>
                  <w:vAlign w:val="center"/>
                </w:tcPr>
                <w:p>
                  <w:pPr>
                    <w:pStyle w:val="35"/>
                    <w:bidi w:val="0"/>
                    <w:rPr>
                      <w:rFonts w:hint="eastAsia"/>
                      <w:lang w:val="en-US" w:eastAsia="zh-CN"/>
                    </w:rPr>
                  </w:pPr>
                  <w:r>
                    <w:rPr>
                      <w:rFonts w:hint="eastAsia"/>
                      <w:lang w:val="en-US" w:eastAsia="zh-CN"/>
                    </w:rPr>
                    <w:t>/</w:t>
                  </w:r>
                </w:p>
              </w:tc>
              <w:tc>
                <w:tcPr>
                  <w:tcW w:w="547" w:type="pct"/>
                  <w:vAlign w:val="center"/>
                </w:tcPr>
                <w:p>
                  <w:pPr>
                    <w:pStyle w:val="35"/>
                    <w:bidi w:val="0"/>
                  </w:pPr>
                  <w:r>
                    <w:t>套</w:t>
                  </w:r>
                </w:p>
              </w:tc>
              <w:tc>
                <w:tcPr>
                  <w:tcW w:w="385" w:type="pct"/>
                  <w:vAlign w:val="center"/>
                </w:tcPr>
                <w:p>
                  <w:pPr>
                    <w:pStyle w:val="35"/>
                    <w:bidi w:val="0"/>
                  </w:pPr>
                  <w:r>
                    <w:t>1</w:t>
                  </w:r>
                </w:p>
              </w:tc>
              <w:tc>
                <w:tcPr>
                  <w:tcW w:w="1105" w:type="pct"/>
                  <w:vAlign w:val="center"/>
                </w:tcPr>
                <w:p>
                  <w:pPr>
                    <w:pStyle w:val="35"/>
                    <w:bidi w:val="0"/>
                  </w:pPr>
                  <w:r>
                    <w:t>站房</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381" w:type="pct"/>
                  <w:vAlign w:val="center"/>
                </w:tcPr>
                <w:p>
                  <w:pPr>
                    <w:pStyle w:val="35"/>
                    <w:bidi w:val="0"/>
                  </w:pPr>
                  <w:r>
                    <w:t>15</w:t>
                  </w:r>
                </w:p>
              </w:tc>
              <w:tc>
                <w:tcPr>
                  <w:tcW w:w="1318" w:type="pct"/>
                  <w:vAlign w:val="center"/>
                </w:tcPr>
                <w:p>
                  <w:pPr>
                    <w:pStyle w:val="35"/>
                    <w:bidi w:val="0"/>
                  </w:pPr>
                  <w:r>
                    <w:t>油气回收系统</w:t>
                  </w:r>
                </w:p>
              </w:tc>
              <w:tc>
                <w:tcPr>
                  <w:tcW w:w="1261" w:type="pct"/>
                  <w:vAlign w:val="center"/>
                </w:tcPr>
                <w:p>
                  <w:pPr>
                    <w:pStyle w:val="35"/>
                    <w:bidi w:val="0"/>
                    <w:rPr>
                      <w:rFonts w:hint="eastAsia"/>
                      <w:lang w:val="en-US" w:eastAsia="zh-CN"/>
                    </w:rPr>
                  </w:pPr>
                  <w:r>
                    <w:rPr>
                      <w:rFonts w:hint="eastAsia"/>
                      <w:lang w:val="en-US" w:eastAsia="zh-CN"/>
                    </w:rPr>
                    <w:t>/</w:t>
                  </w:r>
                </w:p>
              </w:tc>
              <w:tc>
                <w:tcPr>
                  <w:tcW w:w="547" w:type="pct"/>
                  <w:vAlign w:val="center"/>
                </w:tcPr>
                <w:p>
                  <w:pPr>
                    <w:pStyle w:val="35"/>
                    <w:bidi w:val="0"/>
                  </w:pPr>
                  <w:r>
                    <w:t>套</w:t>
                  </w:r>
                </w:p>
              </w:tc>
              <w:tc>
                <w:tcPr>
                  <w:tcW w:w="385" w:type="pct"/>
                  <w:vAlign w:val="center"/>
                </w:tcPr>
                <w:p>
                  <w:pPr>
                    <w:pStyle w:val="35"/>
                    <w:bidi w:val="0"/>
                    <w:rPr>
                      <w:rFonts w:hint="eastAsia" w:eastAsia="宋体"/>
                      <w:lang w:eastAsia="zh-CN"/>
                    </w:rPr>
                  </w:pPr>
                  <w:r>
                    <w:rPr>
                      <w:rFonts w:hint="eastAsia"/>
                      <w:lang w:val="en-US" w:eastAsia="zh-CN"/>
                    </w:rPr>
                    <w:t>2</w:t>
                  </w:r>
                </w:p>
              </w:tc>
              <w:tc>
                <w:tcPr>
                  <w:tcW w:w="1105" w:type="pct"/>
                  <w:vAlign w:val="center"/>
                </w:tcPr>
                <w:p>
                  <w:pPr>
                    <w:pStyle w:val="35"/>
                    <w:bidi w:val="0"/>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381" w:type="pct"/>
                  <w:vAlign w:val="center"/>
                </w:tcPr>
                <w:p>
                  <w:pPr>
                    <w:pStyle w:val="35"/>
                    <w:bidi w:val="0"/>
                  </w:pPr>
                  <w:r>
                    <w:t>16</w:t>
                  </w:r>
                </w:p>
              </w:tc>
              <w:tc>
                <w:tcPr>
                  <w:tcW w:w="1318" w:type="pct"/>
                  <w:vAlign w:val="center"/>
                </w:tcPr>
                <w:p>
                  <w:pPr>
                    <w:pStyle w:val="35"/>
                    <w:bidi w:val="0"/>
                  </w:pPr>
                  <w:r>
                    <w:t>紧急切断系统</w:t>
                  </w:r>
                </w:p>
              </w:tc>
              <w:tc>
                <w:tcPr>
                  <w:tcW w:w="1261" w:type="pct"/>
                  <w:vAlign w:val="center"/>
                </w:tcPr>
                <w:p>
                  <w:pPr>
                    <w:pStyle w:val="35"/>
                    <w:bidi w:val="0"/>
                    <w:rPr>
                      <w:rFonts w:hint="eastAsia"/>
                      <w:lang w:val="en-US" w:eastAsia="zh-CN"/>
                    </w:rPr>
                  </w:pPr>
                  <w:r>
                    <w:rPr>
                      <w:rFonts w:hint="eastAsia"/>
                      <w:lang w:val="en-US" w:eastAsia="zh-CN"/>
                    </w:rPr>
                    <w:t>/</w:t>
                  </w:r>
                </w:p>
              </w:tc>
              <w:tc>
                <w:tcPr>
                  <w:tcW w:w="547" w:type="pct"/>
                  <w:vAlign w:val="center"/>
                </w:tcPr>
                <w:p>
                  <w:pPr>
                    <w:pStyle w:val="35"/>
                    <w:bidi w:val="0"/>
                  </w:pPr>
                  <w:r>
                    <w:t>套</w:t>
                  </w:r>
                </w:p>
              </w:tc>
              <w:tc>
                <w:tcPr>
                  <w:tcW w:w="385" w:type="pct"/>
                  <w:vAlign w:val="center"/>
                </w:tcPr>
                <w:p>
                  <w:pPr>
                    <w:pStyle w:val="35"/>
                    <w:bidi w:val="0"/>
                  </w:pPr>
                  <w:r>
                    <w:t>1</w:t>
                  </w:r>
                </w:p>
              </w:tc>
              <w:tc>
                <w:tcPr>
                  <w:tcW w:w="1105" w:type="pct"/>
                  <w:vAlign w:val="center"/>
                </w:tcPr>
                <w:p>
                  <w:pPr>
                    <w:pStyle w:val="35"/>
                    <w:bidi w:val="0"/>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381" w:type="pct"/>
                  <w:vAlign w:val="center"/>
                </w:tcPr>
                <w:p>
                  <w:pPr>
                    <w:pStyle w:val="35"/>
                    <w:bidi w:val="0"/>
                  </w:pPr>
                  <w:r>
                    <w:t>17</w:t>
                  </w:r>
                </w:p>
              </w:tc>
              <w:tc>
                <w:tcPr>
                  <w:tcW w:w="1318" w:type="pct"/>
                  <w:vAlign w:val="center"/>
                </w:tcPr>
                <w:p>
                  <w:pPr>
                    <w:pStyle w:val="35"/>
                    <w:bidi w:val="0"/>
                  </w:pPr>
                  <w:r>
                    <w:t>柴油发电机</w:t>
                  </w:r>
                </w:p>
              </w:tc>
              <w:tc>
                <w:tcPr>
                  <w:tcW w:w="1261" w:type="pct"/>
                  <w:vAlign w:val="center"/>
                </w:tcPr>
                <w:p>
                  <w:pPr>
                    <w:pStyle w:val="35"/>
                    <w:bidi w:val="0"/>
                    <w:rPr>
                      <w:rFonts w:hint="eastAsia"/>
                      <w:lang w:val="en-US" w:eastAsia="zh-CN"/>
                    </w:rPr>
                  </w:pPr>
                  <w:r>
                    <w:rPr>
                      <w:rFonts w:hint="eastAsia"/>
                      <w:lang w:val="en-US" w:eastAsia="zh-CN"/>
                    </w:rPr>
                    <w:t>/</w:t>
                  </w:r>
                </w:p>
              </w:tc>
              <w:tc>
                <w:tcPr>
                  <w:tcW w:w="547" w:type="pct"/>
                  <w:vAlign w:val="center"/>
                </w:tcPr>
                <w:p>
                  <w:pPr>
                    <w:pStyle w:val="35"/>
                    <w:bidi w:val="0"/>
                  </w:pPr>
                  <w:r>
                    <w:t>台</w:t>
                  </w:r>
                </w:p>
              </w:tc>
              <w:tc>
                <w:tcPr>
                  <w:tcW w:w="385" w:type="pct"/>
                  <w:vAlign w:val="center"/>
                </w:tcPr>
                <w:p>
                  <w:pPr>
                    <w:pStyle w:val="35"/>
                    <w:bidi w:val="0"/>
                  </w:pPr>
                  <w:r>
                    <w:t>1</w:t>
                  </w:r>
                </w:p>
              </w:tc>
              <w:tc>
                <w:tcPr>
                  <w:tcW w:w="1105" w:type="pct"/>
                  <w:vAlign w:val="center"/>
                </w:tcPr>
                <w:p>
                  <w:pPr>
                    <w:pStyle w:val="35"/>
                    <w:bidi w:val="0"/>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381" w:type="pct"/>
                  <w:vAlign w:val="center"/>
                </w:tcPr>
                <w:p>
                  <w:pPr>
                    <w:pStyle w:val="35"/>
                    <w:bidi w:val="0"/>
                  </w:pPr>
                  <w:r>
                    <w:t>18</w:t>
                  </w:r>
                </w:p>
              </w:tc>
              <w:tc>
                <w:tcPr>
                  <w:tcW w:w="1318" w:type="pct"/>
                  <w:vAlign w:val="center"/>
                </w:tcPr>
                <w:p>
                  <w:pPr>
                    <w:pStyle w:val="35"/>
                    <w:bidi w:val="0"/>
                  </w:pPr>
                  <w:r>
                    <w:t>静电接地报警仪</w:t>
                  </w:r>
                </w:p>
              </w:tc>
              <w:tc>
                <w:tcPr>
                  <w:tcW w:w="1261" w:type="pct"/>
                  <w:vAlign w:val="center"/>
                </w:tcPr>
                <w:p>
                  <w:pPr>
                    <w:pStyle w:val="35"/>
                    <w:bidi w:val="0"/>
                    <w:rPr>
                      <w:rFonts w:hint="eastAsia"/>
                      <w:lang w:val="en-US" w:eastAsia="zh-CN"/>
                    </w:rPr>
                  </w:pPr>
                  <w:r>
                    <w:rPr>
                      <w:rFonts w:hint="eastAsia"/>
                      <w:lang w:val="en-US" w:eastAsia="zh-CN"/>
                    </w:rPr>
                    <w:t>/</w:t>
                  </w:r>
                </w:p>
              </w:tc>
              <w:tc>
                <w:tcPr>
                  <w:tcW w:w="547" w:type="pct"/>
                  <w:vAlign w:val="center"/>
                </w:tcPr>
                <w:p>
                  <w:pPr>
                    <w:pStyle w:val="35"/>
                    <w:bidi w:val="0"/>
                  </w:pPr>
                  <w:r>
                    <w:t>套</w:t>
                  </w:r>
                </w:p>
              </w:tc>
              <w:tc>
                <w:tcPr>
                  <w:tcW w:w="385" w:type="pct"/>
                  <w:vAlign w:val="center"/>
                </w:tcPr>
                <w:p>
                  <w:pPr>
                    <w:pStyle w:val="35"/>
                    <w:bidi w:val="0"/>
                  </w:pPr>
                  <w:r>
                    <w:t>1</w:t>
                  </w:r>
                </w:p>
              </w:tc>
              <w:tc>
                <w:tcPr>
                  <w:tcW w:w="1105" w:type="pct"/>
                  <w:vAlign w:val="center"/>
                </w:tcPr>
                <w:p>
                  <w:pPr>
                    <w:pStyle w:val="35"/>
                    <w:bidi w:val="0"/>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381" w:type="pct"/>
                  <w:vAlign w:val="center"/>
                </w:tcPr>
                <w:p>
                  <w:pPr>
                    <w:pStyle w:val="35"/>
                    <w:bidi w:val="0"/>
                  </w:pPr>
                  <w:r>
                    <w:t>19</w:t>
                  </w:r>
                </w:p>
              </w:tc>
              <w:tc>
                <w:tcPr>
                  <w:tcW w:w="1318" w:type="pct"/>
                  <w:vAlign w:val="center"/>
                </w:tcPr>
                <w:p>
                  <w:pPr>
                    <w:pStyle w:val="35"/>
                    <w:bidi w:val="0"/>
                    <w:rPr>
                      <w:rFonts w:ascii="Times New Roman" w:hAnsi="Times New Roman" w:eastAsia="宋体" w:cs="Times New Roman"/>
                      <w:kern w:val="0"/>
                      <w:sz w:val="21"/>
                      <w:szCs w:val="21"/>
                      <w:lang w:val="en-US" w:eastAsia="zh-CN" w:bidi="ar-SA"/>
                    </w:rPr>
                  </w:pPr>
                  <w:r>
                    <w:t>洗车机</w:t>
                  </w:r>
                </w:p>
              </w:tc>
              <w:tc>
                <w:tcPr>
                  <w:tcW w:w="1261" w:type="pct"/>
                  <w:vAlign w:val="center"/>
                </w:tcPr>
                <w:p>
                  <w:pPr>
                    <w:pStyle w:val="35"/>
                    <w:bidi w:val="0"/>
                    <w:rPr>
                      <w:rFonts w:hint="eastAsia" w:ascii="Times New Roman" w:hAnsi="Times New Roman" w:eastAsia="宋体" w:cs="Times New Roman"/>
                      <w:kern w:val="0"/>
                      <w:sz w:val="21"/>
                      <w:szCs w:val="21"/>
                      <w:lang w:val="en-US" w:eastAsia="zh-CN" w:bidi="ar-SA"/>
                    </w:rPr>
                  </w:pPr>
                  <w:r>
                    <w:rPr>
                      <w:rFonts w:hint="eastAsia"/>
                      <w:lang w:val="en-US" w:eastAsia="zh-CN"/>
                    </w:rPr>
                    <w:t>/</w:t>
                  </w:r>
                </w:p>
              </w:tc>
              <w:tc>
                <w:tcPr>
                  <w:tcW w:w="547" w:type="pct"/>
                  <w:vAlign w:val="center"/>
                </w:tcPr>
                <w:p>
                  <w:pPr>
                    <w:pStyle w:val="35"/>
                    <w:bidi w:val="0"/>
                    <w:rPr>
                      <w:rFonts w:ascii="Times New Roman" w:hAnsi="Times New Roman" w:eastAsia="宋体" w:cs="Times New Roman"/>
                      <w:kern w:val="0"/>
                      <w:sz w:val="21"/>
                      <w:szCs w:val="21"/>
                      <w:lang w:val="en-US" w:eastAsia="zh-CN" w:bidi="ar-SA"/>
                    </w:rPr>
                  </w:pPr>
                  <w:r>
                    <w:t>台</w:t>
                  </w:r>
                </w:p>
              </w:tc>
              <w:tc>
                <w:tcPr>
                  <w:tcW w:w="385" w:type="pct"/>
                  <w:vAlign w:val="center"/>
                </w:tcPr>
                <w:p>
                  <w:pPr>
                    <w:pStyle w:val="35"/>
                    <w:bidi w:val="0"/>
                    <w:rPr>
                      <w:rFonts w:ascii="Times New Roman" w:hAnsi="Times New Roman" w:eastAsia="宋体" w:cs="Times New Roman"/>
                      <w:kern w:val="0"/>
                      <w:sz w:val="21"/>
                      <w:szCs w:val="21"/>
                      <w:lang w:val="en-US" w:eastAsia="zh-CN" w:bidi="ar-SA"/>
                    </w:rPr>
                  </w:pPr>
                  <w:r>
                    <w:t>1</w:t>
                  </w:r>
                </w:p>
              </w:tc>
              <w:tc>
                <w:tcPr>
                  <w:tcW w:w="1105" w:type="pct"/>
                  <w:vAlign w:val="center"/>
                </w:tcPr>
                <w:p>
                  <w:pPr>
                    <w:pStyle w:val="35"/>
                    <w:bidi w:val="0"/>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381" w:type="pct"/>
                  <w:vAlign w:val="center"/>
                </w:tcPr>
                <w:p>
                  <w:pPr>
                    <w:pStyle w:val="35"/>
                    <w:bidi w:val="0"/>
                  </w:pPr>
                  <w:r>
                    <w:t>20</w:t>
                  </w:r>
                </w:p>
              </w:tc>
              <w:tc>
                <w:tcPr>
                  <w:tcW w:w="1318" w:type="pct"/>
                  <w:vAlign w:val="center"/>
                </w:tcPr>
                <w:p>
                  <w:pPr>
                    <w:pStyle w:val="35"/>
                    <w:bidi w:val="0"/>
                    <w:rPr>
                      <w:rFonts w:hint="eastAsia" w:ascii="Times New Roman" w:hAnsi="Times New Roman" w:eastAsia="宋体" w:cs="Times New Roman"/>
                      <w:kern w:val="0"/>
                      <w:sz w:val="21"/>
                      <w:szCs w:val="21"/>
                      <w:lang w:val="en-US" w:eastAsia="zh-CN" w:bidi="ar-SA"/>
                    </w:rPr>
                  </w:pPr>
                  <w:r>
                    <w:t>充电</w:t>
                  </w:r>
                  <w:r>
                    <w:rPr>
                      <w:rFonts w:hint="eastAsia"/>
                      <w:lang w:eastAsia="zh-CN"/>
                    </w:rPr>
                    <w:t>桩</w:t>
                  </w:r>
                </w:p>
              </w:tc>
              <w:tc>
                <w:tcPr>
                  <w:tcW w:w="1261" w:type="pct"/>
                  <w:vAlign w:val="center"/>
                </w:tcPr>
                <w:p>
                  <w:pPr>
                    <w:pStyle w:val="35"/>
                    <w:bidi w:val="0"/>
                    <w:rPr>
                      <w:rFonts w:hint="eastAsia" w:ascii="Times New Roman" w:hAnsi="Times New Roman" w:eastAsia="宋体" w:cs="Times New Roman"/>
                      <w:kern w:val="0"/>
                      <w:sz w:val="21"/>
                      <w:szCs w:val="21"/>
                      <w:lang w:val="en-US" w:eastAsia="zh-CN" w:bidi="ar-SA"/>
                    </w:rPr>
                  </w:pPr>
                  <w:r>
                    <w:rPr>
                      <w:rFonts w:hint="eastAsia"/>
                      <w:lang w:val="en-US" w:eastAsia="zh-CN"/>
                    </w:rPr>
                    <w:t>/</w:t>
                  </w:r>
                </w:p>
              </w:tc>
              <w:tc>
                <w:tcPr>
                  <w:tcW w:w="547" w:type="pct"/>
                  <w:vAlign w:val="center"/>
                </w:tcPr>
                <w:p>
                  <w:pPr>
                    <w:pStyle w:val="35"/>
                    <w:bidi w:val="0"/>
                    <w:rPr>
                      <w:rFonts w:hint="eastAsia" w:ascii="Times New Roman" w:hAnsi="Times New Roman" w:eastAsia="宋体" w:cs="Times New Roman"/>
                      <w:kern w:val="0"/>
                      <w:sz w:val="21"/>
                      <w:szCs w:val="21"/>
                      <w:lang w:val="en-US" w:eastAsia="zh-CN" w:bidi="ar-SA"/>
                    </w:rPr>
                  </w:pPr>
                  <w:r>
                    <w:rPr>
                      <w:rFonts w:hint="eastAsia"/>
                      <w:lang w:eastAsia="zh-CN"/>
                    </w:rPr>
                    <w:t>台</w:t>
                  </w:r>
                </w:p>
              </w:tc>
              <w:tc>
                <w:tcPr>
                  <w:tcW w:w="385" w:type="pct"/>
                  <w:vAlign w:val="center"/>
                </w:tcPr>
                <w:p>
                  <w:pPr>
                    <w:pStyle w:val="35"/>
                    <w:bidi w:val="0"/>
                    <w:rPr>
                      <w:rFonts w:hint="eastAsia" w:ascii="Times New Roman" w:hAnsi="Times New Roman" w:eastAsia="宋体" w:cs="Times New Roman"/>
                      <w:kern w:val="0"/>
                      <w:sz w:val="21"/>
                      <w:szCs w:val="21"/>
                      <w:lang w:val="en-US" w:eastAsia="zh-CN" w:bidi="ar-SA"/>
                    </w:rPr>
                  </w:pPr>
                  <w:r>
                    <w:rPr>
                      <w:rFonts w:hint="eastAsia"/>
                      <w:lang w:val="en-US" w:eastAsia="zh-CN"/>
                    </w:rPr>
                    <w:t>4</w:t>
                  </w:r>
                </w:p>
              </w:tc>
              <w:tc>
                <w:tcPr>
                  <w:tcW w:w="1105" w:type="pct"/>
                  <w:vAlign w:val="center"/>
                </w:tcPr>
                <w:p>
                  <w:pPr>
                    <w:pStyle w:val="35"/>
                    <w:bidi w:val="0"/>
                  </w:pPr>
                </w:p>
              </w:tc>
            </w:tr>
          </w:tbl>
          <w:p>
            <w:pPr>
              <w:pStyle w:val="14"/>
              <w:bidi w:val="0"/>
              <w:rPr>
                <w:rFonts w:hint="default"/>
              </w:rPr>
            </w:pPr>
            <w:bookmarkStart w:id="35" w:name="_bookmark19"/>
            <w:bookmarkEnd w:id="35"/>
            <w:r>
              <w:rPr>
                <w:rFonts w:hint="eastAsia"/>
                <w:lang w:val="en-US" w:eastAsia="zh-CN"/>
              </w:rPr>
              <w:t>7、</w:t>
            </w:r>
            <w:r>
              <w:rPr>
                <w:rFonts w:hint="default"/>
              </w:rPr>
              <w:t>项目总平面布置</w:t>
            </w:r>
          </w:p>
          <w:p>
            <w:pPr>
              <w:pStyle w:val="14"/>
              <w:bidi w:val="0"/>
              <w:rPr>
                <w:rFonts w:hint="default" w:ascii="Times New Roman" w:hAnsi="Times New Roman" w:cs="Times New Roman"/>
              </w:rPr>
            </w:pPr>
            <w:r>
              <w:rPr>
                <w:rFonts w:hint="eastAsia"/>
                <w:lang w:val="en-US" w:eastAsia="zh-CN"/>
              </w:rPr>
              <w:t>本项目根据站区地理位置、建设规模、交通运输等条件，本着有利生产、方便管理、确保安全、保护环境等原则进行平面布置，严格遵守《汽车加油加气加氢站技术标准》GB 50156-2021 ）、《建筑设计防火规范》(2018修订版)等要求，确保站内设备与站内外建筑物安全间距满足相关规范要求。站内由北向南依次为加油机（油罐区位于加油区下）、站房、洗车机、充电桩，站房设置在加油区南侧，辅助用房位于站区西侧。项目拟设加油机4台24枪，均为潜油泵式油气回收型加油机。日升路上设进出口，进出口分开设置。</w:t>
            </w:r>
            <w:r>
              <w:rPr>
                <w:rFonts w:hint="default" w:ascii="Times New Roman" w:hAnsi="Times New Roman" w:cs="Times New Roman"/>
                <w:lang w:val="en-US" w:eastAsia="zh-CN"/>
              </w:rPr>
              <w:t>项目平面布置图详见附图2。</w:t>
            </w:r>
          </w:p>
          <w:p>
            <w:pPr>
              <w:pStyle w:val="14"/>
              <w:bidi w:val="0"/>
              <w:rPr>
                <w:rFonts w:hint="default" w:ascii="Times New Roman" w:hAnsi="Times New Roman" w:cs="Times New Roman"/>
              </w:rPr>
            </w:pPr>
            <w:r>
              <w:rPr>
                <w:rFonts w:hint="eastAsia" w:cs="Times New Roman"/>
                <w:lang w:val="en-US" w:eastAsia="zh-CN"/>
              </w:rPr>
              <w:t>8</w:t>
            </w:r>
            <w:r>
              <w:rPr>
                <w:rFonts w:hint="default" w:ascii="Times New Roman" w:hAnsi="Times New Roman" w:cs="Times New Roman"/>
                <w:lang w:val="en-US" w:eastAsia="zh-CN"/>
              </w:rPr>
              <w:t>、</w:t>
            </w:r>
            <w:r>
              <w:rPr>
                <w:rFonts w:hint="default" w:ascii="Times New Roman" w:hAnsi="Times New Roman" w:cs="Times New Roman"/>
              </w:rPr>
              <w:t>公用工程</w:t>
            </w:r>
          </w:p>
          <w:p>
            <w:pPr>
              <w:pStyle w:val="14"/>
              <w:ind w:firstLine="480"/>
            </w:pPr>
            <w:r>
              <w:t>（1）给排水设计</w:t>
            </w:r>
          </w:p>
          <w:p>
            <w:pPr>
              <w:pStyle w:val="14"/>
              <w:bidi w:val="0"/>
            </w:pPr>
            <w:r>
              <w:t>①水源</w:t>
            </w:r>
          </w:p>
          <w:p>
            <w:pPr>
              <w:pStyle w:val="14"/>
              <w:bidi w:val="0"/>
              <w:rPr>
                <w:rFonts w:hint="eastAsia"/>
                <w:lang w:val="en-US" w:eastAsia="zh-CN"/>
              </w:rPr>
            </w:pPr>
            <w:r>
              <w:rPr>
                <w:rFonts w:hint="eastAsia"/>
                <w:lang w:val="en-US" w:eastAsia="zh-CN"/>
              </w:rPr>
              <w:t>项目给水水源为市政供水，区域给水管网由厂区给水干管引入、计量后直接供给。水质满足生活、生产给水水质标准，水压0.30MPa。</w:t>
            </w:r>
          </w:p>
          <w:p>
            <w:pPr>
              <w:pStyle w:val="14"/>
              <w:bidi w:val="0"/>
              <w:rPr>
                <w:rFonts w:hint="eastAsia"/>
                <w:lang w:val="en-US" w:eastAsia="zh-CN"/>
              </w:rPr>
            </w:pPr>
            <w:r>
              <w:rPr>
                <w:rFonts w:hint="eastAsia"/>
                <w:lang w:val="en-US" w:eastAsia="zh-CN"/>
              </w:rPr>
              <w:t>给水系统采用生产生活与消防给水各自独立的管道系统。</w:t>
            </w:r>
          </w:p>
          <w:p>
            <w:pPr>
              <w:pStyle w:val="14"/>
              <w:ind w:firstLine="480"/>
            </w:pPr>
            <w:r>
              <w:t>②用水量</w:t>
            </w:r>
          </w:p>
          <w:p>
            <w:pPr>
              <w:pStyle w:val="14"/>
              <w:ind w:firstLine="480"/>
            </w:pPr>
            <w:r>
              <w:t>项目用水量根据本项目现用水量及污水产生情况汇总，详见下表：</w:t>
            </w:r>
          </w:p>
          <w:p>
            <w:pPr>
              <w:pStyle w:val="36"/>
              <w:tabs>
                <w:tab w:val="left" w:pos="1021"/>
              </w:tabs>
            </w:pPr>
            <w:r>
              <w:t>表</w:t>
            </w:r>
            <w:r>
              <w:rPr>
                <w:rFonts w:hint="eastAsia"/>
                <w:lang w:val="en-US" w:eastAsia="zh-CN"/>
              </w:rPr>
              <w:t>2.1-7</w:t>
            </w:r>
            <w:r>
              <w:t xml:space="preserve"> 项目用水量汇总表</w:t>
            </w:r>
          </w:p>
          <w:tbl>
            <w:tblPr>
              <w:tblStyle w:val="3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8"/>
              <w:gridCol w:w="549"/>
              <w:gridCol w:w="655"/>
              <w:gridCol w:w="820"/>
              <w:gridCol w:w="823"/>
              <w:gridCol w:w="920"/>
              <w:gridCol w:w="1019"/>
              <w:gridCol w:w="19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50" w:type="pct"/>
                  <w:noWrap/>
                  <w:vAlign w:val="center"/>
                </w:tcPr>
                <w:p>
                  <w:pPr>
                    <w:pStyle w:val="35"/>
                    <w:tabs>
                      <w:tab w:val="left" w:pos="1021"/>
                    </w:tabs>
                  </w:pPr>
                  <w:r>
                    <w:t>用水类别</w:t>
                  </w:r>
                </w:p>
              </w:tc>
              <w:tc>
                <w:tcPr>
                  <w:tcW w:w="800" w:type="pct"/>
                  <w:gridSpan w:val="2"/>
                  <w:noWrap/>
                  <w:vAlign w:val="center"/>
                </w:tcPr>
                <w:p>
                  <w:pPr>
                    <w:pStyle w:val="35"/>
                    <w:tabs>
                      <w:tab w:val="left" w:pos="1021"/>
                    </w:tabs>
                  </w:pPr>
                  <w:r>
                    <w:t>用水标准</w:t>
                  </w:r>
                </w:p>
              </w:tc>
              <w:tc>
                <w:tcPr>
                  <w:tcW w:w="545" w:type="pct"/>
                  <w:noWrap/>
                  <w:vAlign w:val="center"/>
                </w:tcPr>
                <w:p>
                  <w:pPr>
                    <w:pStyle w:val="35"/>
                    <w:tabs>
                      <w:tab w:val="left" w:pos="1021"/>
                    </w:tabs>
                  </w:pPr>
                  <w:r>
                    <w:t>用水</w:t>
                  </w:r>
                </w:p>
                <w:p>
                  <w:pPr>
                    <w:pStyle w:val="35"/>
                    <w:tabs>
                      <w:tab w:val="left" w:pos="1021"/>
                    </w:tabs>
                  </w:pPr>
                  <w:r>
                    <w:t>规模</w:t>
                  </w:r>
                </w:p>
              </w:tc>
              <w:tc>
                <w:tcPr>
                  <w:tcW w:w="545" w:type="pct"/>
                  <w:noWrap/>
                  <w:vAlign w:val="center"/>
                </w:tcPr>
                <w:p>
                  <w:pPr>
                    <w:pStyle w:val="35"/>
                    <w:tabs>
                      <w:tab w:val="left" w:pos="1021"/>
                    </w:tabs>
                  </w:pPr>
                  <w:r>
                    <w:t>用水量m³/a</w:t>
                  </w:r>
                </w:p>
              </w:tc>
              <w:tc>
                <w:tcPr>
                  <w:tcW w:w="612" w:type="pct"/>
                  <w:noWrap/>
                  <w:vAlign w:val="center"/>
                </w:tcPr>
                <w:p>
                  <w:pPr>
                    <w:pStyle w:val="35"/>
                    <w:tabs>
                      <w:tab w:val="left" w:pos="1021"/>
                    </w:tabs>
                    <w:rPr>
                      <w:rFonts w:ascii="Times New Roman" w:hAnsi="Times New Roman" w:eastAsia="宋体" w:cs="Times New Roman"/>
                      <w:kern w:val="2"/>
                      <w:sz w:val="21"/>
                      <w:szCs w:val="21"/>
                      <w:lang w:val="en-US" w:eastAsia="zh-CN" w:bidi="ar-SA"/>
                    </w:rPr>
                  </w:pPr>
                  <w:r>
                    <w:rPr>
                      <w:rFonts w:hint="eastAsia"/>
                    </w:rPr>
                    <w:t>损耗</w:t>
                  </w:r>
                  <w:r>
                    <w:t>m³/a</w:t>
                  </w:r>
                </w:p>
              </w:tc>
              <w:tc>
                <w:tcPr>
                  <w:tcW w:w="677" w:type="pct"/>
                  <w:noWrap/>
                  <w:vAlign w:val="center"/>
                </w:tcPr>
                <w:p>
                  <w:pPr>
                    <w:pStyle w:val="35"/>
                    <w:tabs>
                      <w:tab w:val="left" w:pos="1021"/>
                    </w:tabs>
                  </w:pPr>
                  <w:r>
                    <w:t>污水产生量m³/a</w:t>
                  </w:r>
                </w:p>
              </w:tc>
              <w:tc>
                <w:tcPr>
                  <w:tcW w:w="1266" w:type="pct"/>
                  <w:noWrap/>
                  <w:vAlign w:val="center"/>
                </w:tcPr>
                <w:p>
                  <w:pPr>
                    <w:pStyle w:val="35"/>
                    <w:tabs>
                      <w:tab w:val="left" w:pos="1021"/>
                    </w:tabs>
                  </w:pPr>
                  <w: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50" w:type="pct"/>
                  <w:vMerge w:val="restart"/>
                  <w:noWrap/>
                  <w:vAlign w:val="center"/>
                </w:tcPr>
                <w:p>
                  <w:pPr>
                    <w:pStyle w:val="35"/>
                    <w:tabs>
                      <w:tab w:val="left" w:pos="1021"/>
                    </w:tabs>
                  </w:pPr>
                  <w:r>
                    <w:t>生活污水</w:t>
                  </w:r>
                </w:p>
              </w:tc>
              <w:tc>
                <w:tcPr>
                  <w:tcW w:w="800" w:type="pct"/>
                  <w:gridSpan w:val="2"/>
                  <w:noWrap/>
                  <w:vAlign w:val="center"/>
                </w:tcPr>
                <w:p>
                  <w:pPr>
                    <w:pStyle w:val="35"/>
                    <w:tabs>
                      <w:tab w:val="left" w:pos="1021"/>
                    </w:tabs>
                  </w:pPr>
                  <w:r>
                    <w:rPr>
                      <w:rFonts w:hint="eastAsia"/>
                      <w:lang w:val="en-US" w:eastAsia="zh-CN"/>
                    </w:rPr>
                    <w:t>90</w:t>
                  </w:r>
                  <w:r>
                    <w:t>L/(人·d)</w:t>
                  </w:r>
                </w:p>
                <w:p>
                  <w:pPr>
                    <w:pStyle w:val="35"/>
                    <w:tabs>
                      <w:tab w:val="left" w:pos="1021"/>
                    </w:tabs>
                  </w:pPr>
                  <w:r>
                    <w:t>(员工)</w:t>
                  </w:r>
                </w:p>
              </w:tc>
              <w:tc>
                <w:tcPr>
                  <w:tcW w:w="545" w:type="pct"/>
                  <w:noWrap/>
                  <w:vAlign w:val="center"/>
                </w:tcPr>
                <w:p>
                  <w:pPr>
                    <w:pStyle w:val="35"/>
                    <w:tabs>
                      <w:tab w:val="left" w:pos="1021"/>
                    </w:tabs>
                  </w:pPr>
                  <w:r>
                    <w:t>10人</w:t>
                  </w:r>
                </w:p>
              </w:tc>
              <w:tc>
                <w:tcPr>
                  <w:tcW w:w="545" w:type="pct"/>
                  <w:vMerge w:val="restart"/>
                  <w:noWrap/>
                  <w:vAlign w:val="center"/>
                </w:tcPr>
                <w:p>
                  <w:pPr>
                    <w:pStyle w:val="35"/>
                    <w:tabs>
                      <w:tab w:val="left" w:pos="1021"/>
                    </w:tabs>
                    <w:rPr>
                      <w:rFonts w:hint="default" w:ascii="Times New Roman" w:hAnsi="Times New Roman" w:eastAsia="宋体" w:cs="Times New Roman"/>
                      <w:kern w:val="2"/>
                      <w:sz w:val="21"/>
                      <w:szCs w:val="21"/>
                      <w:lang w:val="en-US" w:eastAsia="zh-CN" w:bidi="ar-SA"/>
                    </w:rPr>
                  </w:pPr>
                  <w:r>
                    <w:rPr>
                      <w:rFonts w:hint="eastAsia"/>
                      <w:lang w:val="en-US" w:eastAsia="zh-CN"/>
                    </w:rPr>
                    <w:t>547.5</w:t>
                  </w:r>
                </w:p>
              </w:tc>
              <w:tc>
                <w:tcPr>
                  <w:tcW w:w="612" w:type="pct"/>
                  <w:vMerge w:val="restart"/>
                  <w:noWrap/>
                  <w:vAlign w:val="center"/>
                </w:tcPr>
                <w:p>
                  <w:pPr>
                    <w:pStyle w:val="35"/>
                    <w:tabs>
                      <w:tab w:val="left" w:pos="1021"/>
                    </w:tabs>
                    <w:rPr>
                      <w:rFonts w:hint="eastAsia" w:ascii="Times New Roman" w:hAnsi="Times New Roman" w:eastAsia="宋体" w:cs="Times New Roman"/>
                      <w:kern w:val="2"/>
                      <w:sz w:val="21"/>
                      <w:szCs w:val="21"/>
                      <w:lang w:val="en-US" w:eastAsia="zh-CN" w:bidi="ar-SA"/>
                    </w:rPr>
                  </w:pPr>
                  <w:r>
                    <w:rPr>
                      <w:rFonts w:hint="eastAsia"/>
                      <w:lang w:val="en-US" w:eastAsia="zh-CN"/>
                    </w:rPr>
                    <w:t>109.5</w:t>
                  </w:r>
                </w:p>
              </w:tc>
              <w:tc>
                <w:tcPr>
                  <w:tcW w:w="677" w:type="pct"/>
                  <w:vMerge w:val="restart"/>
                  <w:noWrap/>
                  <w:vAlign w:val="center"/>
                </w:tcPr>
                <w:p>
                  <w:pPr>
                    <w:pStyle w:val="35"/>
                    <w:tabs>
                      <w:tab w:val="left" w:pos="1021"/>
                    </w:tabs>
                    <w:rPr>
                      <w:rFonts w:hint="default" w:ascii="Times New Roman" w:hAnsi="Times New Roman" w:eastAsia="宋体" w:cs="Times New Roman"/>
                      <w:kern w:val="2"/>
                      <w:sz w:val="21"/>
                      <w:szCs w:val="21"/>
                      <w:lang w:val="en-US" w:eastAsia="zh-CN" w:bidi="ar-SA"/>
                    </w:rPr>
                  </w:pPr>
                  <w:r>
                    <w:rPr>
                      <w:rFonts w:hint="eastAsia"/>
                      <w:lang w:val="en-US" w:eastAsia="zh-CN"/>
                    </w:rPr>
                    <w:t>438</w:t>
                  </w:r>
                </w:p>
              </w:tc>
              <w:tc>
                <w:tcPr>
                  <w:tcW w:w="1266" w:type="pct"/>
                  <w:vMerge w:val="restart"/>
                  <w:noWrap/>
                  <w:vAlign w:val="center"/>
                </w:tcPr>
                <w:p>
                  <w:pPr>
                    <w:pStyle w:val="35"/>
                    <w:tabs>
                      <w:tab w:val="left" w:pos="1021"/>
                    </w:tabs>
                  </w:pPr>
                  <w:r>
                    <w:t>采用化粪池处理</w:t>
                  </w:r>
                  <w:r>
                    <w:rPr>
                      <w:rFonts w:hint="eastAsia"/>
                      <w:lang w:eastAsia="zh-CN"/>
                    </w:rPr>
                    <w:t>后</w:t>
                  </w:r>
                  <w:r>
                    <w:rPr>
                      <w:rFonts w:hint="eastAsia"/>
                    </w:rPr>
                    <w:t>纳入</w:t>
                  </w:r>
                  <w:r>
                    <w:rPr>
                      <w:rFonts w:hint="eastAsia"/>
                      <w:lang w:eastAsia="zh-CN"/>
                    </w:rPr>
                    <w:t>市政</w:t>
                  </w:r>
                  <w:r>
                    <w:t>污水管网。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50" w:type="pct"/>
                  <w:vMerge w:val="continue"/>
                  <w:noWrap/>
                  <w:vAlign w:val="center"/>
                </w:tcPr>
                <w:p>
                  <w:pPr>
                    <w:pStyle w:val="35"/>
                    <w:tabs>
                      <w:tab w:val="left" w:pos="1021"/>
                    </w:tabs>
                  </w:pPr>
                </w:p>
              </w:tc>
              <w:tc>
                <w:tcPr>
                  <w:tcW w:w="800" w:type="pct"/>
                  <w:gridSpan w:val="2"/>
                  <w:noWrap/>
                  <w:vAlign w:val="center"/>
                </w:tcPr>
                <w:p>
                  <w:pPr>
                    <w:pStyle w:val="35"/>
                    <w:tabs>
                      <w:tab w:val="left" w:pos="1021"/>
                    </w:tabs>
                  </w:pPr>
                  <w:r>
                    <w:t>10L/人·d</w:t>
                  </w:r>
                </w:p>
                <w:p>
                  <w:pPr>
                    <w:pStyle w:val="35"/>
                    <w:tabs>
                      <w:tab w:val="left" w:pos="1021"/>
                    </w:tabs>
                  </w:pPr>
                  <w:r>
                    <w:t>(外来人员)</w:t>
                  </w:r>
                </w:p>
              </w:tc>
              <w:tc>
                <w:tcPr>
                  <w:tcW w:w="545" w:type="pct"/>
                  <w:noWrap/>
                  <w:vAlign w:val="center"/>
                </w:tcPr>
                <w:p>
                  <w:pPr>
                    <w:pStyle w:val="35"/>
                    <w:tabs>
                      <w:tab w:val="left" w:pos="1021"/>
                    </w:tabs>
                  </w:pPr>
                  <w:r>
                    <w:t>60人次/天</w:t>
                  </w:r>
                </w:p>
              </w:tc>
              <w:tc>
                <w:tcPr>
                  <w:tcW w:w="545" w:type="pct"/>
                  <w:vMerge w:val="continue"/>
                  <w:noWrap/>
                  <w:vAlign w:val="center"/>
                </w:tcPr>
                <w:p>
                  <w:pPr>
                    <w:pStyle w:val="35"/>
                    <w:tabs>
                      <w:tab w:val="left" w:pos="1021"/>
                    </w:tabs>
                    <w:rPr>
                      <w:rFonts w:ascii="Times New Roman" w:hAnsi="Times New Roman" w:eastAsia="宋体" w:cs="Times New Roman"/>
                      <w:kern w:val="2"/>
                      <w:sz w:val="21"/>
                      <w:szCs w:val="21"/>
                      <w:lang w:val="en-US" w:eastAsia="zh-CN" w:bidi="ar-SA"/>
                    </w:rPr>
                  </w:pPr>
                </w:p>
              </w:tc>
              <w:tc>
                <w:tcPr>
                  <w:tcW w:w="612" w:type="pct"/>
                  <w:vMerge w:val="continue"/>
                  <w:noWrap/>
                  <w:vAlign w:val="center"/>
                </w:tcPr>
                <w:p>
                  <w:pPr>
                    <w:pStyle w:val="35"/>
                    <w:tabs>
                      <w:tab w:val="left" w:pos="1021"/>
                    </w:tabs>
                    <w:rPr>
                      <w:rFonts w:ascii="Times New Roman" w:hAnsi="Times New Roman" w:eastAsia="宋体" w:cs="Times New Roman"/>
                      <w:kern w:val="2"/>
                      <w:sz w:val="21"/>
                      <w:szCs w:val="21"/>
                      <w:lang w:val="en-US" w:eastAsia="zh-CN" w:bidi="ar-SA"/>
                    </w:rPr>
                  </w:pPr>
                </w:p>
              </w:tc>
              <w:tc>
                <w:tcPr>
                  <w:tcW w:w="677" w:type="pct"/>
                  <w:vMerge w:val="continue"/>
                  <w:noWrap/>
                  <w:vAlign w:val="center"/>
                </w:tcPr>
                <w:p>
                  <w:pPr>
                    <w:pStyle w:val="35"/>
                    <w:tabs>
                      <w:tab w:val="left" w:pos="1021"/>
                    </w:tabs>
                    <w:rPr>
                      <w:rFonts w:ascii="Times New Roman" w:hAnsi="Times New Roman" w:eastAsia="宋体" w:cs="Times New Roman"/>
                      <w:kern w:val="2"/>
                      <w:sz w:val="21"/>
                      <w:szCs w:val="21"/>
                      <w:lang w:val="en-US" w:eastAsia="zh-CN" w:bidi="ar-SA"/>
                    </w:rPr>
                  </w:pPr>
                </w:p>
              </w:tc>
              <w:tc>
                <w:tcPr>
                  <w:tcW w:w="1266" w:type="pct"/>
                  <w:vMerge w:val="continue"/>
                  <w:noWrap/>
                  <w:vAlign w:val="center"/>
                </w:tcPr>
                <w:p>
                  <w:pPr>
                    <w:pStyle w:val="35"/>
                    <w:tabs>
                      <w:tab w:val="left" w:pos="1021"/>
                    </w:tabs>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50" w:type="pct"/>
                  <w:noWrap/>
                  <w:vAlign w:val="center"/>
                </w:tcPr>
                <w:p>
                  <w:pPr>
                    <w:pStyle w:val="35"/>
                    <w:tabs>
                      <w:tab w:val="left" w:pos="1021"/>
                    </w:tabs>
                  </w:pPr>
                  <w:r>
                    <w:t>地面</w:t>
                  </w:r>
                  <w:r>
                    <w:rPr>
                      <w:rFonts w:hint="eastAsia"/>
                      <w:lang w:eastAsia="zh-CN"/>
                    </w:rPr>
                    <w:t>清洁</w:t>
                  </w:r>
                  <w:r>
                    <w:t>废水</w:t>
                  </w:r>
                </w:p>
              </w:tc>
              <w:tc>
                <w:tcPr>
                  <w:tcW w:w="800" w:type="pct"/>
                  <w:gridSpan w:val="2"/>
                  <w:noWrap/>
                  <w:vAlign w:val="center"/>
                </w:tcPr>
                <w:p>
                  <w:pPr>
                    <w:pStyle w:val="35"/>
                    <w:tabs>
                      <w:tab w:val="left" w:pos="1021"/>
                    </w:tabs>
                  </w:pPr>
                  <w:r>
                    <w:rPr>
                      <w:rFonts w:hint="eastAsia"/>
                    </w:rPr>
                    <w:t>2</w:t>
                  </w:r>
                  <w:r>
                    <w:t>L/m²·月</w:t>
                  </w:r>
                </w:p>
              </w:tc>
              <w:tc>
                <w:tcPr>
                  <w:tcW w:w="545" w:type="pct"/>
                  <w:noWrap/>
                  <w:vAlign w:val="center"/>
                </w:tcPr>
                <w:p>
                  <w:pPr>
                    <w:pStyle w:val="35"/>
                    <w:tabs>
                      <w:tab w:val="left" w:pos="1021"/>
                    </w:tabs>
                  </w:pPr>
                  <w:r>
                    <w:rPr>
                      <w:rFonts w:hint="eastAsia"/>
                      <w:lang w:val="en-US" w:eastAsia="zh-CN"/>
                    </w:rPr>
                    <w:t>300</w:t>
                  </w:r>
                  <w:r>
                    <w:t>m²</w:t>
                  </w:r>
                </w:p>
              </w:tc>
              <w:tc>
                <w:tcPr>
                  <w:tcW w:w="545" w:type="pct"/>
                  <w:noWrap/>
                  <w:vAlign w:val="center"/>
                </w:tcPr>
                <w:p>
                  <w:pPr>
                    <w:pStyle w:val="35"/>
                    <w:tabs>
                      <w:tab w:val="left" w:pos="1021"/>
                    </w:tabs>
                    <w:rPr>
                      <w:rFonts w:hint="default" w:ascii="Times New Roman" w:hAnsi="Times New Roman" w:eastAsia="宋体" w:cs="Times New Roman"/>
                      <w:kern w:val="0"/>
                      <w:sz w:val="21"/>
                      <w:szCs w:val="21"/>
                      <w:lang w:val="en-US" w:eastAsia="zh-CN" w:bidi="ar-SA"/>
                    </w:rPr>
                  </w:pPr>
                  <w:r>
                    <w:rPr>
                      <w:rFonts w:hint="eastAsia"/>
                      <w:lang w:val="en-US" w:eastAsia="zh-CN"/>
                    </w:rPr>
                    <w:t>7.2</w:t>
                  </w:r>
                </w:p>
              </w:tc>
              <w:tc>
                <w:tcPr>
                  <w:tcW w:w="612" w:type="pct"/>
                  <w:noWrap/>
                  <w:vAlign w:val="center"/>
                </w:tcPr>
                <w:p>
                  <w:pPr>
                    <w:pStyle w:val="35"/>
                    <w:tabs>
                      <w:tab w:val="left" w:pos="1021"/>
                    </w:tabs>
                    <w:rPr>
                      <w:rFonts w:hint="default" w:ascii="Times New Roman" w:hAnsi="Times New Roman" w:eastAsia="宋体" w:cs="Times New Roman"/>
                      <w:kern w:val="0"/>
                      <w:sz w:val="21"/>
                      <w:szCs w:val="21"/>
                      <w:lang w:val="en-US" w:eastAsia="zh-CN" w:bidi="ar-SA"/>
                    </w:rPr>
                  </w:pPr>
                  <w:r>
                    <w:rPr>
                      <w:rFonts w:hint="eastAsia"/>
                      <w:lang w:val="en-US" w:eastAsia="zh-CN"/>
                    </w:rPr>
                    <w:t>1.4</w:t>
                  </w:r>
                </w:p>
              </w:tc>
              <w:tc>
                <w:tcPr>
                  <w:tcW w:w="677" w:type="pct"/>
                  <w:noWrap/>
                  <w:vAlign w:val="center"/>
                </w:tcPr>
                <w:p>
                  <w:pPr>
                    <w:pStyle w:val="35"/>
                    <w:tabs>
                      <w:tab w:val="left" w:pos="1021"/>
                    </w:tabs>
                    <w:rPr>
                      <w:rFonts w:hint="default" w:ascii="Times New Roman" w:hAnsi="Times New Roman" w:eastAsia="宋体" w:cs="Times New Roman"/>
                      <w:kern w:val="0"/>
                      <w:sz w:val="21"/>
                      <w:szCs w:val="21"/>
                      <w:lang w:val="en-US" w:eastAsia="zh-CN" w:bidi="ar-SA"/>
                    </w:rPr>
                  </w:pPr>
                  <w:r>
                    <w:rPr>
                      <w:rFonts w:hint="eastAsia"/>
                      <w:lang w:val="en-US" w:eastAsia="zh-CN"/>
                    </w:rPr>
                    <w:t>5.8</w:t>
                  </w:r>
                </w:p>
              </w:tc>
              <w:tc>
                <w:tcPr>
                  <w:tcW w:w="1266" w:type="pct"/>
                  <w:vMerge w:val="restart"/>
                  <w:noWrap/>
                  <w:vAlign w:val="center"/>
                </w:tcPr>
                <w:p>
                  <w:pPr>
                    <w:pStyle w:val="35"/>
                    <w:tabs>
                      <w:tab w:val="left" w:pos="1021"/>
                    </w:tabs>
                  </w:pPr>
                  <w:r>
                    <w:t>隔油沉淀处理后</w:t>
                  </w:r>
                  <w:r>
                    <w:rPr>
                      <w:rFonts w:hint="eastAsia"/>
                    </w:rPr>
                    <w:t>纳入</w:t>
                  </w:r>
                  <w:r>
                    <w:rPr>
                      <w:rFonts w:hint="eastAsia"/>
                      <w:lang w:eastAsia="zh-CN"/>
                    </w:rPr>
                    <w:t>市政</w:t>
                  </w:r>
                  <w:r>
                    <w:t>污水管网。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50" w:type="pct"/>
                  <w:noWrap/>
                  <w:vAlign w:val="center"/>
                </w:tcPr>
                <w:p>
                  <w:pPr>
                    <w:pStyle w:val="35"/>
                    <w:tabs>
                      <w:tab w:val="left" w:pos="1021"/>
                    </w:tabs>
                  </w:pPr>
                  <w:r>
                    <w:rPr>
                      <w:rFonts w:hint="eastAsia"/>
                    </w:rPr>
                    <w:t>洗车用水</w:t>
                  </w:r>
                </w:p>
              </w:tc>
              <w:tc>
                <w:tcPr>
                  <w:tcW w:w="800" w:type="pct"/>
                  <w:gridSpan w:val="2"/>
                  <w:noWrap/>
                  <w:vAlign w:val="center"/>
                </w:tcPr>
                <w:p>
                  <w:pPr>
                    <w:pStyle w:val="35"/>
                    <w:tabs>
                      <w:tab w:val="left" w:pos="1021"/>
                    </w:tabs>
                  </w:pPr>
                  <w:r>
                    <w:rPr>
                      <w:rFonts w:hint="eastAsia"/>
                    </w:rPr>
                    <w:t>40L/车次</w:t>
                  </w:r>
                </w:p>
              </w:tc>
              <w:tc>
                <w:tcPr>
                  <w:tcW w:w="545" w:type="pct"/>
                  <w:noWrap/>
                  <w:vAlign w:val="center"/>
                </w:tcPr>
                <w:p>
                  <w:pPr>
                    <w:pStyle w:val="35"/>
                    <w:tabs>
                      <w:tab w:val="left" w:pos="1021"/>
                    </w:tabs>
                  </w:pPr>
                  <w:r>
                    <w:rPr>
                      <w:rFonts w:hint="eastAsia"/>
                    </w:rPr>
                    <w:t>30车</w:t>
                  </w:r>
                </w:p>
              </w:tc>
              <w:tc>
                <w:tcPr>
                  <w:tcW w:w="545" w:type="pct"/>
                  <w:noWrap/>
                  <w:vAlign w:val="center"/>
                </w:tcPr>
                <w:p>
                  <w:pPr>
                    <w:pStyle w:val="35"/>
                    <w:tabs>
                      <w:tab w:val="left" w:pos="1021"/>
                    </w:tabs>
                    <w:rPr>
                      <w:rFonts w:hint="default" w:ascii="Times New Roman" w:hAnsi="Times New Roman" w:eastAsia="宋体" w:cs="Times New Roman"/>
                      <w:kern w:val="2"/>
                      <w:sz w:val="21"/>
                      <w:szCs w:val="21"/>
                      <w:lang w:val="en-US" w:eastAsia="zh-CN" w:bidi="ar-SA"/>
                    </w:rPr>
                  </w:pPr>
                  <w:r>
                    <w:rPr>
                      <w:rFonts w:hint="eastAsia"/>
                    </w:rPr>
                    <w:t>438</w:t>
                  </w:r>
                </w:p>
              </w:tc>
              <w:tc>
                <w:tcPr>
                  <w:tcW w:w="612" w:type="pct"/>
                  <w:noWrap/>
                  <w:vAlign w:val="center"/>
                </w:tcPr>
                <w:p>
                  <w:pPr>
                    <w:pStyle w:val="35"/>
                    <w:tabs>
                      <w:tab w:val="left" w:pos="1021"/>
                    </w:tabs>
                    <w:rPr>
                      <w:rFonts w:hint="eastAsia" w:ascii="Times New Roman" w:hAnsi="Times New Roman" w:eastAsia="宋体" w:cs="Times New Roman"/>
                      <w:kern w:val="2"/>
                      <w:sz w:val="21"/>
                      <w:szCs w:val="21"/>
                      <w:lang w:val="en-US" w:eastAsia="zh-CN" w:bidi="ar-SA"/>
                    </w:rPr>
                  </w:pPr>
                  <w:r>
                    <w:rPr>
                      <w:rFonts w:hint="eastAsia"/>
                    </w:rPr>
                    <w:t>88</w:t>
                  </w:r>
                </w:p>
              </w:tc>
              <w:tc>
                <w:tcPr>
                  <w:tcW w:w="677" w:type="pct"/>
                  <w:noWrap/>
                  <w:vAlign w:val="center"/>
                </w:tcPr>
                <w:p>
                  <w:pPr>
                    <w:pStyle w:val="35"/>
                    <w:tabs>
                      <w:tab w:val="left" w:pos="1021"/>
                    </w:tabs>
                    <w:rPr>
                      <w:rFonts w:ascii="Times New Roman" w:hAnsi="Times New Roman" w:eastAsia="宋体" w:cs="Times New Roman"/>
                      <w:kern w:val="2"/>
                      <w:sz w:val="21"/>
                      <w:szCs w:val="21"/>
                      <w:lang w:val="en-US" w:eastAsia="zh-CN" w:bidi="ar-SA"/>
                    </w:rPr>
                  </w:pPr>
                  <w:r>
                    <w:rPr>
                      <w:rFonts w:hint="eastAsia"/>
                    </w:rPr>
                    <w:t>350</w:t>
                  </w:r>
                </w:p>
              </w:tc>
              <w:tc>
                <w:tcPr>
                  <w:tcW w:w="1266" w:type="pct"/>
                  <w:vMerge w:val="continue"/>
                  <w:noWrap/>
                  <w:vAlign w:val="center"/>
                </w:tcPr>
                <w:p>
                  <w:pPr>
                    <w:pStyle w:val="35"/>
                    <w:tabs>
                      <w:tab w:val="left" w:pos="1021"/>
                    </w:tabs>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50" w:type="pct"/>
                  <w:noWrap/>
                  <w:vAlign w:val="center"/>
                </w:tcPr>
                <w:p>
                  <w:pPr>
                    <w:pStyle w:val="35"/>
                    <w:tabs>
                      <w:tab w:val="left" w:pos="1021"/>
                    </w:tabs>
                  </w:pPr>
                  <w:r>
                    <w:t>合计</w:t>
                  </w:r>
                </w:p>
              </w:tc>
              <w:tc>
                <w:tcPr>
                  <w:tcW w:w="800" w:type="pct"/>
                  <w:gridSpan w:val="2"/>
                  <w:noWrap/>
                  <w:vAlign w:val="center"/>
                </w:tcPr>
                <w:p>
                  <w:pPr>
                    <w:pStyle w:val="35"/>
                    <w:tabs>
                      <w:tab w:val="left" w:pos="1021"/>
                    </w:tabs>
                  </w:pPr>
                </w:p>
              </w:tc>
              <w:tc>
                <w:tcPr>
                  <w:tcW w:w="545" w:type="pct"/>
                  <w:noWrap/>
                  <w:vAlign w:val="center"/>
                </w:tcPr>
                <w:p>
                  <w:pPr>
                    <w:pStyle w:val="35"/>
                    <w:tabs>
                      <w:tab w:val="left" w:pos="1021"/>
                    </w:tabs>
                  </w:pPr>
                </w:p>
              </w:tc>
              <w:tc>
                <w:tcPr>
                  <w:tcW w:w="545" w:type="pct"/>
                  <w:noWrap/>
                  <w:vAlign w:val="center"/>
                </w:tcPr>
                <w:p>
                  <w:pPr>
                    <w:pStyle w:val="35"/>
                    <w:tabs>
                      <w:tab w:val="left" w:pos="1021"/>
                    </w:tabs>
                    <w:rPr>
                      <w:rFonts w:hint="default" w:ascii="Times New Roman" w:hAnsi="Times New Roman" w:eastAsia="宋体" w:cs="Times New Roman"/>
                      <w:kern w:val="0"/>
                      <w:sz w:val="21"/>
                      <w:szCs w:val="21"/>
                      <w:lang w:val="en-US" w:eastAsia="zh-CN" w:bidi="ar-SA"/>
                    </w:rPr>
                  </w:pPr>
                  <w:r>
                    <w:rPr>
                      <w:rFonts w:hint="eastAsia"/>
                      <w:lang w:val="en-US" w:eastAsia="zh-CN"/>
                    </w:rPr>
                    <w:t>992.7</w:t>
                  </w:r>
                </w:p>
              </w:tc>
              <w:tc>
                <w:tcPr>
                  <w:tcW w:w="612" w:type="pct"/>
                  <w:noWrap/>
                  <w:vAlign w:val="center"/>
                </w:tcPr>
                <w:p>
                  <w:pPr>
                    <w:pStyle w:val="35"/>
                    <w:tabs>
                      <w:tab w:val="left" w:pos="1021"/>
                    </w:tabs>
                    <w:rPr>
                      <w:rFonts w:hint="default" w:ascii="Times New Roman" w:hAnsi="Times New Roman" w:eastAsia="宋体" w:cs="Times New Roman"/>
                      <w:kern w:val="0"/>
                      <w:sz w:val="21"/>
                      <w:szCs w:val="21"/>
                      <w:lang w:val="en-US" w:eastAsia="zh-CN" w:bidi="ar-SA"/>
                    </w:rPr>
                  </w:pPr>
                  <w:r>
                    <w:rPr>
                      <w:rFonts w:hint="eastAsia"/>
                      <w:lang w:val="en-US" w:eastAsia="zh-CN"/>
                    </w:rPr>
                    <w:t>198.9</w:t>
                  </w:r>
                </w:p>
              </w:tc>
              <w:tc>
                <w:tcPr>
                  <w:tcW w:w="677" w:type="pct"/>
                  <w:noWrap/>
                  <w:vAlign w:val="center"/>
                </w:tcPr>
                <w:p>
                  <w:pPr>
                    <w:pStyle w:val="35"/>
                    <w:tabs>
                      <w:tab w:val="left" w:pos="1021"/>
                    </w:tabs>
                    <w:rPr>
                      <w:rFonts w:hint="default" w:ascii="Times New Roman" w:hAnsi="Times New Roman" w:eastAsia="宋体" w:cs="Times New Roman"/>
                      <w:kern w:val="0"/>
                      <w:sz w:val="21"/>
                      <w:szCs w:val="21"/>
                      <w:lang w:val="en-US" w:eastAsia="zh-CN" w:bidi="ar-SA"/>
                    </w:rPr>
                  </w:pPr>
                  <w:r>
                    <w:rPr>
                      <w:rFonts w:hint="eastAsia"/>
                      <w:lang w:val="en-US" w:eastAsia="zh-CN"/>
                    </w:rPr>
                    <w:t>793.8</w:t>
                  </w:r>
                </w:p>
              </w:tc>
              <w:tc>
                <w:tcPr>
                  <w:tcW w:w="1266" w:type="pct"/>
                  <w:noWrap/>
                  <w:vAlign w:val="center"/>
                </w:tcPr>
                <w:p>
                  <w:pPr>
                    <w:pStyle w:val="35"/>
                    <w:tabs>
                      <w:tab w:val="left" w:pos="1021"/>
                    </w:tabs>
                  </w:pPr>
                  <w: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50" w:type="pct"/>
                  <w:noWrap/>
                  <w:vAlign w:val="center"/>
                </w:tcPr>
                <w:p>
                  <w:pPr>
                    <w:pStyle w:val="35"/>
                    <w:tabs>
                      <w:tab w:val="left" w:pos="1021"/>
                    </w:tabs>
                  </w:pPr>
                  <w:r>
                    <w:t>初期雨水</w:t>
                  </w:r>
                </w:p>
              </w:tc>
              <w:tc>
                <w:tcPr>
                  <w:tcW w:w="1892" w:type="pct"/>
                  <w:gridSpan w:val="4"/>
                  <w:noWrap/>
                  <w:vAlign w:val="center"/>
                </w:tcPr>
                <w:p>
                  <w:pPr>
                    <w:pStyle w:val="35"/>
                    <w:tabs>
                      <w:tab w:val="left" w:pos="1021"/>
                    </w:tabs>
                    <w:rPr>
                      <w:rFonts w:hint="default" w:ascii="Times New Roman" w:hAnsi="Times New Roman" w:eastAsia="宋体" w:cs="Times New Roman"/>
                      <w:kern w:val="0"/>
                      <w:sz w:val="21"/>
                      <w:szCs w:val="21"/>
                      <w:lang w:val="en-US" w:eastAsia="zh-CN" w:bidi="ar-SA"/>
                    </w:rPr>
                  </w:pPr>
                  <w:r>
                    <w:rPr>
                      <w:rFonts w:hint="eastAsia"/>
                      <w:lang w:val="en-US" w:eastAsia="zh-CN"/>
                    </w:rPr>
                    <w:t>60.8</w:t>
                  </w:r>
                </w:p>
              </w:tc>
              <w:tc>
                <w:tcPr>
                  <w:tcW w:w="612" w:type="pct"/>
                  <w:noWrap/>
                  <w:vAlign w:val="center"/>
                </w:tcPr>
                <w:p>
                  <w:pPr>
                    <w:pStyle w:val="35"/>
                    <w:tabs>
                      <w:tab w:val="left" w:pos="1021"/>
                    </w:tabs>
                    <w:rPr>
                      <w:rFonts w:hint="default" w:ascii="Times New Roman" w:hAnsi="Times New Roman" w:eastAsia="宋体" w:cs="Times New Roman"/>
                      <w:kern w:val="0"/>
                      <w:sz w:val="21"/>
                      <w:szCs w:val="21"/>
                      <w:lang w:val="en-US" w:eastAsia="zh-CN" w:bidi="ar-SA"/>
                    </w:rPr>
                  </w:pPr>
                  <w:r>
                    <w:rPr>
                      <w:rFonts w:hint="eastAsia"/>
                      <w:lang w:val="en-US" w:eastAsia="zh-CN"/>
                    </w:rPr>
                    <w:t>12.2</w:t>
                  </w:r>
                </w:p>
              </w:tc>
              <w:tc>
                <w:tcPr>
                  <w:tcW w:w="677" w:type="pct"/>
                  <w:noWrap/>
                  <w:vAlign w:val="center"/>
                </w:tcPr>
                <w:p>
                  <w:pPr>
                    <w:pStyle w:val="35"/>
                    <w:tabs>
                      <w:tab w:val="left" w:pos="1021"/>
                    </w:tabs>
                    <w:rPr>
                      <w:rFonts w:hint="default" w:ascii="Times New Roman" w:hAnsi="Times New Roman" w:eastAsia="宋体" w:cs="Times New Roman"/>
                      <w:kern w:val="0"/>
                      <w:sz w:val="21"/>
                      <w:szCs w:val="21"/>
                      <w:lang w:val="en-US" w:eastAsia="zh-CN" w:bidi="ar-SA"/>
                    </w:rPr>
                  </w:pPr>
                  <w:r>
                    <w:rPr>
                      <w:rFonts w:hint="eastAsia"/>
                      <w:lang w:val="en-US" w:eastAsia="zh-CN"/>
                    </w:rPr>
                    <w:t>48.6</w:t>
                  </w:r>
                </w:p>
              </w:tc>
              <w:tc>
                <w:tcPr>
                  <w:tcW w:w="1266" w:type="pct"/>
                  <w:noWrap/>
                  <w:vAlign w:val="center"/>
                </w:tcPr>
                <w:p>
                  <w:pPr>
                    <w:pStyle w:val="35"/>
                    <w:tabs>
                      <w:tab w:val="left" w:pos="1021"/>
                    </w:tabs>
                  </w:pPr>
                  <w:r>
                    <w:t>隔油沉淀处理后</w:t>
                  </w:r>
                  <w:r>
                    <w:rPr>
                      <w:rFonts w:hint="eastAsia"/>
                    </w:rPr>
                    <w:t>纳入</w:t>
                  </w:r>
                  <w:r>
                    <w:rPr>
                      <w:rFonts w:hint="eastAsia"/>
                      <w:lang w:eastAsia="zh-CN"/>
                    </w:rPr>
                    <w:t>市政</w:t>
                  </w:r>
                  <w:r>
                    <w:t>污水管网。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5" w:type="pct"/>
                  <w:gridSpan w:val="2"/>
                  <w:noWrap/>
                  <w:vAlign w:val="center"/>
                </w:tcPr>
                <w:p>
                  <w:pPr>
                    <w:pStyle w:val="35"/>
                    <w:tabs>
                      <w:tab w:val="left" w:pos="1021"/>
                    </w:tabs>
                  </w:pPr>
                  <w:r>
                    <w:t>新鲜用水</w:t>
                  </w:r>
                </w:p>
              </w:tc>
              <w:tc>
                <w:tcPr>
                  <w:tcW w:w="4084" w:type="pct"/>
                  <w:gridSpan w:val="6"/>
                  <w:noWrap/>
                  <w:vAlign w:val="center"/>
                </w:tcPr>
                <w:p>
                  <w:pPr>
                    <w:pStyle w:val="35"/>
                    <w:tabs>
                      <w:tab w:val="left" w:pos="1021"/>
                    </w:tabs>
                  </w:pPr>
                  <w:r>
                    <w:t>总用水量（</w:t>
                  </w:r>
                  <w:r>
                    <w:rPr>
                      <w:rFonts w:hint="eastAsia"/>
                      <w:lang w:val="en-US" w:eastAsia="zh-CN"/>
                    </w:rPr>
                    <w:t>992.7</w:t>
                  </w:r>
                  <w:r>
                    <w:t>）</w:t>
                  </w:r>
                </w:p>
              </w:tc>
            </w:tr>
          </w:tbl>
          <w:p>
            <w:pPr>
              <w:pStyle w:val="30"/>
            </w:pPr>
          </w:p>
          <w:p>
            <w:pPr>
              <w:pStyle w:val="30"/>
              <w:ind w:left="0" w:leftChars="0" w:firstLine="0" w:firstLineChars="0"/>
            </w:pPr>
            <w:r>
              <w:drawing>
                <wp:inline distT="0" distB="0" distL="114300" distR="114300">
                  <wp:extent cx="4778375" cy="2766695"/>
                  <wp:effectExtent l="0" t="0" r="3175" b="14605"/>
                  <wp:docPr id="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
                          <pic:cNvPicPr>
                            <a:picLocks noChangeAspect="1"/>
                          </pic:cNvPicPr>
                        </pic:nvPicPr>
                        <pic:blipFill>
                          <a:blip r:embed="rId13"/>
                          <a:stretch>
                            <a:fillRect/>
                          </a:stretch>
                        </pic:blipFill>
                        <pic:spPr>
                          <a:xfrm>
                            <a:off x="0" y="0"/>
                            <a:ext cx="4778375" cy="2766695"/>
                          </a:xfrm>
                          <a:prstGeom prst="rect">
                            <a:avLst/>
                          </a:prstGeom>
                          <a:noFill/>
                          <a:ln>
                            <a:noFill/>
                          </a:ln>
                        </pic:spPr>
                      </pic:pic>
                    </a:graphicData>
                  </a:graphic>
                </wp:inline>
              </w:drawing>
            </w:r>
          </w:p>
          <w:p>
            <w:pPr>
              <w:pStyle w:val="36"/>
              <w:tabs>
                <w:tab w:val="left" w:pos="1021"/>
              </w:tabs>
            </w:pPr>
            <w:r>
              <w:rPr>
                <w:rFonts w:hint="eastAsia"/>
              </w:rPr>
              <w:t>图</w:t>
            </w:r>
            <w:r>
              <w:rPr>
                <w:rFonts w:hint="eastAsia"/>
                <w:lang w:val="en-US" w:eastAsia="zh-CN"/>
              </w:rPr>
              <w:t>2.1-1</w:t>
            </w:r>
            <w:r>
              <w:rPr>
                <w:rFonts w:hint="eastAsia"/>
              </w:rPr>
              <w:t>水平衡图单位：</w:t>
            </w:r>
            <w:r>
              <w:t>t/a</w:t>
            </w:r>
          </w:p>
          <w:p>
            <w:pPr>
              <w:pStyle w:val="14"/>
              <w:ind w:firstLine="480"/>
            </w:pPr>
            <w:r>
              <w:t>③排水系统</w:t>
            </w:r>
          </w:p>
          <w:p>
            <w:pPr>
              <w:pStyle w:val="14"/>
              <w:bidi w:val="0"/>
              <w:rPr>
                <w:rFonts w:hint="default" w:ascii="Times New Roman" w:hAnsi="Times New Roman" w:cs="Times New Roman"/>
              </w:rPr>
            </w:pPr>
            <w:r>
              <w:t>项目采用雨、污分流制</w:t>
            </w:r>
            <w:r>
              <w:rPr>
                <w:rFonts w:hint="eastAsia"/>
              </w:rPr>
              <w:t>。</w:t>
            </w:r>
            <w:r>
              <w:t>雨水接市政雨水管网；本项目属于</w:t>
            </w:r>
            <w:r>
              <w:rPr>
                <w:rFonts w:hint="eastAsia"/>
                <w:lang w:eastAsia="zh-CN"/>
              </w:rPr>
              <w:t>祁东县鱼陂污水厂</w:t>
            </w:r>
            <w:r>
              <w:t>管网纳污范围，初期雨水</w:t>
            </w:r>
            <w:r>
              <w:rPr>
                <w:rFonts w:hint="eastAsia"/>
              </w:rPr>
              <w:t>、洗车</w:t>
            </w:r>
            <w:r>
              <w:t>废水</w:t>
            </w:r>
            <w:r>
              <w:rPr>
                <w:rFonts w:hint="eastAsia"/>
                <w:lang w:eastAsia="zh-CN"/>
              </w:rPr>
              <w:t>、场地清洁废水</w:t>
            </w:r>
            <w:r>
              <w:t>经场地</w:t>
            </w:r>
            <w:r>
              <w:rPr>
                <w:rFonts w:hint="eastAsia"/>
              </w:rPr>
              <w:t>隔油</w:t>
            </w:r>
            <w:r>
              <w:t>沉淀池沉淀处理后</w:t>
            </w:r>
            <w:r>
              <w:rPr>
                <w:rFonts w:hint="eastAsia"/>
              </w:rPr>
              <w:t>进入</w:t>
            </w:r>
            <w:r>
              <w:rPr>
                <w:rFonts w:hint="eastAsia"/>
                <w:lang w:eastAsia="zh-CN"/>
              </w:rPr>
              <w:t>市政污水管网</w:t>
            </w:r>
            <w:r>
              <w:rPr>
                <w:rFonts w:hint="eastAsia"/>
              </w:rPr>
              <w:t>最后进入</w:t>
            </w:r>
            <w:r>
              <w:rPr>
                <w:rFonts w:hint="eastAsia"/>
                <w:lang w:eastAsia="zh-CN"/>
              </w:rPr>
              <w:t>祁东县鱼陂污水厂</w:t>
            </w:r>
            <w:r>
              <w:t>；生活污水经化粪池处理后后</w:t>
            </w:r>
            <w:r>
              <w:rPr>
                <w:rFonts w:hint="eastAsia"/>
              </w:rPr>
              <w:t>进入</w:t>
            </w:r>
            <w:r>
              <w:rPr>
                <w:rFonts w:hint="eastAsia"/>
                <w:lang w:eastAsia="zh-CN"/>
              </w:rPr>
              <w:t>市政污水管网</w:t>
            </w:r>
            <w:r>
              <w:rPr>
                <w:rFonts w:hint="eastAsia"/>
              </w:rPr>
              <w:t>最后进入</w:t>
            </w:r>
            <w:r>
              <w:rPr>
                <w:rFonts w:hint="eastAsia"/>
                <w:lang w:eastAsia="zh-CN"/>
              </w:rPr>
              <w:t>祁东县鱼陂污水厂</w:t>
            </w:r>
            <w:r>
              <w:t>。</w:t>
            </w:r>
          </w:p>
          <w:p>
            <w:pPr>
              <w:pStyle w:val="14"/>
              <w:bidi w:val="0"/>
              <w:rPr>
                <w:rFonts w:hint="default" w:ascii="Times New Roman" w:hAnsi="Times New Roman" w:cs="Times New Roman"/>
              </w:rPr>
            </w:pPr>
            <w:r>
              <w:rPr>
                <w:rFonts w:hint="default" w:ascii="Times New Roman" w:hAnsi="Times New Roman" w:cs="Times New Roman"/>
                <w:lang w:val="en-US" w:eastAsia="zh-CN"/>
              </w:rPr>
              <w:t>（</w:t>
            </w:r>
            <w:r>
              <w:rPr>
                <w:rFonts w:hint="eastAsia" w:cs="Times New Roman"/>
                <w:lang w:val="en-US" w:eastAsia="zh-CN"/>
              </w:rPr>
              <w:t>2</w:t>
            </w:r>
            <w:r>
              <w:rPr>
                <w:rFonts w:hint="default" w:ascii="Times New Roman" w:hAnsi="Times New Roman" w:cs="Times New Roman"/>
                <w:lang w:val="en-US" w:eastAsia="zh-CN"/>
              </w:rPr>
              <w:t>）</w:t>
            </w:r>
            <w:r>
              <w:rPr>
                <w:rFonts w:hint="default" w:ascii="Times New Roman" w:hAnsi="Times New Roman" w:cs="Times New Roman"/>
              </w:rPr>
              <w:t>供配电</w:t>
            </w:r>
          </w:p>
          <w:p>
            <w:pPr>
              <w:pStyle w:val="14"/>
              <w:ind w:firstLine="480"/>
            </w:pPr>
            <w:r>
              <w:rPr>
                <w:rFonts w:hint="eastAsia" w:ascii="宋体" w:hAnsi="宋体" w:cs="宋体"/>
              </w:rPr>
              <w:t>①</w:t>
            </w:r>
            <w:r>
              <w:t>电源及变配电</w:t>
            </w:r>
          </w:p>
          <w:p>
            <w:pPr>
              <w:pStyle w:val="14"/>
              <w:ind w:firstLine="480"/>
            </w:pPr>
            <w:r>
              <w:t>该站用电负荷为三级负荷，采用单回路电源供电，电压为AC380/220V，从站内箱变接入，进线电缆埋地敷设。采用树干式放射式的供配电方式向全站负荷供电，380/220V配电系统采用TN–S接地保护系统。</w:t>
            </w:r>
          </w:p>
          <w:p>
            <w:pPr>
              <w:pStyle w:val="14"/>
              <w:ind w:firstLine="480"/>
            </w:pPr>
            <w:r>
              <w:t>另外，该项目配备一台</w:t>
            </w:r>
            <w:r>
              <w:rPr>
                <w:rFonts w:hint="eastAsia"/>
              </w:rPr>
              <w:t>30</w:t>
            </w:r>
            <w:r>
              <w:t>KW柴油发电机，保证该项目紧急用电要求。</w:t>
            </w:r>
          </w:p>
          <w:p>
            <w:pPr>
              <w:pStyle w:val="14"/>
              <w:ind w:firstLine="480"/>
            </w:pPr>
            <w:r>
              <w:rPr>
                <w:rFonts w:hint="eastAsia" w:ascii="微软雅黑" w:hAnsi="微软雅黑" w:eastAsia="微软雅黑" w:cs="微软雅黑"/>
              </w:rPr>
              <w:t>②</w:t>
            </w:r>
            <w:r>
              <w:t>电力线路</w:t>
            </w:r>
          </w:p>
          <w:p>
            <w:pPr>
              <w:pStyle w:val="14"/>
              <w:ind w:firstLine="480"/>
            </w:pPr>
            <w:r>
              <w:t>采用电缆直埋敷设，爆炸区电缆采用铠装线敷设，非爆炸区电线穿管敷设。</w:t>
            </w:r>
          </w:p>
          <w:p>
            <w:pPr>
              <w:pStyle w:val="14"/>
              <w:ind w:firstLine="480"/>
            </w:pPr>
            <w:r>
              <w:rPr>
                <w:rFonts w:hint="eastAsia" w:ascii="宋体" w:hAnsi="宋体" w:cs="宋体"/>
              </w:rPr>
              <w:t>③</w:t>
            </w:r>
            <w:r>
              <w:t>电气系统</w:t>
            </w:r>
          </w:p>
          <w:p>
            <w:pPr>
              <w:pStyle w:val="14"/>
              <w:ind w:firstLine="480"/>
            </w:pPr>
            <w:r>
              <w:t>该加油站加油作业区电力及照明设备均为防爆型，防爆等级不低于Exd IIA T3，在非火灾爆炸环境的区域安装金属卤化物灯，办公场所安装日光灯。配电线路采用BV型、ZR-BV型穿钢管敷设。</w:t>
            </w:r>
          </w:p>
          <w:p>
            <w:pPr>
              <w:pStyle w:val="14"/>
              <w:ind w:firstLine="480"/>
            </w:pPr>
            <w:r>
              <w:t>（3）防雷、防静电、通信工程</w:t>
            </w:r>
          </w:p>
          <w:p>
            <w:pPr>
              <w:pStyle w:val="14"/>
              <w:ind w:firstLine="480"/>
            </w:pPr>
            <w:r>
              <w:t>根据《汽车加油加气站设计与施工规范》（GB50156-2012）中相关设计要求，油罐须进行防雷接地，且接地点应大于等于2处。加油站的防雷接地、防静电接地、电气设备的工作接地、保护接地及信息系统的接地等，宜共用接地装置，其接地电阻不应大于4Ω；配线电缆金属外皮两端和保护钢管的接地装置的接地电阻不应大于10Ω，保护接地电阻不应大于4Ω。</w:t>
            </w:r>
          </w:p>
          <w:p>
            <w:pPr>
              <w:pStyle w:val="14"/>
              <w:ind w:firstLine="480"/>
            </w:pPr>
            <w:r>
              <w:t>加油的汽油罐车卸车场地，应设罐车卸车时用的防静电接地装置，其接地电阻不应大于100Ω。</w:t>
            </w:r>
          </w:p>
          <w:p>
            <w:pPr>
              <w:pStyle w:val="14"/>
              <w:ind w:firstLine="480"/>
            </w:pPr>
            <w:r>
              <w:t>该站已接电信局控制管理的程控电话交换，增设电信设施。营业厅安装1台电话机，利于生产管理，指挥方便，方便对外联络、及时呼救和报警。</w:t>
            </w:r>
          </w:p>
          <w:p>
            <w:pPr>
              <w:pStyle w:val="14"/>
              <w:ind w:firstLine="480"/>
            </w:pPr>
            <w:r>
              <w:t>（4）采暖通风工程</w:t>
            </w:r>
          </w:p>
          <w:p>
            <w:pPr>
              <w:pStyle w:val="14"/>
              <w:ind w:firstLine="480"/>
            </w:pPr>
            <w:r>
              <w:t>采用分体空调取暖制冷。</w:t>
            </w:r>
          </w:p>
          <w:p>
            <w:pPr>
              <w:pStyle w:val="14"/>
              <w:ind w:firstLine="480"/>
            </w:pPr>
            <w:r>
              <w:t>（5） 消防工程</w:t>
            </w:r>
          </w:p>
          <w:p>
            <w:pPr>
              <w:pStyle w:val="14"/>
              <w:bidi w:val="0"/>
              <w:rPr>
                <w:rFonts w:hint="default"/>
              </w:rPr>
            </w:pPr>
            <w:r>
              <w:rPr>
                <w:rFonts w:hint="default"/>
                <w:lang w:val="en-US" w:eastAsia="zh-CN"/>
              </w:rPr>
              <w:t>按《汽车加油加气加氢站技术标准》GB50156-2021 要求配备消防器材，拟配备35㎏手推式灭火器2个，8㎏手提式干粉灭火器8个，2㎏二氧化碳灭火器2个，灭火毯6床，消防沙2m³，消防桶4个，消防铲4把等。</w:t>
            </w:r>
          </w:p>
          <w:p>
            <w:pPr>
              <w:pStyle w:val="14"/>
              <w:ind w:firstLine="480"/>
            </w:pPr>
            <w:r>
              <w:t xml:space="preserve">（6）安全设施 </w:t>
            </w:r>
          </w:p>
          <w:p>
            <w:pPr>
              <w:pStyle w:val="14"/>
              <w:ind w:firstLine="480"/>
            </w:pPr>
            <w:r>
              <w:t xml:space="preserve">本站主要经营的油品为汽油、柴油属于易燃易爆危险品，目前加油站拟采取的措施如下： </w:t>
            </w:r>
          </w:p>
          <w:p>
            <w:pPr>
              <w:pStyle w:val="14"/>
              <w:ind w:firstLine="480"/>
            </w:pPr>
            <w:r>
              <w:t xml:space="preserve">①各建（构）筑物保持安全距离，安全通道出入口、电缆敷设及有关的重要设备，按有关规程确定设计原则及相应的防火防爆措施。 </w:t>
            </w:r>
          </w:p>
          <w:p>
            <w:pPr>
              <w:pStyle w:val="14"/>
              <w:ind w:firstLine="480"/>
            </w:pPr>
            <w:r>
              <w:t xml:space="preserve">②所有储运设备、工艺管线等均有防雷、防静电措施。 </w:t>
            </w:r>
          </w:p>
          <w:p>
            <w:pPr>
              <w:pStyle w:val="14"/>
              <w:ind w:firstLine="480"/>
            </w:pPr>
            <w:r>
              <w:t xml:space="preserve">③储罐区、加油区、站房等根据规范要求，拟设置一定数量的灭火器材。 </w:t>
            </w:r>
          </w:p>
          <w:p>
            <w:pPr>
              <w:pStyle w:val="14"/>
              <w:bidi w:val="0"/>
              <w:rPr>
                <w:rFonts w:hint="default" w:ascii="Times New Roman" w:hAnsi="Times New Roman" w:cs="Times New Roman"/>
              </w:rPr>
            </w:pPr>
            <w:r>
              <w:t>④防爆区电器设备、器材的选型、设计安装及维护按照《爆炸和火灾危险环境电力设置设计规范》的有关规定和要求进行设计</w:t>
            </w:r>
            <w:r>
              <w:rPr>
                <w:rFonts w:hint="default" w:ascii="Times New Roman" w:hAnsi="Times New Roman" w:cs="Times New Roman"/>
              </w:rPr>
              <w:t>。</w:t>
            </w:r>
          </w:p>
          <w:p>
            <w:pPr>
              <w:pStyle w:val="14"/>
              <w:ind w:firstLine="480"/>
            </w:pPr>
            <w:r>
              <w:t xml:space="preserve">9、工作时间与劳动定员 </w:t>
            </w:r>
          </w:p>
          <w:p>
            <w:pPr>
              <w:pStyle w:val="14"/>
              <w:ind w:firstLine="480"/>
            </w:pPr>
            <w:r>
              <w:t>①工作制度：采用每天</w:t>
            </w:r>
            <w:r>
              <w:rPr>
                <w:rFonts w:hint="eastAsia"/>
              </w:rPr>
              <w:t>3</w:t>
            </w:r>
            <w:r>
              <w:t>班制，每班工作</w:t>
            </w:r>
            <w:r>
              <w:rPr>
                <w:rFonts w:hint="eastAsia"/>
              </w:rPr>
              <w:t>8</w:t>
            </w:r>
            <w:r>
              <w:t xml:space="preserve">小时，年工作天数约365天。 </w:t>
            </w:r>
          </w:p>
          <w:p>
            <w:pPr>
              <w:pStyle w:val="14"/>
              <w:ind w:firstLine="480"/>
              <w:rPr>
                <w:rFonts w:hint="default" w:ascii="Times New Roman" w:hAnsi="Times New Roman" w:cs="Times New Roman"/>
              </w:rPr>
            </w:pPr>
            <w:r>
              <w:t>②劳动定员：</w:t>
            </w:r>
            <w:r>
              <w:rPr>
                <w:rFonts w:hint="eastAsia"/>
              </w:rPr>
              <w:t>本项目工作人员10人，员工均在站区食宿。</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4" w:type="pct"/>
            <w:noWrap w:val="0"/>
            <w:vAlign w:val="center"/>
          </w:tcPr>
          <w:p>
            <w:pPr>
              <w:pStyle w:val="28"/>
              <w:adjustRightInd w:val="0"/>
              <w:snapToGrid w:val="0"/>
              <w:spacing w:before="0" w:beforeAutospacing="0" w:after="0" w:afterAutospacing="0"/>
              <w:jc w:val="center"/>
              <w:rPr>
                <w:rFonts w:hint="default" w:ascii="Times New Roman" w:hAnsi="Times New Roman" w:cs="Times New Roman"/>
                <w:sz w:val="24"/>
                <w:szCs w:val="24"/>
              </w:rPr>
            </w:pPr>
            <w:r>
              <w:rPr>
                <w:rFonts w:hint="default" w:ascii="Times New Roman" w:hAnsi="Times New Roman" w:cs="Times New Roman"/>
                <w:sz w:val="24"/>
                <w:szCs w:val="24"/>
              </w:rPr>
              <w:t>工艺流程和产排污环节</w:t>
            </w:r>
          </w:p>
        </w:tc>
        <w:tc>
          <w:tcPr>
            <w:tcW w:w="4545" w:type="pct"/>
            <w:noWrap w:val="0"/>
            <w:vAlign w:val="top"/>
          </w:tcPr>
          <w:p>
            <w:pPr>
              <w:bidi w:val="0"/>
              <w:rPr>
                <w:rFonts w:hint="default" w:ascii="Times New Roman" w:hAnsi="Times New Roman" w:cs="Times New Roman"/>
                <w:lang w:eastAsia="zh-CN"/>
              </w:rPr>
            </w:pPr>
            <w:r>
              <w:rPr>
                <w:rFonts w:hint="default" w:ascii="Times New Roman" w:hAnsi="Times New Roman" w:cs="Times New Roman"/>
              </w:rPr>
              <w:t>工艺流程和产排污环节</w:t>
            </w:r>
            <w:r>
              <w:rPr>
                <w:rFonts w:hint="default" w:ascii="Times New Roman" w:hAnsi="Times New Roman" w:cs="Times New Roman"/>
                <w:lang w:eastAsia="zh-CN"/>
              </w:rPr>
              <w:t>：</w:t>
            </w:r>
          </w:p>
          <w:p>
            <w:pPr>
              <w:pStyle w:val="14"/>
              <w:numPr>
                <w:ilvl w:val="0"/>
                <w:numId w:val="5"/>
              </w:numPr>
              <w:bidi w:val="0"/>
              <w:rPr>
                <w:rFonts w:hint="default" w:ascii="Times New Roman" w:hAnsi="Times New Roman" w:cs="Times New Roman"/>
              </w:rPr>
            </w:pPr>
            <w:r>
              <w:rPr>
                <w:rFonts w:hint="default" w:ascii="Times New Roman" w:hAnsi="Times New Roman" w:cs="Times New Roman"/>
              </w:rPr>
              <w:t>施工期工艺流程和产污环节分析</w:t>
            </w:r>
          </w:p>
          <w:p>
            <w:pPr>
              <w:ind w:firstLine="480" w:firstLineChars="200"/>
            </w:pPr>
            <w:r>
              <w:t>工程施工期间的基础工程、主体工程、装饰工程、工程验收等建设工序将产生噪声、废气、固体废弃物、少量污水等污染，主要工艺流程分析见图1。</w:t>
            </w:r>
          </w:p>
          <w:p>
            <w:pPr>
              <w:pStyle w:val="14"/>
              <w:bidi w:val="0"/>
            </w:pPr>
            <w:r>
              <w:object>
                <v:shape id="_x0000_i1025" o:spt="75" type="#_x0000_t75" style="height:144.75pt;width:363.75pt;" o:ole="t" filled="f" o:preferrelative="t" stroked="f" coordsize="21600,21600">
                  <v:path/>
                  <v:fill on="f" focussize="0,0"/>
                  <v:stroke on="f" joinstyle="miter"/>
                  <v:imagedata r:id="rId15" o:title=""/>
                  <o:lock v:ext="edit" aspectratio="t"/>
                  <w10:wrap type="none"/>
                  <w10:anchorlock/>
                </v:shape>
                <o:OLEObject Type="Embed" ProgID="Visio.Drawing.11" ShapeID="_x0000_i1025" DrawAspect="Content" ObjectID="_1468075725" r:id="rId14">
                  <o:LockedField>false</o:LockedField>
                </o:OLEObject>
              </w:object>
            </w:r>
          </w:p>
          <w:p>
            <w:pPr>
              <w:pStyle w:val="36"/>
              <w:bidi w:val="0"/>
              <w:rPr>
                <w:rFonts w:hint="default" w:ascii="Times New Roman" w:hAnsi="Times New Roman" w:cs="Times New Roman"/>
              </w:rPr>
            </w:pPr>
            <w:r>
              <w:rPr>
                <w:rFonts w:hint="default" w:ascii="Times New Roman" w:hAnsi="Times New Roman" w:cs="Times New Roman"/>
              </w:rPr>
              <w:t>图</w:t>
            </w:r>
            <w:r>
              <w:rPr>
                <w:rFonts w:hint="default" w:ascii="Times New Roman" w:hAnsi="Times New Roman" w:cs="Times New Roman"/>
                <w:lang w:val="en-US" w:eastAsia="zh-CN"/>
              </w:rPr>
              <w:t>2.2</w:t>
            </w:r>
            <w:r>
              <w:rPr>
                <w:rFonts w:hint="default" w:ascii="Times New Roman" w:hAnsi="Times New Roman" w:cs="Times New Roman"/>
              </w:rPr>
              <w:t>-</w:t>
            </w:r>
            <w:r>
              <w:rPr>
                <w:rFonts w:hint="eastAsia" w:ascii="Times New Roman" w:hAnsi="Times New Roman" w:cs="Times New Roman"/>
                <w:lang w:val="en-US" w:eastAsia="zh-CN"/>
              </w:rPr>
              <w:t>1</w:t>
            </w:r>
            <w:r>
              <w:rPr>
                <w:rFonts w:hint="default" w:ascii="Times New Roman" w:hAnsi="Times New Roman" w:cs="Times New Roman"/>
              </w:rPr>
              <w:t xml:space="preserve"> 项目</w:t>
            </w:r>
            <w:r>
              <w:rPr>
                <w:rFonts w:hint="default" w:ascii="Times New Roman" w:hAnsi="Times New Roman" w:cs="Times New Roman"/>
                <w:lang w:eastAsia="zh-CN"/>
              </w:rPr>
              <w:t>运营期生产</w:t>
            </w:r>
            <w:r>
              <w:rPr>
                <w:rFonts w:hint="default" w:ascii="Times New Roman" w:hAnsi="Times New Roman" w:cs="Times New Roman"/>
              </w:rPr>
              <w:t>工艺及产污节点图</w:t>
            </w:r>
          </w:p>
          <w:p>
            <w:pPr>
              <w:pStyle w:val="14"/>
              <w:bidi w:val="0"/>
              <w:rPr>
                <w:rFonts w:hint="default" w:ascii="Times New Roman" w:hAnsi="Times New Roman" w:cs="Times New Roman"/>
              </w:rPr>
            </w:pPr>
            <w:r>
              <w:rPr>
                <w:rFonts w:hint="default" w:ascii="Times New Roman" w:hAnsi="Times New Roman" w:cs="Times New Roman"/>
              </w:rPr>
              <w:t>施工期工艺流程简介：</w:t>
            </w:r>
          </w:p>
          <w:p>
            <w:pPr>
              <w:pStyle w:val="14"/>
              <w:bidi w:val="0"/>
              <w:rPr>
                <w:rFonts w:hint="default" w:ascii="Times New Roman" w:hAnsi="Times New Roman" w:cs="Times New Roman"/>
              </w:rPr>
            </w:pPr>
            <w:r>
              <w:rPr>
                <w:rFonts w:hint="default" w:ascii="Times New Roman" w:hAnsi="Times New Roman" w:cs="Times New Roman"/>
              </w:rPr>
              <w:t>本项目施工过程以机械施工为主，大致分为基础施工、主体施工、装修、设备安装、验收运营五大阶段，不同阶段所采用的设备有所不同，项目施工人员均为周边村民，高峰现场施工人数约</w:t>
            </w:r>
            <w:r>
              <w:rPr>
                <w:rFonts w:hint="eastAsia" w:cs="Times New Roman"/>
                <w:lang w:val="en-US" w:eastAsia="zh-CN"/>
              </w:rPr>
              <w:t>2</w:t>
            </w:r>
            <w:r>
              <w:rPr>
                <w:rFonts w:hint="default" w:ascii="Times New Roman" w:hAnsi="Times New Roman" w:cs="Times New Roman"/>
              </w:rPr>
              <w:t>0人，不设施工营地，采用商品混凝土，不在场区设置混凝土拌合站，项目建设地内不建设大型的原料场，只设置小面积的临时原料堆场。项目不涉及征地拆迁，无环保拆迁。</w:t>
            </w:r>
          </w:p>
          <w:p>
            <w:pPr>
              <w:pStyle w:val="14"/>
              <w:bidi w:val="0"/>
              <w:rPr>
                <w:rFonts w:hint="default" w:ascii="Times New Roman" w:hAnsi="Times New Roman" w:cs="Times New Roman"/>
              </w:rPr>
            </w:pPr>
            <w:r>
              <w:rPr>
                <w:rFonts w:hint="default" w:ascii="Times New Roman" w:hAnsi="Times New Roman" w:cs="Times New Roman"/>
                <w:lang w:val="en-US" w:eastAsia="zh-CN"/>
              </w:rPr>
              <w:t>2、</w:t>
            </w:r>
            <w:r>
              <w:rPr>
                <w:rFonts w:hint="default" w:ascii="Times New Roman" w:hAnsi="Times New Roman" w:cs="Times New Roman"/>
              </w:rPr>
              <w:t>营运期工艺流程和产污环节分析</w:t>
            </w:r>
          </w:p>
          <w:p>
            <w:pPr>
              <w:pStyle w:val="14"/>
              <w:ind w:firstLine="480"/>
              <w:rPr>
                <w:rFonts w:asciiTheme="minorHAnsi"/>
              </w:rPr>
            </w:pPr>
            <w:r>
              <w:rPr>
                <w:rFonts w:hint="eastAsia" w:asciiTheme="minorHAnsi"/>
              </w:rPr>
              <w:t>本项目为成品油销售项目，营运期工艺流程及产污环节见下图。</w:t>
            </w:r>
          </w:p>
          <w:p>
            <w:pPr>
              <w:pStyle w:val="15"/>
              <w:ind w:left="0" w:leftChars="0" w:firstLine="0" w:firstLineChars="0"/>
              <w:jc w:val="center"/>
              <w:rPr>
                <w:rFonts w:asciiTheme="minorHAnsi"/>
              </w:rPr>
            </w:pPr>
            <w:r>
              <w:rPr>
                <w:rFonts w:asciiTheme="minorHAnsi"/>
              </w:rPr>
              <w:drawing>
                <wp:inline distT="0" distB="0" distL="114300" distR="114300">
                  <wp:extent cx="5015230" cy="1711325"/>
                  <wp:effectExtent l="0" t="0" r="13970" b="3175"/>
                  <wp:docPr id="9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
                          <pic:cNvPicPr>
                            <a:picLocks noChangeAspect="1"/>
                          </pic:cNvPicPr>
                        </pic:nvPicPr>
                        <pic:blipFill>
                          <a:blip r:embed="rId16" cstate="print"/>
                          <a:stretch>
                            <a:fillRect/>
                          </a:stretch>
                        </pic:blipFill>
                        <pic:spPr>
                          <a:xfrm>
                            <a:off x="0" y="0"/>
                            <a:ext cx="5015230" cy="1711325"/>
                          </a:xfrm>
                          <a:prstGeom prst="rect">
                            <a:avLst/>
                          </a:prstGeom>
                          <a:noFill/>
                          <a:ln>
                            <a:noFill/>
                          </a:ln>
                        </pic:spPr>
                      </pic:pic>
                    </a:graphicData>
                  </a:graphic>
                </wp:inline>
              </w:drawing>
            </w:r>
          </w:p>
          <w:p>
            <w:pPr>
              <w:pStyle w:val="36"/>
              <w:tabs>
                <w:tab w:val="left" w:pos="1021"/>
              </w:tabs>
            </w:pPr>
            <w:r>
              <w:rPr>
                <w:rFonts w:hint="eastAsia"/>
              </w:rPr>
              <w:t>图 2</w:t>
            </w:r>
            <w:r>
              <w:rPr>
                <w:rFonts w:hint="eastAsia"/>
                <w:lang w:val="en-US" w:eastAsia="zh-CN"/>
              </w:rPr>
              <w:t>.2</w:t>
            </w:r>
            <w:r>
              <w:rPr>
                <w:rFonts w:hint="eastAsia"/>
              </w:rPr>
              <w:t xml:space="preserve">-2 项目运营期工艺流程及产污示意图 </w:t>
            </w:r>
          </w:p>
          <w:p>
            <w:pPr>
              <w:pStyle w:val="14"/>
              <w:ind w:firstLine="480"/>
            </w:pPr>
            <w:r>
              <w:rPr>
                <w:rFonts w:hint="eastAsia"/>
              </w:rPr>
              <w:t>工艺流程简述：</w:t>
            </w:r>
          </w:p>
          <w:p>
            <w:pPr>
              <w:pStyle w:val="14"/>
              <w:ind w:firstLine="480"/>
            </w:pPr>
            <w:r>
              <w:rPr>
                <w:rFonts w:hint="eastAsia"/>
              </w:rPr>
              <w:t>（</w:t>
            </w:r>
            <w:r>
              <w:t>1</w:t>
            </w:r>
            <w:r>
              <w:rPr>
                <w:rFonts w:hint="eastAsia"/>
              </w:rPr>
              <w:t>）缷油</w:t>
            </w:r>
          </w:p>
          <w:p>
            <w:pPr>
              <w:pStyle w:val="14"/>
              <w:ind w:firstLine="480"/>
            </w:pPr>
            <w:r>
              <w:t>油罐车进站后，在确认油罐车安全设施齐全有效后，引导油罐车进入卸油场地，接好静电接地，备好消防器材</w:t>
            </w:r>
            <w:r>
              <w:rPr>
                <w:rFonts w:hint="eastAsia"/>
              </w:rPr>
              <w:t>；</w:t>
            </w:r>
            <w:r>
              <w:t>在油罐车熄火</w:t>
            </w:r>
            <w:r>
              <w:rPr>
                <w:rFonts w:hint="eastAsia"/>
              </w:rPr>
              <w:t>并</w:t>
            </w:r>
            <w:r>
              <w:t>静止15分钟后，作业人员方可计量验收作业</w:t>
            </w:r>
            <w:r>
              <w:rPr>
                <w:rFonts w:hint="eastAsia"/>
              </w:rPr>
              <w:t>；</w:t>
            </w:r>
            <w:r>
              <w:t>本站采用常压自流卸油方式，核对接卸油品的品种、牌号与油罐储存的油</w:t>
            </w:r>
            <w:r>
              <w:rPr>
                <w:rFonts w:hint="eastAsia"/>
              </w:rPr>
              <w:t>品</w:t>
            </w:r>
            <w:r>
              <w:t>品种、牌号一致后，连接卸油胶管，卸油快速接头应连接紧固，胶管保持自然弯曲</w:t>
            </w:r>
            <w:r>
              <w:rPr>
                <w:rFonts w:hint="eastAsia"/>
              </w:rPr>
              <w:t>；</w:t>
            </w:r>
            <w:r>
              <w:t>再一次核对卸油</w:t>
            </w:r>
            <w:r>
              <w:rPr>
                <w:rFonts w:hint="eastAsia"/>
              </w:rPr>
              <w:t>胶</w:t>
            </w:r>
            <w:r>
              <w:t>管连接正确后</w:t>
            </w:r>
            <w:r>
              <w:rPr>
                <w:rFonts w:hint="eastAsia"/>
              </w:rPr>
              <w:t>，</w:t>
            </w:r>
            <w:r>
              <w:t>停止与收油罐连接的加油机加油作业，缓缓开启卸油阀门卸油</w:t>
            </w:r>
            <w:r>
              <w:rPr>
                <w:rFonts w:hint="eastAsia"/>
              </w:rPr>
              <w:t>；</w:t>
            </w:r>
            <w:r>
              <w:t>卸油过程中，加</w:t>
            </w:r>
            <w:r>
              <w:rPr>
                <w:rFonts w:hint="eastAsia"/>
              </w:rPr>
              <w:t>油站</w:t>
            </w:r>
            <w:r>
              <w:t>接卸人员与司机必须同时在现场进行监护</w:t>
            </w:r>
            <w:r>
              <w:rPr>
                <w:rFonts w:hint="eastAsia"/>
              </w:rPr>
              <w:t>；</w:t>
            </w:r>
            <w:r>
              <w:t>卸油完毕，关闭卸油阀，拆</w:t>
            </w:r>
            <w:r>
              <w:rPr>
                <w:rFonts w:hint="eastAsia"/>
              </w:rPr>
              <w:t>卸</w:t>
            </w:r>
            <w:r>
              <w:t>卸油胶管，盖严卸油帽，整理好静电接地线。清理卸油现场，将消防器材等设备、工具</w:t>
            </w:r>
            <w:r>
              <w:rPr>
                <w:rFonts w:hint="eastAsia"/>
              </w:rPr>
              <w:t>归</w:t>
            </w:r>
            <w:r>
              <w:t>位。雷雨天不得进行卸油作业。</w:t>
            </w:r>
          </w:p>
          <w:p>
            <w:pPr>
              <w:pStyle w:val="14"/>
              <w:ind w:firstLine="480"/>
            </w:pPr>
            <w:r>
              <w:t>（2）加油</w:t>
            </w:r>
          </w:p>
          <w:p>
            <w:pPr>
              <w:pStyle w:val="14"/>
              <w:bidi w:val="0"/>
              <w:rPr>
                <w:rFonts w:hint="default" w:ascii="Times New Roman" w:hAnsi="Times New Roman" w:eastAsia="宋体" w:cs="Times New Roman"/>
                <w:bCs/>
                <w:szCs w:val="21"/>
                <w:lang w:val="en-US" w:eastAsia="zh-CN"/>
              </w:rPr>
            </w:pPr>
            <w:r>
              <w:t>项目储油罐安装直吸泵，通过直吸泵将油罐中的油输送到发油管道，然后通过电脑</w:t>
            </w:r>
            <w:r>
              <w:rPr>
                <w:rFonts w:hint="eastAsia"/>
              </w:rPr>
              <w:t>支流加油机完成车辆计量加油。</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4" w:type="pct"/>
            <w:noWrap w:val="0"/>
            <w:vAlign w:val="center"/>
          </w:tcPr>
          <w:p>
            <w:pPr>
              <w:pStyle w:val="28"/>
              <w:adjustRightInd w:val="0"/>
              <w:snapToGrid w:val="0"/>
              <w:spacing w:before="0" w:beforeAutospacing="0" w:after="0" w:afterAutospacing="0"/>
              <w:jc w:val="center"/>
              <w:rPr>
                <w:rFonts w:hint="default" w:ascii="Times New Roman" w:hAnsi="Times New Roman" w:cs="Times New Roman"/>
                <w:sz w:val="24"/>
                <w:szCs w:val="24"/>
              </w:rPr>
            </w:pPr>
            <w:r>
              <w:rPr>
                <w:rFonts w:hint="default" w:ascii="Times New Roman" w:hAnsi="Times New Roman" w:cs="Times New Roman"/>
                <w:bCs/>
                <w:kern w:val="2"/>
                <w:sz w:val="24"/>
                <w:szCs w:val="24"/>
              </w:rPr>
              <w:t>与项目有关的原有环境污染问题</w:t>
            </w:r>
          </w:p>
        </w:tc>
        <w:tc>
          <w:tcPr>
            <w:tcW w:w="4545" w:type="pct"/>
            <w:noWrap w:val="0"/>
            <w:vAlign w:val="center"/>
          </w:tcPr>
          <w:p>
            <w:pPr>
              <w:pStyle w:val="14"/>
              <w:bidi w:val="0"/>
              <w:rPr>
                <w:rFonts w:hint="default" w:ascii="Times New Roman" w:hAnsi="Times New Roman" w:cs="Times New Roman"/>
              </w:rPr>
            </w:pPr>
            <w:r>
              <w:rPr>
                <w:rFonts w:hint="default" w:ascii="Times New Roman" w:hAnsi="Times New Roman" w:cs="Times New Roman"/>
              </w:rPr>
              <w:t>项目为新建项目，不存在原有污染源。</w:t>
            </w:r>
          </w:p>
          <w:p>
            <w:pPr>
              <w:adjustRightInd w:val="0"/>
              <w:snapToGrid w:val="0"/>
              <w:jc w:val="center"/>
              <w:rPr>
                <w:rFonts w:hint="default" w:ascii="Times New Roman" w:hAnsi="Times New Roman" w:cs="Times New Roman"/>
                <w:bCs/>
                <w:szCs w:val="21"/>
              </w:rPr>
            </w:pPr>
          </w:p>
        </w:tc>
      </w:tr>
    </w:tbl>
    <w:p>
      <w:pPr>
        <w:pStyle w:val="28"/>
        <w:jc w:val="center"/>
        <w:rPr>
          <w:rFonts w:ascii="黑体" w:hAnsi="黑体" w:eastAsia="黑体"/>
          <w:snapToGrid w:val="0"/>
          <w:sz w:val="36"/>
          <w:szCs w:val="36"/>
        </w:rPr>
        <w:sectPr>
          <w:pgSz w:w="11906" w:h="16838"/>
          <w:pgMar w:top="1440" w:right="1800" w:bottom="1440" w:left="1800" w:header="851" w:footer="851" w:gutter="0"/>
          <w:pgNumType w:fmt="decimal"/>
          <w:cols w:space="720" w:num="1"/>
          <w:docGrid w:linePitch="312" w:charSpace="0"/>
        </w:sectPr>
      </w:pPr>
    </w:p>
    <w:p>
      <w:pPr>
        <w:pStyle w:val="7"/>
        <w:bidi w:val="0"/>
      </w:pPr>
      <w:bookmarkStart w:id="36" w:name="_Toc30356"/>
      <w:bookmarkStart w:id="37" w:name="_Toc26364"/>
      <w:bookmarkStart w:id="38" w:name="_Toc3134"/>
      <w:bookmarkStart w:id="39" w:name="_Toc8233"/>
      <w:bookmarkStart w:id="40" w:name="_Toc14951"/>
      <w:bookmarkStart w:id="41" w:name="_Toc28593"/>
      <w:bookmarkStart w:id="42" w:name="_Toc14285"/>
      <w:bookmarkStart w:id="43" w:name="_Toc30825"/>
      <w:bookmarkStart w:id="44" w:name="_Toc25546"/>
      <w:bookmarkStart w:id="45" w:name="_Toc21265"/>
      <w:bookmarkStart w:id="46" w:name="_Toc32221"/>
      <w:bookmarkStart w:id="47" w:name="_Toc3805"/>
      <w:bookmarkStart w:id="48" w:name="_Toc13426"/>
      <w:bookmarkStart w:id="49" w:name="_Toc26000"/>
      <w:bookmarkStart w:id="50" w:name="_Toc16839"/>
      <w:bookmarkStart w:id="51" w:name="_Toc18717"/>
      <w:r>
        <w:rPr>
          <w:rFonts w:hint="eastAsia"/>
        </w:rPr>
        <w:t>三、区域环境质量现状、环境保护目标及评价标准</w:t>
      </w:r>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p>
    <w:tbl>
      <w:tblPr>
        <w:tblStyle w:val="31"/>
        <w:tblW w:w="4999"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57"/>
        <w:gridCol w:w="776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4" w:type="pct"/>
            <w:noWrap w:val="0"/>
            <w:vAlign w:val="center"/>
          </w:tcPr>
          <w:p>
            <w:pPr>
              <w:adjustRightInd w:val="0"/>
              <w:snapToGrid w:val="0"/>
              <w:jc w:val="center"/>
              <w:rPr>
                <w:rFonts w:hint="eastAsia" w:ascii="宋体" w:hAnsi="宋体" w:cs="宋体"/>
                <w:kern w:val="0"/>
                <w:sz w:val="24"/>
                <w:szCs w:val="24"/>
              </w:rPr>
            </w:pPr>
            <w:r>
              <w:rPr>
                <w:rFonts w:hint="eastAsia" w:ascii="宋体" w:hAnsi="宋体" w:cs="宋体"/>
                <w:kern w:val="0"/>
                <w:sz w:val="24"/>
                <w:szCs w:val="24"/>
              </w:rPr>
              <w:t>区域</w:t>
            </w:r>
          </w:p>
          <w:p>
            <w:pPr>
              <w:adjustRightInd w:val="0"/>
              <w:snapToGrid w:val="0"/>
              <w:jc w:val="center"/>
              <w:rPr>
                <w:rFonts w:hint="eastAsia" w:ascii="宋体" w:hAnsi="宋体" w:cs="宋体"/>
                <w:kern w:val="0"/>
                <w:sz w:val="24"/>
                <w:szCs w:val="24"/>
              </w:rPr>
            </w:pPr>
            <w:r>
              <w:rPr>
                <w:rFonts w:hint="eastAsia" w:ascii="宋体" w:hAnsi="宋体" w:cs="宋体"/>
                <w:kern w:val="0"/>
                <w:sz w:val="24"/>
                <w:szCs w:val="24"/>
              </w:rPr>
              <w:t>环境</w:t>
            </w:r>
          </w:p>
          <w:p>
            <w:pPr>
              <w:adjustRightInd w:val="0"/>
              <w:snapToGrid w:val="0"/>
              <w:jc w:val="center"/>
              <w:rPr>
                <w:rFonts w:hint="eastAsia" w:ascii="宋体" w:hAnsi="宋体" w:cs="宋体"/>
                <w:kern w:val="0"/>
                <w:sz w:val="24"/>
                <w:szCs w:val="24"/>
              </w:rPr>
            </w:pPr>
            <w:r>
              <w:rPr>
                <w:rFonts w:hint="eastAsia" w:ascii="宋体" w:hAnsi="宋体" w:cs="宋体"/>
                <w:kern w:val="0"/>
                <w:sz w:val="24"/>
                <w:szCs w:val="24"/>
              </w:rPr>
              <w:t>质量</w:t>
            </w:r>
          </w:p>
          <w:p>
            <w:pPr>
              <w:adjustRightInd w:val="0"/>
              <w:snapToGrid w:val="0"/>
              <w:jc w:val="center"/>
              <w:rPr>
                <w:rFonts w:ascii="宋体" w:hAnsi="宋体" w:cs="宋体"/>
                <w:kern w:val="0"/>
                <w:szCs w:val="21"/>
              </w:rPr>
            </w:pPr>
            <w:r>
              <w:rPr>
                <w:rFonts w:hint="eastAsia" w:ascii="宋体" w:hAnsi="宋体" w:cs="宋体"/>
                <w:kern w:val="0"/>
                <w:sz w:val="24"/>
                <w:szCs w:val="24"/>
              </w:rPr>
              <w:t>现状</w:t>
            </w:r>
          </w:p>
        </w:tc>
        <w:tc>
          <w:tcPr>
            <w:tcW w:w="4555" w:type="pct"/>
            <w:noWrap w:val="0"/>
            <w:vAlign w:val="center"/>
          </w:tcPr>
          <w:p>
            <w:pPr>
              <w:pStyle w:val="14"/>
              <w:numPr>
                <w:ilvl w:val="0"/>
                <w:numId w:val="6"/>
              </w:numPr>
              <w:bidi w:val="0"/>
            </w:pPr>
            <w:r>
              <w:t>环境空气质量现状</w:t>
            </w:r>
          </w:p>
          <w:p>
            <w:pPr>
              <w:pStyle w:val="14"/>
              <w:bidi w:val="0"/>
            </w:pPr>
            <w:r>
              <w:t>（1）项目区域基本污染物环境质量现状及空气质量达标区判定</w:t>
            </w:r>
          </w:p>
          <w:p>
            <w:pPr>
              <w:pStyle w:val="14"/>
              <w:bidi w:val="0"/>
              <w:rPr>
                <w:rFonts w:hint="default"/>
              </w:rPr>
            </w:pPr>
            <w:r>
              <w:rPr>
                <w:rFonts w:hint="default"/>
              </w:rPr>
              <w:t>根据</w:t>
            </w:r>
            <w:r>
              <w:rPr>
                <w:rFonts w:hint="eastAsia"/>
                <w:lang w:val="en-US" w:eastAsia="zh-CN"/>
              </w:rPr>
              <w:t>衡阳市</w:t>
            </w:r>
            <w:r>
              <w:rPr>
                <w:rFonts w:hint="default"/>
                <w:lang w:val="en-US" w:eastAsia="zh-CN"/>
              </w:rPr>
              <w:t>生态环境局发布的</w:t>
            </w:r>
            <w:r>
              <w:rPr>
                <w:rFonts w:hint="default"/>
              </w:rPr>
              <w:t>《关于20</w:t>
            </w:r>
            <w:r>
              <w:rPr>
                <w:rFonts w:hint="eastAsia"/>
                <w:lang w:val="en-US" w:eastAsia="zh-CN"/>
              </w:rPr>
              <w:t>21</w:t>
            </w:r>
            <w:r>
              <w:rPr>
                <w:rFonts w:hint="default"/>
              </w:rPr>
              <w:t>年12月份及1~12月份全市环境质量状况的通报》</w:t>
            </w:r>
            <w:r>
              <w:rPr>
                <w:rFonts w:hint="eastAsia"/>
                <w:lang w:eastAsia="zh-CN"/>
              </w:rPr>
              <w:t>，</w:t>
            </w:r>
            <w:r>
              <w:rPr>
                <w:rFonts w:hint="eastAsia"/>
                <w:lang w:val="en-US" w:eastAsia="zh-CN"/>
              </w:rPr>
              <w:t>祁东县</w:t>
            </w:r>
            <w:r>
              <w:rPr>
                <w:rFonts w:hint="default"/>
              </w:rPr>
              <w:t>二氧化硫和二氧化氮年平均质量浓度、一氧化碳年评价浓度（第95百分位数）、臭氧年评价浓度（第90百分位数）</w:t>
            </w:r>
            <w:r>
              <w:rPr>
                <w:rFonts w:hint="eastAsia"/>
                <w:lang w:eastAsia="zh-CN"/>
              </w:rPr>
              <w:t>、</w:t>
            </w:r>
            <w:r>
              <w:rPr>
                <w:rFonts w:hint="default"/>
              </w:rPr>
              <w:t>细颗粒物（PM2.5）</w:t>
            </w:r>
            <w:r>
              <w:rPr>
                <w:rFonts w:hint="eastAsia"/>
                <w:lang w:val="en-US" w:eastAsia="zh-CN"/>
              </w:rPr>
              <w:t>和</w:t>
            </w:r>
            <w:r>
              <w:rPr>
                <w:rFonts w:hint="default"/>
              </w:rPr>
              <w:t>可吸入颗粒物（PM10）均达到《环境空气质量标准》（GB3095-2012）</w:t>
            </w:r>
            <w:r>
              <w:rPr>
                <w:rFonts w:hint="eastAsia"/>
                <w:lang w:val="en-US" w:eastAsia="zh-CN"/>
              </w:rPr>
              <w:t>及其修改单</w:t>
            </w:r>
            <w:r>
              <w:rPr>
                <w:rFonts w:hint="default"/>
              </w:rPr>
              <w:t>二级标准</w:t>
            </w:r>
            <w:r>
              <w:rPr>
                <w:rFonts w:hint="eastAsia"/>
                <w:lang w:eastAsia="zh-CN"/>
              </w:rPr>
              <w:t>，</w:t>
            </w:r>
            <w:r>
              <w:rPr>
                <w:rFonts w:hint="default"/>
              </w:rPr>
              <w:t>具体见</w:t>
            </w:r>
            <w:r>
              <w:rPr>
                <w:rFonts w:hint="eastAsia"/>
                <w:lang w:val="en-US" w:eastAsia="zh-CN"/>
              </w:rPr>
              <w:t>表3-1</w:t>
            </w:r>
            <w:r>
              <w:rPr>
                <w:rFonts w:hint="eastAsia"/>
                <w:lang w:eastAsia="zh-CN"/>
              </w:rPr>
              <w:t>，</w:t>
            </w:r>
            <w:r>
              <w:rPr>
                <w:rFonts w:hint="default"/>
              </w:rPr>
              <w:t>项目所在区域为达标区。</w:t>
            </w:r>
          </w:p>
          <w:p>
            <w:pPr>
              <w:keepNext w:val="0"/>
              <w:keepLines w:val="0"/>
              <w:pageBreakBefore w:val="0"/>
              <w:widowControl w:val="0"/>
              <w:kinsoku/>
              <w:wordWrap/>
              <w:overflowPunct/>
              <w:topLinePunct w:val="0"/>
              <w:autoSpaceDE w:val="0"/>
              <w:autoSpaceDN w:val="0"/>
              <w:bidi w:val="0"/>
              <w:adjustRightInd/>
              <w:snapToGrid/>
              <w:spacing w:line="360" w:lineRule="auto"/>
              <w:jc w:val="center"/>
              <w:textAlignment w:val="auto"/>
              <w:rPr>
                <w:rFonts w:hint="default" w:ascii="Times New Roman" w:hAnsi="Times New Roman" w:eastAsia="宋体" w:cs="Times New Roman"/>
                <w:b/>
                <w:i w:val="0"/>
                <w:iCs w:val="0"/>
                <w:color w:val="FF0000"/>
                <w:kern w:val="0"/>
                <w:szCs w:val="21"/>
                <w:u w:val="none" w:color="auto"/>
              </w:rPr>
            </w:pPr>
            <w:bookmarkStart w:id="52" w:name="_Ref528415780"/>
            <w:r>
              <w:rPr>
                <w:rStyle w:val="39"/>
                <w:rFonts w:hint="default"/>
              </w:rPr>
              <w:t>表</w:t>
            </w:r>
            <w:bookmarkEnd w:id="52"/>
            <w:r>
              <w:rPr>
                <w:rStyle w:val="39"/>
                <w:rFonts w:hint="eastAsia"/>
                <w:lang w:val="en-US" w:eastAsia="zh-CN"/>
              </w:rPr>
              <w:t>3.1-1</w:t>
            </w:r>
            <w:r>
              <w:rPr>
                <w:rStyle w:val="39"/>
                <w:rFonts w:hint="default"/>
              </w:rPr>
              <w:t xml:space="preserve">  区域空气质量现状评价表</w:t>
            </w:r>
            <w:r>
              <w:drawing>
                <wp:inline distT="0" distB="0" distL="114300" distR="114300">
                  <wp:extent cx="4879340" cy="3133725"/>
                  <wp:effectExtent l="0" t="0" r="16510" b="9525"/>
                  <wp:docPr id="1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2"/>
                          <pic:cNvPicPr>
                            <a:picLocks noChangeAspect="1"/>
                          </pic:cNvPicPr>
                        </pic:nvPicPr>
                        <pic:blipFill>
                          <a:blip r:embed="rId17"/>
                          <a:stretch>
                            <a:fillRect/>
                          </a:stretch>
                        </pic:blipFill>
                        <pic:spPr>
                          <a:xfrm>
                            <a:off x="0" y="0"/>
                            <a:ext cx="4879340" cy="3133725"/>
                          </a:xfrm>
                          <a:prstGeom prst="rect">
                            <a:avLst/>
                          </a:prstGeom>
                          <a:noFill/>
                          <a:ln>
                            <a:noFill/>
                          </a:ln>
                        </pic:spPr>
                      </pic:pic>
                    </a:graphicData>
                  </a:graphic>
                </wp:inline>
              </w:drawing>
            </w:r>
          </w:p>
          <w:p>
            <w:pPr>
              <w:pStyle w:val="14"/>
              <w:bidi w:val="0"/>
            </w:pPr>
            <w:r>
              <w:rPr>
                <w:rFonts w:hint="eastAsia"/>
                <w:lang w:eastAsia="zh-CN"/>
              </w:rPr>
              <w:t>（</w:t>
            </w:r>
            <w:r>
              <w:rPr>
                <w:rFonts w:hint="eastAsia"/>
                <w:lang w:val="en-US" w:eastAsia="zh-CN"/>
              </w:rPr>
              <w:t>2）</w:t>
            </w:r>
            <w:r>
              <w:rPr>
                <w:rFonts w:hint="eastAsia"/>
              </w:rPr>
              <w:t>特征污染物环境质量现状评价</w:t>
            </w:r>
          </w:p>
          <w:p>
            <w:pPr>
              <w:pStyle w:val="14"/>
              <w:ind w:firstLine="480"/>
            </w:pPr>
            <w:r>
              <w:t>为了解项目所在地区域环境空气质量</w:t>
            </w:r>
            <w:r>
              <w:rPr>
                <w:rFonts w:hint="eastAsia"/>
                <w:lang w:val="en-US" w:eastAsia="zh-CN"/>
              </w:rPr>
              <w:t>TVOC</w:t>
            </w:r>
            <w:r>
              <w:t>情况，</w:t>
            </w:r>
            <w:r>
              <w:rPr>
                <w:lang w:val="zh-CN"/>
              </w:rPr>
              <w:t>本评价委</w:t>
            </w:r>
            <w:r>
              <w:t>托湖南</w:t>
            </w:r>
            <w:r>
              <w:rPr>
                <w:rFonts w:hint="eastAsia"/>
                <w:lang w:eastAsia="zh-CN"/>
              </w:rPr>
              <w:t>中额</w:t>
            </w:r>
            <w:r>
              <w:t>环保科技有限公司对项目所在地的大气环境质量现状中</w:t>
            </w:r>
            <w:r>
              <w:rPr>
                <w:rFonts w:hint="eastAsia"/>
                <w:lang w:val="en-US" w:eastAsia="zh-CN"/>
              </w:rPr>
              <w:t>TVOC</w:t>
            </w:r>
            <w:r>
              <w:t>进行了监测。</w:t>
            </w:r>
          </w:p>
          <w:p>
            <w:pPr>
              <w:pStyle w:val="14"/>
              <w:ind w:firstLine="480"/>
            </w:pPr>
            <w:r>
              <w:t>监测时间</w:t>
            </w:r>
            <w:r>
              <w:rPr>
                <w:rFonts w:hint="eastAsia"/>
                <w:lang w:eastAsia="zh-CN"/>
              </w:rPr>
              <w:t>：</w:t>
            </w:r>
            <w:r>
              <w:rPr>
                <w:rFonts w:hint="eastAsia"/>
                <w:lang w:val="en-US" w:eastAsia="zh-CN"/>
              </w:rPr>
              <w:t>2023</w:t>
            </w:r>
            <w:r>
              <w:t>年</w:t>
            </w:r>
            <w:r>
              <w:rPr>
                <w:rFonts w:hint="eastAsia"/>
                <w:lang w:val="en-US" w:eastAsia="zh-CN"/>
              </w:rPr>
              <w:t>4</w:t>
            </w:r>
            <w:r>
              <w:t>月</w:t>
            </w:r>
            <w:r>
              <w:rPr>
                <w:rFonts w:hint="eastAsia"/>
                <w:lang w:val="en-US" w:eastAsia="zh-CN"/>
              </w:rPr>
              <w:t>23</w:t>
            </w:r>
            <w:r>
              <w:t>日~</w:t>
            </w:r>
            <w:r>
              <w:rPr>
                <w:rFonts w:hint="eastAsia"/>
                <w:lang w:val="en-US" w:eastAsia="zh-CN"/>
              </w:rPr>
              <w:t>4</w:t>
            </w:r>
            <w:r>
              <w:t>月</w:t>
            </w:r>
            <w:r>
              <w:rPr>
                <w:rFonts w:hint="eastAsia"/>
                <w:lang w:val="en-US" w:eastAsia="zh-CN"/>
              </w:rPr>
              <w:t>25</w:t>
            </w:r>
            <w:r>
              <w:t>日；</w:t>
            </w:r>
          </w:p>
          <w:p>
            <w:pPr>
              <w:pStyle w:val="14"/>
              <w:bidi w:val="0"/>
              <w:rPr>
                <w:rFonts w:hint="eastAsia"/>
                <w:lang w:val="en-US" w:eastAsia="zh-CN"/>
              </w:rPr>
            </w:pPr>
            <w:r>
              <w:t>监测点</w:t>
            </w:r>
            <w:r>
              <w:rPr>
                <w:rFonts w:hint="eastAsia"/>
                <w:lang w:eastAsia="zh-CN"/>
              </w:rPr>
              <w:t>位</w:t>
            </w:r>
            <w:r>
              <w:t>：</w:t>
            </w:r>
            <w:r>
              <w:rPr>
                <w:rFonts w:hint="eastAsia"/>
              </w:rPr>
              <w:t>G1</w:t>
            </w:r>
            <w:r>
              <w:rPr>
                <w:rFonts w:hint="default"/>
                <w:lang w:val="en-US" w:eastAsia="zh-CN"/>
              </w:rPr>
              <w:t>项目</w:t>
            </w:r>
            <w:r>
              <w:rPr>
                <w:rFonts w:hint="eastAsia"/>
                <w:lang w:val="en-US" w:eastAsia="zh-CN"/>
              </w:rPr>
              <w:t>厂界</w:t>
            </w:r>
            <w:r>
              <w:rPr>
                <w:rFonts w:hint="default"/>
                <w:lang w:val="en-US" w:eastAsia="zh-CN"/>
              </w:rPr>
              <w:t>下风向</w:t>
            </w:r>
            <w:r>
              <w:rPr>
                <w:rFonts w:hint="eastAsia"/>
                <w:lang w:val="en-US" w:eastAsia="zh-CN"/>
              </w:rPr>
              <w:t>；</w:t>
            </w:r>
          </w:p>
          <w:p>
            <w:pPr>
              <w:pStyle w:val="14"/>
              <w:bidi w:val="0"/>
            </w:pPr>
            <w:r>
              <w:t>监测因子</w:t>
            </w:r>
            <w:r>
              <w:rPr>
                <w:rFonts w:hint="eastAsia"/>
                <w:lang w:eastAsia="zh-CN"/>
              </w:rPr>
              <w:t>：</w:t>
            </w:r>
            <w:r>
              <w:rPr>
                <w:rFonts w:hint="eastAsia"/>
                <w:lang w:val="en-US" w:eastAsia="zh-CN"/>
              </w:rPr>
              <w:t>TVOC</w:t>
            </w:r>
            <w:r>
              <w:t>；</w:t>
            </w:r>
          </w:p>
          <w:p>
            <w:pPr>
              <w:pStyle w:val="14"/>
              <w:bidi w:val="0"/>
            </w:pPr>
            <w:r>
              <w:t>评价标准：</w:t>
            </w:r>
            <w:r>
              <w:rPr>
                <w:rFonts w:hint="eastAsia"/>
                <w:lang w:val="en-US" w:eastAsia="zh-CN"/>
              </w:rPr>
              <w:t>TVOC</w:t>
            </w:r>
            <w:r>
              <w:t>执行</w:t>
            </w:r>
            <w:r>
              <w:rPr>
                <w:rFonts w:hint="default" w:ascii="Times New Roman" w:hAnsi="Times New Roman" w:cs="Times New Roman"/>
                <w:lang w:val="en-US"/>
              </w:rPr>
              <w:t>《环境影响评</w:t>
            </w:r>
            <w:r>
              <w:rPr>
                <w:rFonts w:hint="eastAsia" w:ascii="Times New Roman" w:hAnsi="Times New Roman" w:cs="Times New Roman"/>
                <w:lang w:val="en-US" w:eastAsia="zh-CN"/>
              </w:rPr>
              <w:t>价</w:t>
            </w:r>
            <w:r>
              <w:rPr>
                <w:rFonts w:hint="default" w:ascii="Times New Roman" w:hAnsi="Times New Roman" w:cs="Times New Roman"/>
                <w:lang w:val="en-US"/>
              </w:rPr>
              <w:t>技术导则大气环境》（HJ2.2-2018）附录D中的</w:t>
            </w:r>
            <w:r>
              <w:rPr>
                <w:rFonts w:hint="eastAsia" w:ascii="Times New Roman" w:hAnsi="Times New Roman" w:cs="Times New Roman"/>
                <w:lang w:val="en-US" w:eastAsia="zh-CN"/>
              </w:rPr>
              <w:t>标准</w:t>
            </w:r>
            <w:r>
              <w:rPr>
                <w:rFonts w:hint="default" w:ascii="Times New Roman" w:hAnsi="Times New Roman" w:cs="Times New Roman"/>
                <w:lang w:val="en-US"/>
              </w:rPr>
              <w:t>值</w:t>
            </w:r>
            <w:r>
              <w:t>。监测结果见下表。</w:t>
            </w:r>
          </w:p>
          <w:p>
            <w:pPr>
              <w:pStyle w:val="36"/>
              <w:bidi w:val="0"/>
              <w:rPr>
                <w:rFonts w:hint="eastAsia"/>
              </w:rPr>
            </w:pPr>
            <w:r>
              <w:rPr>
                <w:rFonts w:hint="eastAsia"/>
              </w:rPr>
              <w:t>表</w:t>
            </w:r>
            <w:r>
              <w:t>3</w:t>
            </w:r>
            <w:r>
              <w:rPr>
                <w:rFonts w:hint="eastAsia"/>
                <w:lang w:val="en-US" w:eastAsia="zh-CN"/>
              </w:rPr>
              <w:t>.1</w:t>
            </w:r>
            <w:r>
              <w:t>-</w:t>
            </w:r>
            <w:r>
              <w:rPr>
                <w:rFonts w:hint="eastAsia"/>
              </w:rPr>
              <w:t>2</w:t>
            </w:r>
            <w:r>
              <w:t>其他</w:t>
            </w:r>
            <w:r>
              <w:rPr>
                <w:rFonts w:hint="eastAsia"/>
              </w:rPr>
              <w:t>污染物环境质量现状（监测结果）表</w:t>
            </w:r>
          </w:p>
          <w:tbl>
            <w:tblPr>
              <w:tblStyle w:val="3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90"/>
              <w:gridCol w:w="23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442" w:type="pct"/>
                  <w:vMerge w:val="restart"/>
                  <w:tcBorders>
                    <w:tl2br w:val="nil"/>
                    <w:tr2bl w:val="nil"/>
                  </w:tcBorders>
                  <w:noWrap/>
                  <w:vAlign w:val="center"/>
                </w:tcPr>
                <w:p>
                  <w:pPr>
                    <w:pStyle w:val="35"/>
                    <w:bidi w:val="0"/>
                  </w:pPr>
                  <w:r>
                    <w:rPr>
                      <w:rFonts w:hint="eastAsia"/>
                    </w:rPr>
                    <w:t>监测</w:t>
                  </w:r>
                  <w:r>
                    <w:t>日期</w:t>
                  </w:r>
                </w:p>
              </w:tc>
              <w:tc>
                <w:tcPr>
                  <w:tcW w:w="1557" w:type="pct"/>
                  <w:tcBorders>
                    <w:tl2br w:val="nil"/>
                    <w:tr2bl w:val="nil"/>
                  </w:tcBorders>
                  <w:noWrap/>
                  <w:vAlign w:val="center"/>
                </w:tcPr>
                <w:p>
                  <w:pPr>
                    <w:pStyle w:val="35"/>
                    <w:bidi w:val="0"/>
                  </w:pPr>
                  <w:r>
                    <w:rPr>
                      <w:rFonts w:hint="eastAsia"/>
                      <w:lang w:val="en-US" w:eastAsia="zh-CN"/>
                    </w:rPr>
                    <w:t>TVOC</w:t>
                  </w:r>
                  <w:r>
                    <w:t>（单位：mg/m³）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442" w:type="pct"/>
                  <w:vMerge w:val="continue"/>
                  <w:tcBorders>
                    <w:tl2br w:val="nil"/>
                    <w:tr2bl w:val="nil"/>
                  </w:tcBorders>
                  <w:noWrap/>
                  <w:vAlign w:val="center"/>
                </w:tcPr>
                <w:p>
                  <w:pPr>
                    <w:pStyle w:val="35"/>
                    <w:bidi w:val="0"/>
                  </w:pPr>
                </w:p>
              </w:tc>
              <w:tc>
                <w:tcPr>
                  <w:tcW w:w="1557" w:type="pct"/>
                  <w:tcBorders>
                    <w:tl2br w:val="nil"/>
                    <w:tr2bl w:val="nil"/>
                  </w:tcBorders>
                  <w:noWrap/>
                  <w:vAlign w:val="center"/>
                </w:tcPr>
                <w:p>
                  <w:pPr>
                    <w:pStyle w:val="35"/>
                    <w:bidi w:val="0"/>
                  </w:pPr>
                  <w:r>
                    <w:rPr>
                      <w:rFonts w:hint="eastAsia"/>
                      <w:lang w:val="en-US" w:eastAsia="zh-CN"/>
                    </w:rPr>
                    <w:t>G1</w:t>
                  </w:r>
                  <w:r>
                    <w:rPr>
                      <w:rFonts w:hint="default"/>
                      <w:lang w:val="en-US" w:eastAsia="zh-CN"/>
                    </w:rPr>
                    <w:t>项目</w:t>
                  </w:r>
                  <w:r>
                    <w:rPr>
                      <w:rFonts w:hint="eastAsia"/>
                      <w:lang w:val="en-US" w:eastAsia="zh-CN"/>
                    </w:rPr>
                    <w:t>厂界</w:t>
                  </w:r>
                  <w:r>
                    <w:rPr>
                      <w:rFonts w:hint="default"/>
                      <w:lang w:val="en-US" w:eastAsia="zh-CN"/>
                    </w:rPr>
                    <w:t>下风向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42" w:type="pct"/>
                  <w:tcBorders>
                    <w:tl2br w:val="nil"/>
                    <w:tr2bl w:val="nil"/>
                  </w:tcBorders>
                  <w:noWrap/>
                  <w:vAlign w:val="center"/>
                </w:tcPr>
                <w:p>
                  <w:pPr>
                    <w:pStyle w:val="35"/>
                    <w:bidi w:val="0"/>
                    <w:rPr>
                      <w:rFonts w:hint="default" w:ascii="Times New Roman" w:hAnsi="Times New Roman" w:eastAsia="宋体" w:cs="Times New Roman"/>
                      <w:kern w:val="0"/>
                      <w:sz w:val="21"/>
                      <w:szCs w:val="21"/>
                      <w:lang w:val="en-US" w:eastAsia="zh-CN" w:bidi="ar-SA"/>
                    </w:rPr>
                  </w:pPr>
                  <w:r>
                    <w:rPr>
                      <w:rFonts w:hint="eastAsia"/>
                      <w:lang w:val="en-US" w:eastAsia="zh-CN"/>
                    </w:rPr>
                    <w:t>2023.4.23</w:t>
                  </w:r>
                </w:p>
              </w:tc>
              <w:tc>
                <w:tcPr>
                  <w:tcW w:w="1557" w:type="pct"/>
                  <w:tcBorders>
                    <w:tl2br w:val="nil"/>
                    <w:tr2bl w:val="nil"/>
                  </w:tcBorders>
                  <w:noWrap/>
                  <w:vAlign w:val="center"/>
                </w:tcPr>
                <w:p>
                  <w:pPr>
                    <w:pStyle w:val="35"/>
                    <w:bidi w:val="0"/>
                    <w:rPr>
                      <w:rFonts w:hint="default" w:ascii="Times New Roman" w:hAnsi="Times New Roman" w:eastAsia="宋体" w:cs="Times New Roman"/>
                      <w:kern w:val="0"/>
                      <w:sz w:val="21"/>
                      <w:szCs w:val="21"/>
                      <w:lang w:val="en-US" w:eastAsia="zh-CN" w:bidi="ar-SA"/>
                    </w:rPr>
                  </w:pPr>
                  <w:r>
                    <w:rPr>
                      <w:rFonts w:hint="eastAsia"/>
                      <w:lang w:val="en-US" w:eastAsia="zh-CN"/>
                    </w:rPr>
                    <w:t>0.1021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42" w:type="pct"/>
                  <w:tcBorders>
                    <w:tl2br w:val="nil"/>
                    <w:tr2bl w:val="nil"/>
                  </w:tcBorders>
                  <w:noWrap/>
                  <w:vAlign w:val="center"/>
                </w:tcPr>
                <w:p>
                  <w:pPr>
                    <w:pStyle w:val="35"/>
                    <w:bidi w:val="0"/>
                    <w:rPr>
                      <w:rFonts w:hint="default" w:ascii="Times New Roman" w:hAnsi="Times New Roman" w:eastAsia="宋体" w:cs="Times New Roman"/>
                      <w:kern w:val="0"/>
                      <w:sz w:val="21"/>
                      <w:szCs w:val="21"/>
                      <w:lang w:val="en-US" w:eastAsia="zh-CN" w:bidi="ar-SA"/>
                    </w:rPr>
                  </w:pPr>
                  <w:r>
                    <w:rPr>
                      <w:rFonts w:hint="eastAsia"/>
                      <w:lang w:val="en-US" w:eastAsia="zh-CN"/>
                    </w:rPr>
                    <w:t>2023.4.24</w:t>
                  </w:r>
                </w:p>
              </w:tc>
              <w:tc>
                <w:tcPr>
                  <w:tcW w:w="1557" w:type="pct"/>
                  <w:tcBorders>
                    <w:tl2br w:val="nil"/>
                    <w:tr2bl w:val="nil"/>
                  </w:tcBorders>
                  <w:noWrap/>
                  <w:vAlign w:val="center"/>
                </w:tcPr>
                <w:p>
                  <w:pPr>
                    <w:pStyle w:val="35"/>
                    <w:bidi w:val="0"/>
                    <w:rPr>
                      <w:rFonts w:hint="default" w:ascii="Times New Roman" w:hAnsi="Times New Roman" w:eastAsia="宋体" w:cs="Times New Roman"/>
                      <w:kern w:val="0"/>
                      <w:sz w:val="21"/>
                      <w:szCs w:val="21"/>
                      <w:lang w:val="en-US" w:eastAsia="zh-CN" w:bidi="ar-SA"/>
                    </w:rPr>
                  </w:pPr>
                  <w:r>
                    <w:rPr>
                      <w:rFonts w:hint="eastAsia"/>
                      <w:lang w:val="en-US" w:eastAsia="zh-CN"/>
                    </w:rPr>
                    <w:t>0.1047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42" w:type="pct"/>
                  <w:tcBorders>
                    <w:tl2br w:val="nil"/>
                    <w:tr2bl w:val="nil"/>
                  </w:tcBorders>
                  <w:noWrap/>
                  <w:vAlign w:val="center"/>
                </w:tcPr>
                <w:p>
                  <w:pPr>
                    <w:pStyle w:val="35"/>
                    <w:bidi w:val="0"/>
                    <w:rPr>
                      <w:rFonts w:hint="default" w:ascii="Times New Roman" w:hAnsi="Times New Roman" w:eastAsia="宋体" w:cs="Times New Roman"/>
                      <w:kern w:val="0"/>
                      <w:sz w:val="21"/>
                      <w:szCs w:val="21"/>
                      <w:lang w:val="en-US" w:eastAsia="zh-CN" w:bidi="ar-SA"/>
                    </w:rPr>
                  </w:pPr>
                  <w:r>
                    <w:rPr>
                      <w:rFonts w:hint="eastAsia"/>
                      <w:lang w:val="en-US" w:eastAsia="zh-CN"/>
                    </w:rPr>
                    <w:t>2023.4.25</w:t>
                  </w:r>
                </w:p>
              </w:tc>
              <w:tc>
                <w:tcPr>
                  <w:tcW w:w="1557" w:type="pct"/>
                  <w:tcBorders>
                    <w:tl2br w:val="nil"/>
                    <w:tr2bl w:val="nil"/>
                  </w:tcBorders>
                  <w:noWrap/>
                  <w:vAlign w:val="center"/>
                </w:tcPr>
                <w:p>
                  <w:pPr>
                    <w:pStyle w:val="35"/>
                    <w:bidi w:val="0"/>
                    <w:rPr>
                      <w:rFonts w:hint="default" w:ascii="Times New Roman" w:hAnsi="Times New Roman" w:eastAsia="宋体" w:cs="Times New Roman"/>
                      <w:kern w:val="0"/>
                      <w:sz w:val="21"/>
                      <w:szCs w:val="21"/>
                      <w:lang w:val="en-US" w:eastAsia="zh-CN" w:bidi="ar-SA"/>
                    </w:rPr>
                  </w:pPr>
                  <w:r>
                    <w:rPr>
                      <w:rFonts w:hint="eastAsia"/>
                      <w:lang w:val="en-US" w:eastAsia="zh-CN"/>
                    </w:rPr>
                    <w:t>0.0750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42" w:type="pct"/>
                  <w:tcBorders>
                    <w:tl2br w:val="nil"/>
                    <w:tr2bl w:val="nil"/>
                  </w:tcBorders>
                  <w:noWrap/>
                  <w:vAlign w:val="center"/>
                </w:tcPr>
                <w:p>
                  <w:pPr>
                    <w:pStyle w:val="35"/>
                    <w:bidi w:val="0"/>
                    <w:rPr>
                      <w:rFonts w:hint="default" w:eastAsia="宋体"/>
                      <w:lang w:val="en-US" w:eastAsia="zh-CN"/>
                    </w:rPr>
                  </w:pPr>
                  <w:r>
                    <w:rPr>
                      <w:rFonts w:hint="eastAsia"/>
                      <w:lang w:val="en-US" w:eastAsia="zh-CN"/>
                    </w:rPr>
                    <w:t>标准限值</w:t>
                  </w:r>
                </w:p>
              </w:tc>
              <w:tc>
                <w:tcPr>
                  <w:tcW w:w="1557" w:type="pct"/>
                  <w:tcBorders>
                    <w:tl2br w:val="nil"/>
                    <w:tr2bl w:val="nil"/>
                  </w:tcBorders>
                  <w:noWrap/>
                  <w:vAlign w:val="center"/>
                </w:tcPr>
                <w:p>
                  <w:pPr>
                    <w:pStyle w:val="35"/>
                    <w:bidi w:val="0"/>
                    <w:rPr>
                      <w:rFonts w:hint="default" w:eastAsia="宋体"/>
                      <w:lang w:val="en-US" w:eastAsia="zh-CN"/>
                    </w:rPr>
                  </w:pPr>
                  <w:r>
                    <w:rPr>
                      <w:rFonts w:hint="eastAsia"/>
                      <w:lang w:val="en-US" w:eastAsia="zh-CN"/>
                    </w:rPr>
                    <w:t>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42" w:type="pct"/>
                  <w:tcBorders>
                    <w:tl2br w:val="nil"/>
                    <w:tr2bl w:val="nil"/>
                  </w:tcBorders>
                  <w:noWrap/>
                  <w:vAlign w:val="center"/>
                </w:tcPr>
                <w:p>
                  <w:pPr>
                    <w:pStyle w:val="35"/>
                    <w:bidi w:val="0"/>
                  </w:pPr>
                  <w:r>
                    <w:rPr>
                      <w:rFonts w:hint="eastAsia"/>
                    </w:rPr>
                    <w:t>监测值范围</w:t>
                  </w:r>
                </w:p>
              </w:tc>
              <w:tc>
                <w:tcPr>
                  <w:tcW w:w="1557" w:type="pct"/>
                  <w:tcBorders>
                    <w:tl2br w:val="nil"/>
                    <w:tr2bl w:val="nil"/>
                  </w:tcBorders>
                  <w:noWrap/>
                  <w:vAlign w:val="center"/>
                </w:tcPr>
                <w:p>
                  <w:pPr>
                    <w:pStyle w:val="35"/>
                    <w:bidi w:val="0"/>
                    <w:rPr>
                      <w:rFonts w:hint="default"/>
                      <w:lang w:val="en-US" w:eastAsia="zh-CN"/>
                    </w:rPr>
                  </w:pPr>
                  <w:r>
                    <w:rPr>
                      <w:rFonts w:hint="eastAsia"/>
                      <w:lang w:val="en-US" w:eastAsia="zh-CN"/>
                    </w:rPr>
                    <w:t>0.075</w:t>
                  </w:r>
                  <w:r>
                    <w:t>~</w:t>
                  </w:r>
                  <w:r>
                    <w:rPr>
                      <w:rFonts w:hint="eastAsia"/>
                      <w:lang w:val="en-US" w:eastAsia="zh-CN"/>
                    </w:rPr>
                    <w:t>0.1047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42" w:type="pct"/>
                  <w:tcBorders>
                    <w:tl2br w:val="nil"/>
                    <w:tr2bl w:val="nil"/>
                  </w:tcBorders>
                  <w:noWrap/>
                  <w:vAlign w:val="center"/>
                </w:tcPr>
                <w:p>
                  <w:pPr>
                    <w:pStyle w:val="35"/>
                    <w:bidi w:val="0"/>
                  </w:pPr>
                  <w:r>
                    <w:rPr>
                      <w:rFonts w:hint="eastAsia"/>
                    </w:rPr>
                    <w:t>指数范围</w:t>
                  </w:r>
                </w:p>
              </w:tc>
              <w:tc>
                <w:tcPr>
                  <w:tcW w:w="1557" w:type="pct"/>
                  <w:tcBorders>
                    <w:tl2br w:val="nil"/>
                    <w:tr2bl w:val="nil"/>
                  </w:tcBorders>
                  <w:noWrap/>
                  <w:vAlign w:val="center"/>
                </w:tcPr>
                <w:p>
                  <w:pPr>
                    <w:pStyle w:val="35"/>
                    <w:bidi w:val="0"/>
                    <w:rPr>
                      <w:rFonts w:hint="default" w:eastAsia="宋体"/>
                      <w:lang w:val="en-US" w:eastAsia="zh-CN"/>
                    </w:rPr>
                  </w:pPr>
                  <w:r>
                    <w:rPr>
                      <w:rFonts w:hint="eastAsia"/>
                      <w:lang w:val="en-US" w:eastAsia="zh-CN"/>
                    </w:rPr>
                    <w:t>0.125</w:t>
                  </w:r>
                  <w:r>
                    <w:t>~</w:t>
                  </w:r>
                  <w:r>
                    <w:rPr>
                      <w:rFonts w:hint="eastAsia"/>
                      <w:lang w:val="en-US" w:eastAsia="zh-CN"/>
                    </w:rPr>
                    <w:t>0.1745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42" w:type="pct"/>
                  <w:tcBorders>
                    <w:tl2br w:val="nil"/>
                    <w:tr2bl w:val="nil"/>
                  </w:tcBorders>
                  <w:noWrap/>
                  <w:vAlign w:val="center"/>
                </w:tcPr>
                <w:p>
                  <w:pPr>
                    <w:pStyle w:val="35"/>
                    <w:bidi w:val="0"/>
                  </w:pPr>
                  <w:r>
                    <w:rPr>
                      <w:rFonts w:hint="eastAsia"/>
                    </w:rPr>
                    <w:t>超标率</w:t>
                  </w:r>
                </w:p>
              </w:tc>
              <w:tc>
                <w:tcPr>
                  <w:tcW w:w="1557" w:type="pct"/>
                  <w:tcBorders>
                    <w:tl2br w:val="nil"/>
                    <w:tr2bl w:val="nil"/>
                  </w:tcBorders>
                  <w:noWrap/>
                  <w:vAlign w:val="center"/>
                </w:tcPr>
                <w:p>
                  <w:pPr>
                    <w:pStyle w:val="35"/>
                    <w:bidi w:val="0"/>
                  </w:pPr>
                  <w:r>
                    <w:rPr>
                      <w:rFonts w:hint="eastAsia"/>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42" w:type="pct"/>
                  <w:tcBorders>
                    <w:tl2br w:val="nil"/>
                    <w:tr2bl w:val="nil"/>
                  </w:tcBorders>
                  <w:noWrap/>
                  <w:vAlign w:val="center"/>
                </w:tcPr>
                <w:p>
                  <w:pPr>
                    <w:pStyle w:val="35"/>
                    <w:bidi w:val="0"/>
                  </w:pPr>
                  <w:r>
                    <w:rPr>
                      <w:rFonts w:hint="eastAsia"/>
                    </w:rPr>
                    <w:t>最大超标倍数</w:t>
                  </w:r>
                </w:p>
              </w:tc>
              <w:tc>
                <w:tcPr>
                  <w:tcW w:w="1557" w:type="pct"/>
                  <w:tcBorders>
                    <w:tl2br w:val="nil"/>
                    <w:tr2bl w:val="nil"/>
                  </w:tcBorders>
                  <w:noWrap/>
                  <w:vAlign w:val="center"/>
                </w:tcPr>
                <w:p>
                  <w:pPr>
                    <w:pStyle w:val="35"/>
                    <w:bidi w:val="0"/>
                  </w:pPr>
                  <w:r>
                    <w:rPr>
                      <w:rFonts w:hint="eastAsia"/>
                    </w:rPr>
                    <w:t>0</w:t>
                  </w:r>
                </w:p>
              </w:tc>
            </w:tr>
          </w:tbl>
          <w:p>
            <w:pPr>
              <w:pStyle w:val="14"/>
              <w:ind w:firstLine="480"/>
              <w:rPr>
                <w:szCs w:val="22"/>
              </w:rPr>
            </w:pPr>
            <w:r>
              <w:rPr>
                <w:rFonts w:hint="eastAsia"/>
                <w:szCs w:val="22"/>
              </w:rPr>
              <w:t>根据大气环境质量现状监测结果表明，区域环境空气监测指标</w:t>
            </w:r>
            <w:r>
              <w:rPr>
                <w:rFonts w:hint="eastAsia"/>
                <w:lang w:val="en-US" w:eastAsia="zh-CN"/>
              </w:rPr>
              <w:t>TVOC</w:t>
            </w:r>
            <w:r>
              <w:rPr>
                <w:rFonts w:hint="eastAsia"/>
                <w:szCs w:val="22"/>
              </w:rPr>
              <w:t>符合</w:t>
            </w:r>
            <w:r>
              <w:rPr>
                <w:rFonts w:hint="default"/>
                <w:lang w:val="en-US"/>
              </w:rPr>
              <w:t>《环境影响评</w:t>
            </w:r>
            <w:r>
              <w:rPr>
                <w:rFonts w:hint="eastAsia"/>
                <w:lang w:val="en-US" w:eastAsia="zh-CN"/>
              </w:rPr>
              <w:t>价</w:t>
            </w:r>
            <w:r>
              <w:rPr>
                <w:rFonts w:hint="default"/>
                <w:lang w:val="en-US"/>
              </w:rPr>
              <w:t>技术导则大气环境》（HJ2.2-2018）附录D中的</w:t>
            </w:r>
            <w:r>
              <w:rPr>
                <w:rFonts w:hint="eastAsia"/>
                <w:lang w:val="en-US" w:eastAsia="zh-CN"/>
              </w:rPr>
              <w:t>标准</w:t>
            </w:r>
            <w:r>
              <w:rPr>
                <w:rFonts w:hint="default"/>
                <w:lang w:val="en-US"/>
              </w:rPr>
              <w:t>值</w:t>
            </w:r>
            <w:r>
              <w:rPr>
                <w:rFonts w:hint="eastAsia"/>
                <w:szCs w:val="22"/>
              </w:rPr>
              <w:t>要求。</w:t>
            </w:r>
          </w:p>
          <w:p>
            <w:pPr>
              <w:pStyle w:val="14"/>
              <w:ind w:firstLine="480"/>
            </w:pPr>
            <w:r>
              <w:t>2、水环境质量现状</w:t>
            </w:r>
          </w:p>
          <w:p>
            <w:pPr>
              <w:keepNext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left"/>
              <w:textAlignment w:val="auto"/>
              <w:rPr>
                <w:rFonts w:hint="default" w:ascii="Times New Roman" w:hAnsi="Times New Roman" w:eastAsia="宋体" w:cs="Times New Roman"/>
                <w:i w:val="0"/>
                <w:iCs w:val="0"/>
                <w:color w:val="auto"/>
                <w:spacing w:val="0"/>
                <w:position w:val="0"/>
                <w:sz w:val="24"/>
                <w:szCs w:val="24"/>
                <w:u w:val="none" w:color="auto"/>
                <w:lang w:val="en-US" w:eastAsia="zh-CN"/>
              </w:rPr>
            </w:pPr>
            <w:r>
              <w:rPr>
                <w:rFonts w:hint="default" w:ascii="Times New Roman" w:hAnsi="Times New Roman" w:eastAsia="宋体" w:cs="Times New Roman"/>
                <w:i w:val="0"/>
                <w:iCs w:val="0"/>
                <w:color w:val="auto"/>
                <w:spacing w:val="0"/>
                <w:position w:val="0"/>
                <w:sz w:val="24"/>
                <w:szCs w:val="24"/>
                <w:u w:val="none" w:color="auto"/>
                <w:lang w:val="en-US" w:eastAsia="zh-CN"/>
              </w:rPr>
              <w:t>本项目周边最近的地表水体为</w:t>
            </w:r>
            <w:r>
              <w:rPr>
                <w:rFonts w:hint="eastAsia" w:ascii="Times New Roman" w:hAnsi="Times New Roman" w:eastAsia="宋体" w:cs="Times New Roman"/>
                <w:i w:val="0"/>
                <w:iCs w:val="0"/>
                <w:color w:val="auto"/>
                <w:spacing w:val="0"/>
                <w:position w:val="0"/>
                <w:sz w:val="24"/>
                <w:szCs w:val="24"/>
                <w:u w:val="none" w:color="auto"/>
                <w:lang w:val="en-US" w:eastAsia="zh-CN"/>
              </w:rPr>
              <w:t>北面的石门水库</w:t>
            </w:r>
            <w:r>
              <w:rPr>
                <w:rFonts w:hint="default" w:ascii="Times New Roman" w:hAnsi="Times New Roman" w:eastAsia="宋体" w:cs="Times New Roman"/>
                <w:i w:val="0"/>
                <w:iCs w:val="0"/>
                <w:color w:val="auto"/>
                <w:spacing w:val="0"/>
                <w:position w:val="0"/>
                <w:sz w:val="24"/>
                <w:szCs w:val="24"/>
                <w:u w:val="none" w:color="auto"/>
                <w:lang w:val="en-US" w:eastAsia="zh-CN"/>
              </w:rPr>
              <w:t>，距离本项目最近的地表水监测断面为</w:t>
            </w:r>
            <w:r>
              <w:rPr>
                <w:rFonts w:hint="eastAsia" w:ascii="Times New Roman" w:hAnsi="Times New Roman" w:eastAsia="宋体" w:cs="Times New Roman"/>
                <w:i w:val="0"/>
                <w:iCs w:val="0"/>
                <w:color w:val="auto"/>
                <w:spacing w:val="0"/>
                <w:position w:val="0"/>
                <w:sz w:val="24"/>
                <w:szCs w:val="24"/>
                <w:u w:val="none" w:color="auto"/>
                <w:lang w:val="en-US" w:eastAsia="zh-CN"/>
              </w:rPr>
              <w:t>石门水库</w:t>
            </w:r>
            <w:r>
              <w:rPr>
                <w:rFonts w:hint="default" w:ascii="Times New Roman" w:hAnsi="Times New Roman" w:eastAsia="宋体" w:cs="Times New Roman"/>
                <w:i w:val="0"/>
                <w:iCs w:val="0"/>
                <w:color w:val="auto"/>
                <w:spacing w:val="0"/>
                <w:position w:val="0"/>
                <w:sz w:val="24"/>
                <w:szCs w:val="24"/>
                <w:u w:val="none" w:color="auto"/>
                <w:lang w:val="en-US" w:eastAsia="zh-CN"/>
              </w:rPr>
              <w:t>监测断面，据</w:t>
            </w:r>
            <w:r>
              <w:rPr>
                <w:rFonts w:hint="eastAsia" w:ascii="Times New Roman" w:hAnsi="Times New Roman" w:eastAsia="宋体" w:cs="Times New Roman"/>
                <w:i w:val="0"/>
                <w:iCs w:val="0"/>
                <w:color w:val="auto"/>
                <w:spacing w:val="0"/>
                <w:position w:val="0"/>
                <w:sz w:val="24"/>
                <w:szCs w:val="24"/>
                <w:u w:val="none" w:color="auto"/>
                <w:lang w:val="en-US" w:eastAsia="zh-CN"/>
              </w:rPr>
              <w:t>衡阳市</w:t>
            </w:r>
            <w:r>
              <w:rPr>
                <w:rFonts w:hint="default" w:ascii="Times New Roman" w:hAnsi="Times New Roman" w:eastAsia="宋体" w:cs="Times New Roman"/>
                <w:i w:val="0"/>
                <w:iCs w:val="0"/>
                <w:color w:val="auto"/>
                <w:spacing w:val="0"/>
                <w:position w:val="0"/>
                <w:sz w:val="24"/>
                <w:szCs w:val="24"/>
                <w:u w:val="none" w:color="auto"/>
                <w:lang w:val="en-US" w:eastAsia="zh-CN"/>
              </w:rPr>
              <w:t>生态环境局发布的《关于20</w:t>
            </w:r>
            <w:r>
              <w:rPr>
                <w:rFonts w:hint="eastAsia" w:ascii="Times New Roman" w:hAnsi="Times New Roman" w:eastAsia="宋体" w:cs="Times New Roman"/>
                <w:i w:val="0"/>
                <w:iCs w:val="0"/>
                <w:color w:val="auto"/>
                <w:spacing w:val="0"/>
                <w:position w:val="0"/>
                <w:sz w:val="24"/>
                <w:szCs w:val="24"/>
                <w:u w:val="none" w:color="auto"/>
                <w:lang w:val="en-US" w:eastAsia="zh-CN"/>
              </w:rPr>
              <w:t>21</w:t>
            </w:r>
            <w:r>
              <w:rPr>
                <w:rFonts w:hint="default" w:ascii="Times New Roman" w:hAnsi="Times New Roman" w:eastAsia="宋体" w:cs="Times New Roman"/>
                <w:i w:val="0"/>
                <w:iCs w:val="0"/>
                <w:color w:val="auto"/>
                <w:spacing w:val="0"/>
                <w:position w:val="0"/>
                <w:sz w:val="24"/>
                <w:szCs w:val="24"/>
                <w:u w:val="none" w:color="auto"/>
                <w:lang w:val="en-US" w:eastAsia="zh-CN"/>
              </w:rPr>
              <w:t>年12月及1~12月全市环境质量状况的通报》可知其水质监测情况如下</w:t>
            </w:r>
            <w:r>
              <w:rPr>
                <w:rFonts w:hint="eastAsia" w:ascii="Times New Roman" w:hAnsi="Times New Roman" w:eastAsia="宋体" w:cs="Times New Roman"/>
                <w:i w:val="0"/>
                <w:iCs w:val="0"/>
                <w:color w:val="auto"/>
                <w:spacing w:val="0"/>
                <w:position w:val="0"/>
                <w:sz w:val="24"/>
                <w:szCs w:val="24"/>
                <w:u w:val="none" w:color="auto"/>
                <w:lang w:val="en-US" w:eastAsia="zh-CN"/>
              </w:rPr>
              <w:t>图</w:t>
            </w:r>
            <w:r>
              <w:rPr>
                <w:rFonts w:hint="default" w:ascii="Times New Roman" w:hAnsi="Times New Roman" w:eastAsia="宋体" w:cs="Times New Roman"/>
                <w:i w:val="0"/>
                <w:iCs w:val="0"/>
                <w:color w:val="auto"/>
                <w:spacing w:val="0"/>
                <w:position w:val="0"/>
                <w:sz w:val="24"/>
                <w:szCs w:val="24"/>
                <w:u w:val="none" w:color="auto"/>
                <w:lang w:val="en-US" w:eastAsia="zh-CN"/>
              </w:rPr>
              <w:t>所示</w:t>
            </w:r>
            <w:r>
              <w:rPr>
                <w:rFonts w:hint="eastAsia" w:ascii="Times New Roman" w:hAnsi="Times New Roman" w:eastAsia="宋体" w:cs="Times New Roman"/>
                <w:i w:val="0"/>
                <w:iCs w:val="0"/>
                <w:color w:val="auto"/>
                <w:spacing w:val="0"/>
                <w:position w:val="0"/>
                <w:sz w:val="24"/>
                <w:szCs w:val="24"/>
                <w:u w:val="none" w:color="auto"/>
                <w:lang w:val="en-US" w:eastAsia="zh-CN"/>
              </w:rPr>
              <w:t>。</w:t>
            </w:r>
          </w:p>
          <w:p>
            <w:pPr>
              <w:keepNext w:val="0"/>
              <w:pageBreakBefore w:val="0"/>
              <w:widowControl w:val="0"/>
              <w:kinsoku/>
              <w:wordWrap/>
              <w:overflowPunct/>
              <w:topLinePunct w:val="0"/>
              <w:autoSpaceDE/>
              <w:autoSpaceDN/>
              <w:bidi w:val="0"/>
              <w:adjustRightInd/>
              <w:snapToGrid/>
              <w:spacing w:line="360" w:lineRule="auto"/>
              <w:ind w:right="0" w:rightChars="0"/>
              <w:jc w:val="left"/>
              <w:textAlignment w:val="auto"/>
              <w:rPr>
                <w:rFonts w:hint="default" w:ascii="Times New Roman" w:hAnsi="Times New Roman" w:eastAsia="宋体" w:cs="Times New Roman"/>
                <w:i w:val="0"/>
                <w:iCs w:val="0"/>
                <w:color w:val="FF0000"/>
                <w:spacing w:val="0"/>
                <w:position w:val="0"/>
                <w:sz w:val="24"/>
                <w:szCs w:val="24"/>
                <w:u w:val="none" w:color="auto"/>
                <w:lang w:val="en-US" w:eastAsia="zh-CN"/>
              </w:rPr>
            </w:pPr>
            <w:r>
              <w:drawing>
                <wp:inline distT="0" distB="0" distL="114300" distR="114300">
                  <wp:extent cx="5297170" cy="3348990"/>
                  <wp:effectExtent l="0" t="0" r="17780" b="3810"/>
                  <wp:docPr id="2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3"/>
                          <pic:cNvPicPr>
                            <a:picLocks noChangeAspect="1"/>
                          </pic:cNvPicPr>
                        </pic:nvPicPr>
                        <pic:blipFill>
                          <a:blip r:embed="rId18"/>
                          <a:stretch>
                            <a:fillRect/>
                          </a:stretch>
                        </pic:blipFill>
                        <pic:spPr>
                          <a:xfrm>
                            <a:off x="0" y="0"/>
                            <a:ext cx="5297170" cy="3348990"/>
                          </a:xfrm>
                          <a:prstGeom prst="rect">
                            <a:avLst/>
                          </a:prstGeom>
                          <a:noFill/>
                          <a:ln>
                            <a:noFill/>
                          </a:ln>
                        </pic:spPr>
                      </pic:pic>
                    </a:graphicData>
                  </a:graphic>
                </wp:inline>
              </w:drawing>
            </w:r>
          </w:p>
          <w:p>
            <w:pPr>
              <w:pStyle w:val="14"/>
              <w:bidi w:val="0"/>
              <w:rPr>
                <w:rFonts w:hint="default"/>
                <w:lang w:val="en-US" w:eastAsia="zh-CN"/>
              </w:rPr>
            </w:pPr>
            <w:r>
              <w:rPr>
                <w:rFonts w:hint="default"/>
                <w:lang w:val="en-US" w:eastAsia="zh-CN"/>
              </w:rPr>
              <w:t>根据上</w:t>
            </w:r>
            <w:r>
              <w:rPr>
                <w:rFonts w:hint="eastAsia"/>
                <w:lang w:val="en-US" w:eastAsia="zh-CN"/>
              </w:rPr>
              <w:t>图</w:t>
            </w:r>
            <w:r>
              <w:rPr>
                <w:rFonts w:hint="default"/>
                <w:lang w:val="en-US" w:eastAsia="zh-CN"/>
              </w:rPr>
              <w:t>可知，监测断面水质满足《地表水环境质量标准》（GB3838-2002）</w:t>
            </w:r>
            <w:r>
              <w:rPr>
                <w:rFonts w:hint="eastAsia"/>
                <w:lang w:val="en-US" w:eastAsia="zh-CN"/>
              </w:rPr>
              <w:t>Ⅱ</w:t>
            </w:r>
            <w:r>
              <w:rPr>
                <w:rFonts w:hint="default"/>
                <w:lang w:val="en-US" w:eastAsia="zh-CN"/>
              </w:rPr>
              <w:t>类标准的要求，项目所在区域地表水环境质量现状较好。</w:t>
            </w:r>
          </w:p>
          <w:p>
            <w:r>
              <w:t>3、声环境质量现状</w:t>
            </w:r>
          </w:p>
          <w:p>
            <w:pPr>
              <w:pStyle w:val="14"/>
              <w:bidi w:val="0"/>
            </w:pPr>
            <w:r>
              <w:rPr>
                <w:rFonts w:hint="eastAsia"/>
              </w:rPr>
              <w:t>本评价委托了</w:t>
            </w:r>
            <w:r>
              <w:t>湖南</w:t>
            </w:r>
            <w:r>
              <w:rPr>
                <w:rFonts w:hint="eastAsia"/>
                <w:lang w:eastAsia="zh-CN"/>
              </w:rPr>
              <w:t>中额</w:t>
            </w:r>
            <w:r>
              <w:t>环保科技有限公司</w:t>
            </w:r>
            <w:r>
              <w:rPr>
                <w:rFonts w:hint="eastAsia"/>
              </w:rPr>
              <w:t>于</w:t>
            </w:r>
            <w:r>
              <w:t>20</w:t>
            </w:r>
            <w:r>
              <w:rPr>
                <w:rFonts w:hint="eastAsia"/>
              </w:rPr>
              <w:t>2</w:t>
            </w:r>
            <w:r>
              <w:rPr>
                <w:rFonts w:hint="eastAsia"/>
                <w:lang w:val="en-US" w:eastAsia="zh-CN"/>
              </w:rPr>
              <w:t>3</w:t>
            </w:r>
            <w:r>
              <w:rPr>
                <w:rFonts w:hint="eastAsia"/>
              </w:rPr>
              <w:t>年</w:t>
            </w:r>
            <w:r>
              <w:rPr>
                <w:rFonts w:hint="eastAsia"/>
                <w:lang w:val="en-US" w:eastAsia="zh-CN"/>
              </w:rPr>
              <w:t>4</w:t>
            </w:r>
            <w:r>
              <w:rPr>
                <w:rFonts w:hint="eastAsia"/>
              </w:rPr>
              <w:t>月对</w:t>
            </w:r>
            <w:r>
              <w:rPr>
                <w:rFonts w:hint="eastAsia"/>
                <w:lang w:val="en-US" w:eastAsia="zh-CN"/>
              </w:rPr>
              <w:t>加油站东南侧约25m处</w:t>
            </w:r>
            <w:r>
              <w:rPr>
                <w:rFonts w:hint="eastAsia"/>
              </w:rPr>
              <w:t>进行的现场监测，项目场界声环境现状监测数据如下表所示。</w:t>
            </w:r>
          </w:p>
          <w:p>
            <w:pPr>
              <w:pStyle w:val="36"/>
              <w:tabs>
                <w:tab w:val="left" w:pos="1021"/>
              </w:tabs>
            </w:pPr>
            <w:r>
              <w:rPr>
                <w:rFonts w:hint="eastAsia"/>
              </w:rPr>
              <w:t>表</w:t>
            </w:r>
            <w:r>
              <w:t>3</w:t>
            </w:r>
            <w:r>
              <w:rPr>
                <w:rFonts w:hint="eastAsia"/>
                <w:lang w:val="en-US" w:eastAsia="zh-CN"/>
              </w:rPr>
              <w:t>.1</w:t>
            </w:r>
            <w:r>
              <w:t>-</w:t>
            </w:r>
            <w:r>
              <w:rPr>
                <w:rFonts w:hint="eastAsia"/>
                <w:lang w:val="en-US" w:eastAsia="zh-CN"/>
              </w:rPr>
              <w:t>4</w:t>
            </w:r>
            <w:r>
              <w:rPr>
                <w:rFonts w:hint="eastAsia"/>
              </w:rPr>
              <w:t>项目场界声环境现状监测数据</w:t>
            </w:r>
            <w:r>
              <w:t xml:space="preserve">  </w:t>
            </w:r>
            <w:r>
              <w:rPr>
                <w:rFonts w:hint="eastAsia"/>
              </w:rPr>
              <w:t>单位：</w:t>
            </w:r>
            <w:r>
              <w:t>dB(A)</w:t>
            </w:r>
          </w:p>
          <w:tbl>
            <w:tblPr>
              <w:tblStyle w:val="3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23"/>
              <w:gridCol w:w="2812"/>
              <w:gridCol w:w="1687"/>
              <w:gridCol w:w="16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944" w:type="pct"/>
                  <w:vMerge w:val="restart"/>
                  <w:tcBorders>
                    <w:tl2br w:val="nil"/>
                    <w:tr2bl w:val="nil"/>
                  </w:tcBorders>
                  <w:noWrap w:val="0"/>
                  <w:vAlign w:val="center"/>
                </w:tcPr>
                <w:p>
                  <w:pPr>
                    <w:pStyle w:val="35"/>
                    <w:bidi w:val="0"/>
                    <w:rPr>
                      <w:rFonts w:hint="default"/>
                    </w:rPr>
                  </w:pPr>
                  <w:r>
                    <w:rPr>
                      <w:rFonts w:hint="default"/>
                      <w:lang w:eastAsia="zh-CN"/>
                    </w:rPr>
                    <w:t>监测</w:t>
                  </w:r>
                  <w:r>
                    <w:rPr>
                      <w:rFonts w:hint="default"/>
                    </w:rPr>
                    <w:t>日期</w:t>
                  </w:r>
                </w:p>
              </w:tc>
              <w:tc>
                <w:tcPr>
                  <w:tcW w:w="1865" w:type="pct"/>
                  <w:vMerge w:val="restart"/>
                  <w:tcBorders>
                    <w:tl2br w:val="nil"/>
                    <w:tr2bl w:val="nil"/>
                  </w:tcBorders>
                  <w:noWrap w:val="0"/>
                  <w:vAlign w:val="center"/>
                </w:tcPr>
                <w:p>
                  <w:pPr>
                    <w:pStyle w:val="35"/>
                    <w:bidi w:val="0"/>
                    <w:rPr>
                      <w:rFonts w:hint="default"/>
                    </w:rPr>
                  </w:pPr>
                  <w:r>
                    <w:rPr>
                      <w:rFonts w:hint="default"/>
                      <w:lang w:eastAsia="zh-CN"/>
                    </w:rPr>
                    <w:t>监测</w:t>
                  </w:r>
                  <w:r>
                    <w:rPr>
                      <w:rFonts w:hint="default"/>
                    </w:rPr>
                    <w:t>点位</w:t>
                  </w:r>
                </w:p>
              </w:tc>
              <w:tc>
                <w:tcPr>
                  <w:tcW w:w="2190" w:type="pct"/>
                  <w:gridSpan w:val="2"/>
                  <w:tcBorders>
                    <w:tl2br w:val="nil"/>
                    <w:tr2bl w:val="nil"/>
                  </w:tcBorders>
                  <w:noWrap w:val="0"/>
                  <w:vAlign w:val="center"/>
                </w:tcPr>
                <w:p>
                  <w:pPr>
                    <w:pStyle w:val="35"/>
                    <w:bidi w:val="0"/>
                    <w:rPr>
                      <w:rFonts w:hint="default"/>
                    </w:rPr>
                  </w:pPr>
                  <w:r>
                    <w:rPr>
                      <w:rFonts w:hint="default"/>
                    </w:rPr>
                    <w:t>测量值</w:t>
                  </w:r>
                  <w:r>
                    <w:rPr>
                      <w:rFonts w:hint="default"/>
                      <w:lang w:val="en-US" w:eastAsia="zh-CN"/>
                    </w:rPr>
                    <w:t>[</w:t>
                  </w:r>
                  <w:r>
                    <w:rPr>
                      <w:rFonts w:hint="default"/>
                    </w:rPr>
                    <w:t>dB(A)</w:t>
                  </w:r>
                  <w:r>
                    <w:rPr>
                      <w:rFonts w:hint="default"/>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944" w:type="pct"/>
                  <w:vMerge w:val="continue"/>
                  <w:tcBorders>
                    <w:tl2br w:val="nil"/>
                    <w:tr2bl w:val="nil"/>
                  </w:tcBorders>
                  <w:noWrap w:val="0"/>
                  <w:vAlign w:val="center"/>
                </w:tcPr>
                <w:p>
                  <w:pPr>
                    <w:pStyle w:val="35"/>
                    <w:bidi w:val="0"/>
                    <w:rPr>
                      <w:rFonts w:hint="default"/>
                    </w:rPr>
                  </w:pPr>
                </w:p>
              </w:tc>
              <w:tc>
                <w:tcPr>
                  <w:tcW w:w="1865" w:type="pct"/>
                  <w:vMerge w:val="continue"/>
                  <w:tcBorders>
                    <w:tl2br w:val="nil"/>
                    <w:tr2bl w:val="nil"/>
                  </w:tcBorders>
                  <w:noWrap w:val="0"/>
                  <w:vAlign w:val="center"/>
                </w:tcPr>
                <w:p>
                  <w:pPr>
                    <w:pStyle w:val="35"/>
                    <w:bidi w:val="0"/>
                    <w:rPr>
                      <w:rFonts w:hint="default"/>
                    </w:rPr>
                  </w:pPr>
                </w:p>
              </w:tc>
              <w:tc>
                <w:tcPr>
                  <w:tcW w:w="1119" w:type="pct"/>
                  <w:tcBorders>
                    <w:tl2br w:val="nil"/>
                    <w:tr2bl w:val="nil"/>
                  </w:tcBorders>
                  <w:noWrap w:val="0"/>
                  <w:vAlign w:val="center"/>
                </w:tcPr>
                <w:p>
                  <w:pPr>
                    <w:pStyle w:val="35"/>
                    <w:bidi w:val="0"/>
                    <w:rPr>
                      <w:rFonts w:hint="eastAsia"/>
                      <w:lang w:eastAsia="zh-CN"/>
                    </w:rPr>
                  </w:pPr>
                  <w:r>
                    <w:rPr>
                      <w:rFonts w:hint="default"/>
                    </w:rPr>
                    <w:t>昼间</w:t>
                  </w:r>
                </w:p>
              </w:tc>
              <w:tc>
                <w:tcPr>
                  <w:tcW w:w="1070" w:type="pct"/>
                  <w:tcBorders>
                    <w:tl2br w:val="nil"/>
                    <w:tr2bl w:val="nil"/>
                  </w:tcBorders>
                  <w:noWrap w:val="0"/>
                  <w:vAlign w:val="center"/>
                </w:tcPr>
                <w:p>
                  <w:pPr>
                    <w:pStyle w:val="35"/>
                    <w:bidi w:val="0"/>
                    <w:rPr>
                      <w:rFonts w:hint="eastAsia"/>
                      <w:lang w:eastAsia="zh-CN"/>
                    </w:rPr>
                  </w:pPr>
                  <w:r>
                    <w:rPr>
                      <w:rFonts w:hint="eastAsia"/>
                      <w:lang w:eastAsia="zh-CN"/>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4" w:type="pct"/>
                  <w:tcBorders>
                    <w:tl2br w:val="nil"/>
                    <w:tr2bl w:val="nil"/>
                  </w:tcBorders>
                  <w:noWrap w:val="0"/>
                  <w:vAlign w:val="center"/>
                </w:tcPr>
                <w:p>
                  <w:pPr>
                    <w:pStyle w:val="35"/>
                    <w:bidi w:val="0"/>
                    <w:rPr>
                      <w:rFonts w:hint="default"/>
                      <w:lang w:val="en-US" w:eastAsia="zh-CN"/>
                    </w:rPr>
                  </w:pPr>
                  <w:r>
                    <w:rPr>
                      <w:rFonts w:hint="eastAsia"/>
                      <w:lang w:val="en-US" w:eastAsia="zh-CN"/>
                    </w:rPr>
                    <w:t>2023.4.23</w:t>
                  </w:r>
                </w:p>
              </w:tc>
              <w:tc>
                <w:tcPr>
                  <w:tcW w:w="1865" w:type="pct"/>
                  <w:tcBorders>
                    <w:tl2br w:val="nil"/>
                    <w:tr2bl w:val="nil"/>
                  </w:tcBorders>
                  <w:noWrap w:val="0"/>
                  <w:vAlign w:val="center"/>
                </w:tcPr>
                <w:p>
                  <w:pPr>
                    <w:pStyle w:val="35"/>
                    <w:bidi w:val="0"/>
                    <w:rPr>
                      <w:rFonts w:hint="default"/>
                      <w:lang w:val="en-US" w:eastAsia="zh-CN"/>
                    </w:rPr>
                  </w:pPr>
                  <w:r>
                    <w:rPr>
                      <w:rFonts w:hint="eastAsia"/>
                      <w:lang w:val="en-US" w:eastAsia="zh-CN"/>
                    </w:rPr>
                    <w:t>N1加油站东南侧约25m处</w:t>
                  </w:r>
                </w:p>
              </w:tc>
              <w:tc>
                <w:tcPr>
                  <w:tcW w:w="1119" w:type="pct"/>
                  <w:tcBorders>
                    <w:tl2br w:val="nil"/>
                    <w:tr2bl w:val="nil"/>
                  </w:tcBorders>
                  <w:noWrap w:val="0"/>
                  <w:vAlign w:val="center"/>
                </w:tcPr>
                <w:p>
                  <w:pPr>
                    <w:pStyle w:val="35"/>
                    <w:bidi w:val="0"/>
                    <w:rPr>
                      <w:rFonts w:hint="default"/>
                      <w:lang w:val="en-US" w:eastAsia="zh-CN"/>
                    </w:rPr>
                  </w:pPr>
                  <w:r>
                    <w:rPr>
                      <w:rFonts w:hint="eastAsia"/>
                      <w:lang w:val="en-US" w:eastAsia="zh-CN"/>
                    </w:rPr>
                    <w:t>53.5</w:t>
                  </w:r>
                </w:p>
              </w:tc>
              <w:tc>
                <w:tcPr>
                  <w:tcW w:w="1070" w:type="pct"/>
                  <w:tcBorders>
                    <w:tl2br w:val="nil"/>
                    <w:tr2bl w:val="nil"/>
                  </w:tcBorders>
                  <w:noWrap w:val="0"/>
                  <w:vAlign w:val="center"/>
                </w:tcPr>
                <w:p>
                  <w:pPr>
                    <w:pStyle w:val="35"/>
                    <w:bidi w:val="0"/>
                    <w:rPr>
                      <w:rFonts w:hint="default"/>
                      <w:lang w:val="en-US" w:eastAsia="zh-CN"/>
                    </w:rPr>
                  </w:pPr>
                  <w:r>
                    <w:rPr>
                      <w:rFonts w:hint="eastAsia"/>
                      <w:lang w:val="en-US" w:eastAsia="zh-CN"/>
                    </w:rPr>
                    <w:t>43.9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09" w:type="pct"/>
                  <w:gridSpan w:val="2"/>
                  <w:tcBorders>
                    <w:tl2br w:val="nil"/>
                    <w:tr2bl w:val="nil"/>
                  </w:tcBorders>
                  <w:noWrap w:val="0"/>
                  <w:vAlign w:val="center"/>
                </w:tcPr>
                <w:p>
                  <w:pPr>
                    <w:pStyle w:val="35"/>
                    <w:bidi w:val="0"/>
                    <w:rPr>
                      <w:rFonts w:hint="eastAsia"/>
                      <w:lang w:val="en-US" w:eastAsia="zh-CN"/>
                    </w:rPr>
                  </w:pPr>
                  <w:r>
                    <w:rPr>
                      <w:rFonts w:hint="eastAsia"/>
                      <w:lang w:val="en-US" w:eastAsia="zh-CN"/>
                    </w:rPr>
                    <w:t>标准限值</w:t>
                  </w:r>
                </w:p>
              </w:tc>
              <w:tc>
                <w:tcPr>
                  <w:tcW w:w="1119" w:type="pct"/>
                  <w:tcBorders>
                    <w:tl2br w:val="nil"/>
                    <w:tr2bl w:val="nil"/>
                  </w:tcBorders>
                  <w:noWrap w:val="0"/>
                  <w:vAlign w:val="center"/>
                </w:tcPr>
                <w:p>
                  <w:pPr>
                    <w:pStyle w:val="35"/>
                    <w:bidi w:val="0"/>
                    <w:rPr>
                      <w:rFonts w:hint="default"/>
                      <w:lang w:val="en-US" w:eastAsia="zh-CN"/>
                    </w:rPr>
                  </w:pPr>
                  <w:r>
                    <w:rPr>
                      <w:rFonts w:hint="eastAsia"/>
                      <w:lang w:val="en-US" w:eastAsia="zh-CN"/>
                    </w:rPr>
                    <w:t>60</w:t>
                  </w:r>
                </w:p>
              </w:tc>
              <w:tc>
                <w:tcPr>
                  <w:tcW w:w="1070" w:type="pct"/>
                  <w:tcBorders>
                    <w:tl2br w:val="nil"/>
                    <w:tr2bl w:val="nil"/>
                  </w:tcBorders>
                  <w:noWrap w:val="0"/>
                  <w:vAlign w:val="center"/>
                </w:tcPr>
                <w:p>
                  <w:pPr>
                    <w:pStyle w:val="35"/>
                    <w:bidi w:val="0"/>
                    <w:rPr>
                      <w:rFonts w:hint="default"/>
                      <w:lang w:val="en-US" w:eastAsia="zh-CN"/>
                    </w:rPr>
                  </w:pPr>
                  <w:r>
                    <w:rPr>
                      <w:rFonts w:hint="eastAsia"/>
                      <w:lang w:val="en-US" w:eastAsia="zh-CN"/>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09" w:type="pct"/>
                  <w:gridSpan w:val="2"/>
                  <w:tcBorders>
                    <w:tl2br w:val="nil"/>
                    <w:tr2bl w:val="nil"/>
                  </w:tcBorders>
                  <w:noWrap w:val="0"/>
                  <w:vAlign w:val="center"/>
                </w:tcPr>
                <w:p>
                  <w:pPr>
                    <w:pStyle w:val="35"/>
                    <w:bidi w:val="0"/>
                    <w:rPr>
                      <w:rFonts w:hint="eastAsia"/>
                      <w:lang w:val="en-US" w:eastAsia="zh-CN"/>
                    </w:rPr>
                  </w:pPr>
                  <w:r>
                    <w:rPr>
                      <w:rFonts w:hint="eastAsia"/>
                    </w:rPr>
                    <w:t>是否达标</w:t>
                  </w:r>
                </w:p>
              </w:tc>
              <w:tc>
                <w:tcPr>
                  <w:tcW w:w="1119" w:type="pct"/>
                  <w:tcBorders>
                    <w:tl2br w:val="nil"/>
                    <w:tr2bl w:val="nil"/>
                  </w:tcBorders>
                  <w:noWrap w:val="0"/>
                  <w:vAlign w:val="center"/>
                </w:tcPr>
                <w:p>
                  <w:pPr>
                    <w:pStyle w:val="35"/>
                    <w:bidi w:val="0"/>
                    <w:rPr>
                      <w:rFonts w:hint="eastAsia"/>
                      <w:lang w:val="en-US" w:eastAsia="zh-CN"/>
                    </w:rPr>
                  </w:pPr>
                  <w:r>
                    <w:rPr>
                      <w:rFonts w:hint="eastAsia"/>
                      <w:lang w:val="en-US" w:eastAsia="zh-CN"/>
                    </w:rPr>
                    <w:t>是</w:t>
                  </w:r>
                </w:p>
              </w:tc>
              <w:tc>
                <w:tcPr>
                  <w:tcW w:w="1070" w:type="pct"/>
                  <w:tcBorders>
                    <w:tl2br w:val="nil"/>
                    <w:tr2bl w:val="nil"/>
                  </w:tcBorders>
                  <w:noWrap w:val="0"/>
                  <w:vAlign w:val="center"/>
                </w:tcPr>
                <w:p>
                  <w:pPr>
                    <w:pStyle w:val="35"/>
                    <w:bidi w:val="0"/>
                    <w:rPr>
                      <w:rFonts w:hint="eastAsia"/>
                      <w:lang w:val="en-US" w:eastAsia="zh-CN"/>
                    </w:rPr>
                  </w:pPr>
                  <w:r>
                    <w:rPr>
                      <w:rFonts w:hint="eastAsia"/>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4"/>
                  <w:tcBorders>
                    <w:tl2br w:val="nil"/>
                    <w:tr2bl w:val="nil"/>
                  </w:tcBorders>
                  <w:noWrap w:val="0"/>
                  <w:vAlign w:val="center"/>
                </w:tcPr>
                <w:p>
                  <w:pPr>
                    <w:pStyle w:val="35"/>
                    <w:bidi w:val="0"/>
                    <w:rPr>
                      <w:rFonts w:hint="default"/>
                      <w:lang w:val="en-US" w:eastAsia="zh-CN"/>
                    </w:rPr>
                  </w:pPr>
                  <w:r>
                    <w:rPr>
                      <w:rFonts w:hint="eastAsia"/>
                      <w:lang w:val="en-US" w:eastAsia="zh-CN"/>
                    </w:rPr>
                    <w:t>标准限值来源</w:t>
                  </w:r>
                  <w:r>
                    <w:rPr>
                      <w:rFonts w:hint="default"/>
                      <w:lang w:eastAsia="zh-CN"/>
                    </w:rPr>
                    <w:t>《</w:t>
                  </w:r>
                  <w:r>
                    <w:t>声环境质量标准</w:t>
                  </w:r>
                  <w:r>
                    <w:rPr>
                      <w:rFonts w:hint="default"/>
                      <w:lang w:eastAsia="zh-CN"/>
                    </w:rPr>
                    <w:t>》（</w:t>
                  </w:r>
                  <w:r>
                    <w:rPr>
                      <w:rFonts w:hint="default"/>
                      <w:lang w:val="en-US" w:eastAsia="zh-CN"/>
                    </w:rPr>
                    <w:t>GB30</w:t>
                  </w:r>
                  <w:r>
                    <w:rPr>
                      <w:rFonts w:hint="eastAsia"/>
                      <w:lang w:val="en-US" w:eastAsia="zh-CN"/>
                    </w:rPr>
                    <w:t xml:space="preserve"> </w:t>
                  </w:r>
                  <w:r>
                    <w:rPr>
                      <w:rFonts w:hint="default"/>
                      <w:lang w:val="en-US" w:eastAsia="zh-CN"/>
                    </w:rPr>
                    <w:t>96-2008</w:t>
                  </w:r>
                  <w:r>
                    <w:rPr>
                      <w:rFonts w:hint="default"/>
                      <w:lang w:eastAsia="zh-CN"/>
                    </w:rPr>
                    <w:t>）</w:t>
                  </w:r>
                  <w:r>
                    <w:rPr>
                      <w:rFonts w:hint="eastAsia"/>
                      <w:lang w:eastAsia="zh-CN"/>
                    </w:rPr>
                    <w:t>表</w:t>
                  </w:r>
                  <w:r>
                    <w:rPr>
                      <w:rFonts w:hint="eastAsia"/>
                      <w:lang w:val="en-US" w:eastAsia="zh-CN"/>
                    </w:rPr>
                    <w:t>1</w:t>
                  </w:r>
                  <w:r>
                    <w:rPr>
                      <w:rFonts w:hint="eastAsia"/>
                      <w:lang w:eastAsia="zh-CN"/>
                    </w:rPr>
                    <w:t>中</w:t>
                  </w:r>
                  <w:r>
                    <w:rPr>
                      <w:rFonts w:hint="eastAsia"/>
                      <w:lang w:val="en-US" w:eastAsia="zh-CN"/>
                    </w:rPr>
                    <w:t>2类</w:t>
                  </w:r>
                  <w:r>
                    <w:rPr>
                      <w:rFonts w:hint="default"/>
                      <w:lang w:val="en-US" w:eastAsia="zh-CN"/>
                    </w:rPr>
                    <w:t>标准</w:t>
                  </w:r>
                  <w:r>
                    <w:rPr>
                      <w:rFonts w:hint="eastAsia"/>
                      <w:lang w:val="en-US" w:eastAsia="zh-CN"/>
                    </w:rPr>
                    <w:t>限值。</w:t>
                  </w:r>
                </w:p>
              </w:tc>
            </w:tr>
          </w:tbl>
          <w:p>
            <w:pPr>
              <w:pStyle w:val="14"/>
              <w:bidi w:val="0"/>
            </w:pPr>
            <w:r>
              <w:t>监测结果表明，</w:t>
            </w:r>
            <w:r>
              <w:rPr>
                <w:rFonts w:hint="eastAsia"/>
                <w:lang w:eastAsia="zh-CN"/>
              </w:rPr>
              <w:t>项目敏感点</w:t>
            </w:r>
            <w:r>
              <w:rPr>
                <w:rFonts w:hint="eastAsia" w:ascii="Times New Roman" w:hAnsi="Times New Roman" w:cs="Times New Roman"/>
                <w:color w:val="auto"/>
                <w:lang w:val="en-US" w:eastAsia="zh-CN"/>
              </w:rPr>
              <w:t>噪声</w:t>
            </w:r>
            <w:r>
              <w:t>监测值均符合《声环境质量标准》(GB3096-2008)中</w:t>
            </w:r>
            <w:r>
              <w:rPr>
                <w:rFonts w:hint="eastAsia"/>
                <w:lang w:val="en-US" w:eastAsia="zh-CN"/>
              </w:rPr>
              <w:t>2</w:t>
            </w:r>
            <w:r>
              <w:t>类标准</w:t>
            </w:r>
            <w:r>
              <w:rPr>
                <w:rFonts w:hint="eastAsia"/>
                <w:lang w:eastAsia="zh-CN"/>
              </w:rPr>
              <w:t>，</w:t>
            </w:r>
            <w:r>
              <w:rPr>
                <w:rFonts w:hint="eastAsia"/>
              </w:rPr>
              <w:t>项目所在</w:t>
            </w:r>
            <w:r>
              <w:t>区域声环境质量现状良好。</w:t>
            </w:r>
          </w:p>
          <w:p>
            <w:pPr>
              <w:pStyle w:val="14"/>
              <w:bidi w:val="0"/>
              <w:rPr>
                <w:rFonts w:hint="default"/>
              </w:rPr>
            </w:pPr>
            <w:r>
              <w:rPr>
                <w:rFonts w:hint="eastAsia"/>
                <w:lang w:val="en-US" w:eastAsia="zh-CN"/>
              </w:rPr>
              <w:t>4</w:t>
            </w:r>
            <w:r>
              <w:rPr>
                <w:rFonts w:hint="default"/>
              </w:rPr>
              <w:t>、生态环境质量现状</w:t>
            </w:r>
          </w:p>
          <w:p>
            <w:pPr>
              <w:spacing w:line="360" w:lineRule="auto"/>
              <w:ind w:firstLine="480" w:firstLineChars="200"/>
              <w:rPr>
                <w:color w:val="000000"/>
                <w:sz w:val="24"/>
              </w:rPr>
            </w:pPr>
            <w:r>
              <w:rPr>
                <w:rFonts w:hint="eastAsia"/>
                <w:sz w:val="24"/>
                <w:lang w:val="en-US" w:eastAsia="zh-CN"/>
              </w:rPr>
              <w:t>项目位于</w:t>
            </w:r>
            <w:r>
              <w:rPr>
                <w:rFonts w:hint="eastAsia" w:cs="Times New Roman"/>
                <w:color w:val="000000"/>
                <w:sz w:val="24"/>
                <w:szCs w:val="24"/>
                <w:lang w:eastAsia="zh-CN"/>
              </w:rPr>
              <w:t>祁东县永昌街道南山大道南侧(南山大道与永湘路交叉口东南角)</w:t>
            </w:r>
            <w:r>
              <w:rPr>
                <w:sz w:val="24"/>
              </w:rPr>
              <w:t>，</w:t>
            </w:r>
            <w:r>
              <w:rPr>
                <w:color w:val="000000"/>
                <w:sz w:val="24"/>
              </w:rPr>
              <w:t>周边绿化多为绿化树种，区域属于典型的城郊景观。</w:t>
            </w:r>
          </w:p>
          <w:p>
            <w:pPr>
              <w:pStyle w:val="14"/>
              <w:bidi w:val="0"/>
              <w:rPr>
                <w:rFonts w:hint="eastAsia"/>
                <w:lang w:val="en-US" w:eastAsia="zh-CN"/>
              </w:rPr>
            </w:pPr>
            <w:r>
              <w:rPr>
                <w:rFonts w:hint="eastAsia"/>
                <w:lang w:val="en-US" w:eastAsia="zh-CN"/>
              </w:rPr>
              <w:t>5、电磁辐射</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left"/>
              <w:textAlignment w:val="auto"/>
              <w:outlineLvl w:val="9"/>
              <w:rPr>
                <w:rFonts w:hint="eastAsia" w:ascii="宋体" w:hAnsi="宋体" w:eastAsia="宋体" w:cs="宋体"/>
                <w:kern w:val="0"/>
                <w:szCs w:val="21"/>
                <w:lang w:val="en-US" w:eastAsia="zh-CN"/>
              </w:rPr>
            </w:pPr>
            <w:r>
              <w:rPr>
                <w:rFonts w:hint="eastAsia"/>
                <w:sz w:val="24"/>
                <w:lang w:val="en-US" w:eastAsia="zh-CN"/>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4" w:type="pct"/>
            <w:noWrap w:val="0"/>
            <w:vAlign w:val="center"/>
          </w:tcPr>
          <w:p>
            <w:pPr>
              <w:adjustRightInd w:val="0"/>
              <w:snapToGrid w:val="0"/>
              <w:jc w:val="center"/>
              <w:rPr>
                <w:rFonts w:hint="eastAsia" w:ascii="宋体" w:hAnsi="宋体" w:cs="宋体"/>
                <w:color w:val="auto"/>
                <w:kern w:val="0"/>
                <w:sz w:val="24"/>
                <w:szCs w:val="24"/>
              </w:rPr>
            </w:pPr>
            <w:r>
              <w:rPr>
                <w:rFonts w:hint="eastAsia" w:ascii="宋体" w:hAnsi="宋体" w:cs="宋体"/>
                <w:color w:val="auto"/>
                <w:kern w:val="0"/>
                <w:sz w:val="24"/>
                <w:szCs w:val="24"/>
              </w:rPr>
              <w:t>环境</w:t>
            </w:r>
          </w:p>
          <w:p>
            <w:pPr>
              <w:adjustRightInd w:val="0"/>
              <w:snapToGrid w:val="0"/>
              <w:jc w:val="center"/>
              <w:rPr>
                <w:rFonts w:hint="eastAsia" w:ascii="宋体" w:hAnsi="宋体" w:cs="宋体"/>
                <w:color w:val="auto"/>
                <w:kern w:val="0"/>
                <w:sz w:val="24"/>
                <w:szCs w:val="24"/>
              </w:rPr>
            </w:pPr>
            <w:r>
              <w:rPr>
                <w:rFonts w:hint="eastAsia" w:ascii="宋体" w:hAnsi="宋体" w:cs="宋体"/>
                <w:color w:val="auto"/>
                <w:kern w:val="0"/>
                <w:sz w:val="24"/>
                <w:szCs w:val="24"/>
              </w:rPr>
              <w:t>保护</w:t>
            </w:r>
          </w:p>
          <w:p>
            <w:pPr>
              <w:adjustRightInd w:val="0"/>
              <w:snapToGrid w:val="0"/>
              <w:jc w:val="center"/>
              <w:rPr>
                <w:rFonts w:hint="eastAsia" w:ascii="宋体" w:hAnsi="宋体" w:cs="宋体"/>
                <w:kern w:val="0"/>
                <w:szCs w:val="21"/>
              </w:rPr>
            </w:pPr>
            <w:r>
              <w:rPr>
                <w:rFonts w:hint="eastAsia" w:ascii="宋体" w:hAnsi="宋体" w:cs="宋体"/>
                <w:color w:val="auto"/>
                <w:kern w:val="0"/>
                <w:sz w:val="24"/>
                <w:szCs w:val="24"/>
              </w:rPr>
              <w:t>目标</w:t>
            </w:r>
          </w:p>
        </w:tc>
        <w:tc>
          <w:tcPr>
            <w:tcW w:w="4555" w:type="pct"/>
            <w:noWrap w:val="0"/>
            <w:vAlign w:val="center"/>
          </w:tcPr>
          <w:p>
            <w:pPr>
              <w:pStyle w:val="14"/>
              <w:bidi w:val="0"/>
            </w:pPr>
            <w:r>
              <w:rPr>
                <w:rFonts w:hint="eastAsia"/>
              </w:rPr>
              <w:t>本项目位于</w:t>
            </w:r>
            <w:r>
              <w:rPr>
                <w:rFonts w:hint="eastAsia"/>
                <w:lang w:eastAsia="zh-CN"/>
              </w:rPr>
              <w:t>祁东县永昌街道南山大道南侧(南山大道与永湘路交叉口东南角)</w:t>
            </w:r>
            <w:r>
              <w:rPr>
                <w:rFonts w:hint="eastAsia"/>
              </w:rPr>
              <w:t>内，</w:t>
            </w:r>
            <w:r>
              <w:t>项目厂界外500米范围内无自然保护区、风景名胜区。</w:t>
            </w:r>
            <w:r>
              <w:rPr>
                <w:color w:val="000000"/>
                <w:spacing w:val="0"/>
                <w:w w:val="100"/>
                <w:position w:val="0"/>
              </w:rPr>
              <w:t>项目厂界外</w:t>
            </w:r>
            <w:r>
              <w:rPr>
                <w:rFonts w:ascii="Times New Roman" w:hAnsi="Times New Roman" w:eastAsia="Times New Roman" w:cs="Times New Roman"/>
                <w:color w:val="000000"/>
                <w:spacing w:val="0"/>
                <w:w w:val="100"/>
                <w:position w:val="0"/>
              </w:rPr>
              <w:t>500</w:t>
            </w:r>
            <w:r>
              <w:rPr>
                <w:color w:val="000000"/>
                <w:spacing w:val="0"/>
                <w:w w:val="100"/>
                <w:position w:val="0"/>
              </w:rPr>
              <w:t>米范围</w:t>
            </w:r>
            <w:r>
              <w:rPr>
                <w:rFonts w:hint="eastAsia"/>
                <w:color w:val="000000"/>
                <w:spacing w:val="0"/>
                <w:w w:val="100"/>
                <w:position w:val="0"/>
                <w:lang w:eastAsia="zh-CN"/>
              </w:rPr>
              <w:t>内无地下</w:t>
            </w:r>
            <w:r>
              <w:rPr>
                <w:color w:val="000000"/>
                <w:spacing w:val="0"/>
                <w:w w:val="100"/>
                <w:position w:val="0"/>
              </w:rPr>
              <w:t>水集中式饮</w:t>
            </w:r>
            <w:r>
              <w:rPr>
                <w:rFonts w:hint="eastAsia"/>
                <w:color w:val="000000"/>
                <w:spacing w:val="0"/>
                <w:w w:val="100"/>
                <w:position w:val="0"/>
                <w:lang w:val="zh-CN" w:eastAsia="zh-CN" w:bidi="zh-CN"/>
              </w:rPr>
              <w:t>用水水源和</w:t>
            </w:r>
            <w:r>
              <w:rPr>
                <w:color w:val="000000"/>
                <w:spacing w:val="0"/>
                <w:w w:val="100"/>
                <w:position w:val="0"/>
              </w:rPr>
              <w:t>热水、矿泉水、</w:t>
            </w:r>
            <w:r>
              <w:rPr>
                <w:color w:val="000000"/>
                <w:spacing w:val="0"/>
                <w:w w:val="100"/>
                <w:position w:val="0"/>
                <w:lang w:val="zh-CN" w:eastAsia="zh-CN" w:bidi="zh-CN"/>
              </w:rPr>
              <w:t>温泉等</w:t>
            </w:r>
            <w:r>
              <w:rPr>
                <w:rFonts w:hint="eastAsia" w:ascii="Times New Roman" w:hAnsi="Times New Roman" w:cs="Times New Roman"/>
                <w:color w:val="000000"/>
                <w:spacing w:val="0"/>
                <w:w w:val="100"/>
                <w:position w:val="0"/>
                <w:lang w:eastAsia="zh-CN"/>
              </w:rPr>
              <w:t>特殊</w:t>
            </w:r>
            <w:r>
              <w:rPr>
                <w:color w:val="000000"/>
                <w:spacing w:val="0"/>
                <w:w w:val="100"/>
                <w:position w:val="0"/>
              </w:rPr>
              <w:t>地下水资源。</w:t>
            </w:r>
          </w:p>
          <w:p>
            <w:pPr>
              <w:pStyle w:val="14"/>
              <w:bidi w:val="0"/>
            </w:pPr>
            <w:r>
              <w:t>本评价确定的环境保护目标及对象见</w:t>
            </w:r>
            <w:r>
              <w:rPr>
                <w:rFonts w:hint="eastAsia"/>
              </w:rPr>
              <w:t>下</w:t>
            </w:r>
            <w:r>
              <w:t>表。</w:t>
            </w:r>
          </w:p>
          <w:p>
            <w:pPr>
              <w:pStyle w:val="36"/>
              <w:tabs>
                <w:tab w:val="left" w:pos="1021"/>
              </w:tabs>
            </w:pPr>
            <w:r>
              <w:t>表3</w:t>
            </w:r>
            <w:r>
              <w:rPr>
                <w:rFonts w:hint="eastAsia"/>
                <w:lang w:val="en-US" w:eastAsia="zh-CN"/>
              </w:rPr>
              <w:t>.2</w:t>
            </w:r>
            <w:r>
              <w:t>-</w:t>
            </w:r>
            <w:r>
              <w:rPr>
                <w:rFonts w:hint="eastAsia"/>
                <w:lang w:val="en-US" w:eastAsia="zh-CN"/>
              </w:rPr>
              <w:t>1</w:t>
            </w:r>
            <w:r>
              <w:t>主要环境保护目标及保护对象</w:t>
            </w:r>
          </w:p>
          <w:tbl>
            <w:tblPr>
              <w:tblStyle w:val="3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8"/>
              <w:gridCol w:w="840"/>
              <w:gridCol w:w="885"/>
              <w:gridCol w:w="975"/>
              <w:gridCol w:w="1140"/>
              <w:gridCol w:w="990"/>
              <w:gridCol w:w="981"/>
              <w:gridCol w:w="10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3" w:type="pct"/>
                  <w:tcBorders>
                    <w:top w:val="single" w:color="auto" w:sz="4" w:space="0"/>
                    <w:left w:val="single" w:color="auto" w:sz="4" w:space="0"/>
                    <w:bottom w:val="single" w:color="auto" w:sz="4" w:space="0"/>
                    <w:right w:val="single" w:color="auto" w:sz="4" w:space="0"/>
                  </w:tcBorders>
                  <w:vAlign w:val="center"/>
                </w:tcPr>
                <w:p>
                  <w:pPr>
                    <w:pStyle w:val="35"/>
                    <w:keepNext w:val="0"/>
                    <w:keepLines w:val="0"/>
                    <w:pageBreakBefore w:val="0"/>
                    <w:widowControl w:val="0"/>
                    <w:tabs>
                      <w:tab w:val="left" w:pos="1021"/>
                    </w:tabs>
                    <w:kinsoku/>
                    <w:wordWrap/>
                    <w:overflowPunct/>
                    <w:topLinePunct w:val="0"/>
                    <w:autoSpaceDE/>
                    <w:autoSpaceDN/>
                    <w:bidi w:val="0"/>
                    <w:adjustRightInd/>
                    <w:snapToGrid/>
                    <w:spacing w:after="0"/>
                    <w:textAlignment w:val="auto"/>
                    <w:rPr>
                      <w:rFonts w:hint="default" w:ascii="Times New Roman" w:hAnsi="Times New Roman" w:cs="Times New Roman"/>
                    </w:rPr>
                  </w:pPr>
                  <w:r>
                    <w:rPr>
                      <w:rFonts w:hint="default" w:ascii="Times New Roman" w:hAnsi="Times New Roman" w:cs="Times New Roman"/>
                    </w:rPr>
                    <w:t>名称</w:t>
                  </w:r>
                </w:p>
              </w:tc>
              <w:tc>
                <w:tcPr>
                  <w:tcW w:w="1144" w:type="pct"/>
                  <w:gridSpan w:val="2"/>
                  <w:tcBorders>
                    <w:top w:val="single" w:color="auto" w:sz="4" w:space="0"/>
                    <w:left w:val="single" w:color="auto" w:sz="4" w:space="0"/>
                    <w:bottom w:val="single" w:color="auto" w:sz="4" w:space="0"/>
                    <w:right w:val="single" w:color="auto" w:sz="4" w:space="0"/>
                  </w:tcBorders>
                  <w:vAlign w:val="center"/>
                </w:tcPr>
                <w:p>
                  <w:pPr>
                    <w:pStyle w:val="35"/>
                    <w:keepNext w:val="0"/>
                    <w:keepLines w:val="0"/>
                    <w:pageBreakBefore w:val="0"/>
                    <w:widowControl w:val="0"/>
                    <w:tabs>
                      <w:tab w:val="left" w:pos="1021"/>
                    </w:tabs>
                    <w:kinsoku/>
                    <w:wordWrap/>
                    <w:overflowPunct/>
                    <w:topLinePunct w:val="0"/>
                    <w:autoSpaceDE/>
                    <w:autoSpaceDN/>
                    <w:bidi w:val="0"/>
                    <w:adjustRightInd/>
                    <w:snapToGrid/>
                    <w:spacing w:after="0"/>
                    <w:textAlignment w:val="auto"/>
                    <w:rPr>
                      <w:rFonts w:hint="default" w:ascii="Times New Roman" w:hAnsi="Times New Roman" w:cs="Times New Roman"/>
                    </w:rPr>
                  </w:pPr>
                  <w:r>
                    <w:rPr>
                      <w:rFonts w:hint="default" w:ascii="Times New Roman" w:hAnsi="Times New Roman" w:cs="Times New Roman"/>
                    </w:rPr>
                    <w:t>坐标/m</w:t>
                  </w:r>
                </w:p>
              </w:tc>
              <w:tc>
                <w:tcPr>
                  <w:tcW w:w="646" w:type="pct"/>
                  <w:vMerge w:val="restart"/>
                  <w:tcBorders>
                    <w:top w:val="single" w:color="auto" w:sz="4" w:space="0"/>
                    <w:left w:val="single" w:color="auto" w:sz="4" w:space="0"/>
                    <w:bottom w:val="single" w:color="auto" w:sz="4" w:space="0"/>
                    <w:right w:val="single" w:color="auto" w:sz="4" w:space="0"/>
                  </w:tcBorders>
                  <w:vAlign w:val="center"/>
                </w:tcPr>
                <w:p>
                  <w:pPr>
                    <w:pStyle w:val="35"/>
                    <w:keepNext w:val="0"/>
                    <w:keepLines w:val="0"/>
                    <w:pageBreakBefore w:val="0"/>
                    <w:widowControl w:val="0"/>
                    <w:tabs>
                      <w:tab w:val="left" w:pos="1021"/>
                    </w:tabs>
                    <w:kinsoku/>
                    <w:wordWrap/>
                    <w:overflowPunct/>
                    <w:topLinePunct w:val="0"/>
                    <w:autoSpaceDE/>
                    <w:autoSpaceDN/>
                    <w:bidi w:val="0"/>
                    <w:adjustRightInd/>
                    <w:snapToGrid/>
                    <w:spacing w:after="0"/>
                    <w:textAlignment w:val="auto"/>
                    <w:rPr>
                      <w:rFonts w:hint="default" w:ascii="Times New Roman" w:hAnsi="Times New Roman" w:cs="Times New Roman"/>
                    </w:rPr>
                  </w:pPr>
                  <w:r>
                    <w:rPr>
                      <w:rFonts w:hint="default" w:ascii="Times New Roman" w:hAnsi="Times New Roman" w:cs="Times New Roman"/>
                    </w:rPr>
                    <w:t>保护对象</w:t>
                  </w:r>
                </w:p>
              </w:tc>
              <w:tc>
                <w:tcPr>
                  <w:tcW w:w="756" w:type="pct"/>
                  <w:vMerge w:val="restart"/>
                  <w:tcBorders>
                    <w:top w:val="single" w:color="auto" w:sz="4" w:space="0"/>
                    <w:left w:val="single" w:color="auto" w:sz="4" w:space="0"/>
                    <w:bottom w:val="single" w:color="auto" w:sz="4" w:space="0"/>
                    <w:right w:val="single" w:color="auto" w:sz="4" w:space="0"/>
                  </w:tcBorders>
                  <w:vAlign w:val="center"/>
                </w:tcPr>
                <w:p>
                  <w:pPr>
                    <w:pStyle w:val="35"/>
                    <w:keepNext w:val="0"/>
                    <w:keepLines w:val="0"/>
                    <w:pageBreakBefore w:val="0"/>
                    <w:widowControl w:val="0"/>
                    <w:tabs>
                      <w:tab w:val="left" w:pos="1021"/>
                    </w:tabs>
                    <w:kinsoku/>
                    <w:wordWrap/>
                    <w:overflowPunct/>
                    <w:topLinePunct w:val="0"/>
                    <w:autoSpaceDE/>
                    <w:autoSpaceDN/>
                    <w:bidi w:val="0"/>
                    <w:adjustRightInd/>
                    <w:snapToGrid/>
                    <w:spacing w:after="0"/>
                    <w:textAlignment w:val="auto"/>
                    <w:rPr>
                      <w:rFonts w:hint="default" w:ascii="Times New Roman" w:hAnsi="Times New Roman" w:cs="Times New Roman"/>
                    </w:rPr>
                  </w:pPr>
                  <w:r>
                    <w:rPr>
                      <w:rFonts w:hint="default" w:ascii="Times New Roman" w:hAnsi="Times New Roman" w:cs="Times New Roman"/>
                    </w:rPr>
                    <w:t>保护内容</w:t>
                  </w:r>
                </w:p>
              </w:tc>
              <w:tc>
                <w:tcPr>
                  <w:tcW w:w="656" w:type="pct"/>
                  <w:vMerge w:val="restart"/>
                  <w:tcBorders>
                    <w:top w:val="single" w:color="auto" w:sz="4" w:space="0"/>
                    <w:left w:val="single" w:color="auto" w:sz="4" w:space="0"/>
                    <w:bottom w:val="single" w:color="auto" w:sz="4" w:space="0"/>
                    <w:right w:val="single" w:color="auto" w:sz="4" w:space="0"/>
                  </w:tcBorders>
                  <w:vAlign w:val="center"/>
                </w:tcPr>
                <w:p>
                  <w:pPr>
                    <w:pStyle w:val="35"/>
                    <w:keepNext w:val="0"/>
                    <w:keepLines w:val="0"/>
                    <w:pageBreakBefore w:val="0"/>
                    <w:widowControl w:val="0"/>
                    <w:tabs>
                      <w:tab w:val="left" w:pos="1021"/>
                    </w:tabs>
                    <w:kinsoku/>
                    <w:wordWrap/>
                    <w:overflowPunct/>
                    <w:topLinePunct w:val="0"/>
                    <w:autoSpaceDE/>
                    <w:autoSpaceDN/>
                    <w:bidi w:val="0"/>
                    <w:adjustRightInd/>
                    <w:snapToGrid/>
                    <w:spacing w:after="0"/>
                    <w:textAlignment w:val="auto"/>
                    <w:rPr>
                      <w:rFonts w:hint="default" w:ascii="Times New Roman" w:hAnsi="Times New Roman" w:cs="Times New Roman"/>
                    </w:rPr>
                  </w:pPr>
                  <w:r>
                    <w:rPr>
                      <w:rFonts w:hint="default" w:ascii="Times New Roman" w:hAnsi="Times New Roman" w:cs="Times New Roman"/>
                    </w:rPr>
                    <w:t>环境功能区</w:t>
                  </w:r>
                </w:p>
              </w:tc>
              <w:tc>
                <w:tcPr>
                  <w:tcW w:w="650" w:type="pct"/>
                  <w:vMerge w:val="restart"/>
                  <w:tcBorders>
                    <w:top w:val="single" w:color="auto" w:sz="4" w:space="0"/>
                    <w:left w:val="single" w:color="auto" w:sz="4" w:space="0"/>
                    <w:bottom w:val="single" w:color="auto" w:sz="4" w:space="0"/>
                    <w:right w:val="single" w:color="auto" w:sz="4" w:space="0"/>
                  </w:tcBorders>
                  <w:vAlign w:val="center"/>
                </w:tcPr>
                <w:p>
                  <w:pPr>
                    <w:pStyle w:val="35"/>
                    <w:keepNext w:val="0"/>
                    <w:keepLines w:val="0"/>
                    <w:pageBreakBefore w:val="0"/>
                    <w:widowControl w:val="0"/>
                    <w:tabs>
                      <w:tab w:val="left" w:pos="1021"/>
                    </w:tabs>
                    <w:kinsoku/>
                    <w:wordWrap/>
                    <w:overflowPunct/>
                    <w:topLinePunct w:val="0"/>
                    <w:autoSpaceDE/>
                    <w:autoSpaceDN/>
                    <w:bidi w:val="0"/>
                    <w:adjustRightInd/>
                    <w:snapToGrid/>
                    <w:spacing w:after="0"/>
                    <w:textAlignment w:val="auto"/>
                    <w:rPr>
                      <w:rFonts w:hint="default" w:ascii="Times New Roman" w:hAnsi="Times New Roman" w:cs="Times New Roman"/>
                    </w:rPr>
                  </w:pPr>
                  <w:r>
                    <w:rPr>
                      <w:rFonts w:hint="default" w:ascii="Times New Roman" w:hAnsi="Times New Roman" w:cs="Times New Roman"/>
                    </w:rPr>
                    <w:t>相对厂址方位</w:t>
                  </w:r>
                </w:p>
              </w:tc>
              <w:tc>
                <w:tcPr>
                  <w:tcW w:w="722" w:type="pct"/>
                  <w:vMerge w:val="restart"/>
                  <w:tcBorders>
                    <w:top w:val="single" w:color="auto" w:sz="4" w:space="0"/>
                    <w:left w:val="single" w:color="auto" w:sz="4" w:space="0"/>
                    <w:bottom w:val="single" w:color="auto" w:sz="4" w:space="0"/>
                    <w:right w:val="single" w:color="auto" w:sz="4" w:space="0"/>
                  </w:tcBorders>
                  <w:vAlign w:val="center"/>
                </w:tcPr>
                <w:p>
                  <w:pPr>
                    <w:pStyle w:val="35"/>
                    <w:keepNext w:val="0"/>
                    <w:keepLines w:val="0"/>
                    <w:pageBreakBefore w:val="0"/>
                    <w:widowControl w:val="0"/>
                    <w:tabs>
                      <w:tab w:val="left" w:pos="1021"/>
                    </w:tabs>
                    <w:kinsoku/>
                    <w:wordWrap/>
                    <w:overflowPunct/>
                    <w:topLinePunct w:val="0"/>
                    <w:autoSpaceDE/>
                    <w:autoSpaceDN/>
                    <w:bidi w:val="0"/>
                    <w:adjustRightInd/>
                    <w:snapToGrid/>
                    <w:spacing w:after="0"/>
                    <w:textAlignment w:val="auto"/>
                    <w:rPr>
                      <w:rFonts w:hint="default" w:ascii="Times New Roman" w:hAnsi="Times New Roman" w:cs="Times New Roman"/>
                    </w:rPr>
                  </w:pPr>
                  <w:r>
                    <w:rPr>
                      <w:rFonts w:hint="default" w:ascii="Times New Roman" w:hAnsi="Times New Roman" w:cs="Times New Roman"/>
                    </w:rPr>
                    <w:t>相对厂界距离/m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3" w:type="pct"/>
                  <w:tcBorders>
                    <w:top w:val="single" w:color="auto" w:sz="4" w:space="0"/>
                    <w:left w:val="single" w:color="auto" w:sz="4" w:space="0"/>
                    <w:bottom w:val="single" w:color="auto" w:sz="4" w:space="0"/>
                    <w:right w:val="single" w:color="auto" w:sz="4" w:space="0"/>
                  </w:tcBorders>
                  <w:vAlign w:val="center"/>
                </w:tcPr>
                <w:p>
                  <w:pPr>
                    <w:pStyle w:val="35"/>
                    <w:keepNext w:val="0"/>
                    <w:keepLines w:val="0"/>
                    <w:pageBreakBefore w:val="0"/>
                    <w:widowControl w:val="0"/>
                    <w:tabs>
                      <w:tab w:val="left" w:pos="1021"/>
                    </w:tabs>
                    <w:kinsoku/>
                    <w:wordWrap/>
                    <w:overflowPunct/>
                    <w:topLinePunct w:val="0"/>
                    <w:autoSpaceDE/>
                    <w:autoSpaceDN/>
                    <w:bidi w:val="0"/>
                    <w:adjustRightInd/>
                    <w:snapToGrid/>
                    <w:spacing w:after="0"/>
                    <w:textAlignment w:val="auto"/>
                    <w:rPr>
                      <w:rFonts w:hint="default" w:ascii="Times New Roman" w:hAnsi="Times New Roman" w:cs="Times New Roman"/>
                    </w:rPr>
                  </w:pPr>
                </w:p>
              </w:tc>
              <w:tc>
                <w:tcPr>
                  <w:tcW w:w="557" w:type="pct"/>
                  <w:tcBorders>
                    <w:top w:val="single" w:color="auto" w:sz="4" w:space="0"/>
                    <w:left w:val="single" w:color="auto" w:sz="4" w:space="0"/>
                    <w:bottom w:val="single" w:color="auto" w:sz="4" w:space="0"/>
                    <w:right w:val="single" w:color="auto" w:sz="4" w:space="0"/>
                  </w:tcBorders>
                  <w:vAlign w:val="center"/>
                </w:tcPr>
                <w:p>
                  <w:pPr>
                    <w:pStyle w:val="35"/>
                    <w:keepNext w:val="0"/>
                    <w:keepLines w:val="0"/>
                    <w:pageBreakBefore w:val="0"/>
                    <w:widowControl w:val="0"/>
                    <w:tabs>
                      <w:tab w:val="left" w:pos="1021"/>
                    </w:tabs>
                    <w:kinsoku/>
                    <w:wordWrap/>
                    <w:overflowPunct/>
                    <w:topLinePunct w:val="0"/>
                    <w:autoSpaceDE/>
                    <w:autoSpaceDN/>
                    <w:bidi w:val="0"/>
                    <w:adjustRightInd/>
                    <w:snapToGrid/>
                    <w:spacing w:after="0"/>
                    <w:textAlignment w:val="auto"/>
                    <w:rPr>
                      <w:rFonts w:hint="default" w:ascii="Times New Roman" w:hAnsi="Times New Roman" w:cs="Times New Roman"/>
                    </w:rPr>
                  </w:pPr>
                  <w:r>
                    <w:rPr>
                      <w:rFonts w:hint="default" w:ascii="Times New Roman" w:hAnsi="Times New Roman" w:cs="Times New Roman"/>
                    </w:rPr>
                    <w:t>x</w:t>
                  </w:r>
                </w:p>
              </w:tc>
              <w:tc>
                <w:tcPr>
                  <w:tcW w:w="587" w:type="pct"/>
                  <w:tcBorders>
                    <w:top w:val="single" w:color="auto" w:sz="4" w:space="0"/>
                    <w:left w:val="single" w:color="auto" w:sz="4" w:space="0"/>
                    <w:bottom w:val="single" w:color="auto" w:sz="4" w:space="0"/>
                    <w:right w:val="single" w:color="auto" w:sz="4" w:space="0"/>
                  </w:tcBorders>
                  <w:vAlign w:val="center"/>
                </w:tcPr>
                <w:p>
                  <w:pPr>
                    <w:pStyle w:val="35"/>
                    <w:keepNext w:val="0"/>
                    <w:keepLines w:val="0"/>
                    <w:pageBreakBefore w:val="0"/>
                    <w:widowControl w:val="0"/>
                    <w:tabs>
                      <w:tab w:val="left" w:pos="1021"/>
                    </w:tabs>
                    <w:kinsoku/>
                    <w:wordWrap/>
                    <w:overflowPunct/>
                    <w:topLinePunct w:val="0"/>
                    <w:autoSpaceDE/>
                    <w:autoSpaceDN/>
                    <w:bidi w:val="0"/>
                    <w:adjustRightInd/>
                    <w:snapToGrid/>
                    <w:spacing w:after="0"/>
                    <w:textAlignment w:val="auto"/>
                    <w:rPr>
                      <w:rFonts w:hint="default" w:ascii="Times New Roman" w:hAnsi="Times New Roman" w:cs="Times New Roman"/>
                    </w:rPr>
                  </w:pPr>
                  <w:r>
                    <w:rPr>
                      <w:rFonts w:hint="default" w:ascii="Times New Roman" w:hAnsi="Times New Roman" w:cs="Times New Roman"/>
                    </w:rPr>
                    <w:t>y</w:t>
                  </w:r>
                </w:p>
              </w:tc>
              <w:tc>
                <w:tcPr>
                  <w:tcW w:w="646" w:type="pct"/>
                  <w:vMerge w:val="continue"/>
                  <w:tcBorders>
                    <w:top w:val="single" w:color="auto" w:sz="4" w:space="0"/>
                    <w:left w:val="single" w:color="auto" w:sz="4" w:space="0"/>
                    <w:bottom w:val="single" w:color="auto" w:sz="4" w:space="0"/>
                    <w:right w:val="single" w:color="auto" w:sz="4" w:space="0"/>
                  </w:tcBorders>
                  <w:vAlign w:val="center"/>
                </w:tcPr>
                <w:p>
                  <w:pPr>
                    <w:pStyle w:val="35"/>
                    <w:keepNext w:val="0"/>
                    <w:keepLines w:val="0"/>
                    <w:pageBreakBefore w:val="0"/>
                    <w:widowControl w:val="0"/>
                    <w:tabs>
                      <w:tab w:val="left" w:pos="1021"/>
                    </w:tabs>
                    <w:kinsoku/>
                    <w:wordWrap/>
                    <w:overflowPunct/>
                    <w:topLinePunct w:val="0"/>
                    <w:autoSpaceDE/>
                    <w:autoSpaceDN/>
                    <w:bidi w:val="0"/>
                    <w:adjustRightInd/>
                    <w:snapToGrid/>
                    <w:spacing w:after="0"/>
                    <w:textAlignment w:val="auto"/>
                    <w:rPr>
                      <w:rFonts w:hint="default" w:ascii="Times New Roman" w:hAnsi="Times New Roman" w:cs="Times New Roman"/>
                    </w:rPr>
                  </w:pPr>
                </w:p>
              </w:tc>
              <w:tc>
                <w:tcPr>
                  <w:tcW w:w="756" w:type="pct"/>
                  <w:vMerge w:val="continue"/>
                  <w:tcBorders>
                    <w:top w:val="single" w:color="auto" w:sz="4" w:space="0"/>
                    <w:left w:val="single" w:color="auto" w:sz="4" w:space="0"/>
                    <w:bottom w:val="single" w:color="auto" w:sz="4" w:space="0"/>
                    <w:right w:val="single" w:color="auto" w:sz="4" w:space="0"/>
                  </w:tcBorders>
                  <w:vAlign w:val="center"/>
                </w:tcPr>
                <w:p>
                  <w:pPr>
                    <w:pStyle w:val="35"/>
                    <w:keepNext w:val="0"/>
                    <w:keepLines w:val="0"/>
                    <w:pageBreakBefore w:val="0"/>
                    <w:widowControl w:val="0"/>
                    <w:tabs>
                      <w:tab w:val="left" w:pos="1021"/>
                    </w:tabs>
                    <w:kinsoku/>
                    <w:wordWrap/>
                    <w:overflowPunct/>
                    <w:topLinePunct w:val="0"/>
                    <w:autoSpaceDE/>
                    <w:autoSpaceDN/>
                    <w:bidi w:val="0"/>
                    <w:adjustRightInd/>
                    <w:snapToGrid/>
                    <w:spacing w:after="0"/>
                    <w:textAlignment w:val="auto"/>
                    <w:rPr>
                      <w:rFonts w:hint="default" w:ascii="Times New Roman" w:hAnsi="Times New Roman" w:cs="Times New Roman"/>
                    </w:rPr>
                  </w:pPr>
                </w:p>
              </w:tc>
              <w:tc>
                <w:tcPr>
                  <w:tcW w:w="656" w:type="pct"/>
                  <w:vMerge w:val="continue"/>
                  <w:tcBorders>
                    <w:top w:val="single" w:color="auto" w:sz="4" w:space="0"/>
                    <w:left w:val="single" w:color="auto" w:sz="4" w:space="0"/>
                    <w:bottom w:val="single" w:color="auto" w:sz="4" w:space="0"/>
                    <w:right w:val="single" w:color="auto" w:sz="4" w:space="0"/>
                  </w:tcBorders>
                  <w:vAlign w:val="center"/>
                </w:tcPr>
                <w:p>
                  <w:pPr>
                    <w:pStyle w:val="35"/>
                    <w:keepNext w:val="0"/>
                    <w:keepLines w:val="0"/>
                    <w:pageBreakBefore w:val="0"/>
                    <w:widowControl w:val="0"/>
                    <w:tabs>
                      <w:tab w:val="left" w:pos="1021"/>
                    </w:tabs>
                    <w:kinsoku/>
                    <w:wordWrap/>
                    <w:overflowPunct/>
                    <w:topLinePunct w:val="0"/>
                    <w:autoSpaceDE/>
                    <w:autoSpaceDN/>
                    <w:bidi w:val="0"/>
                    <w:adjustRightInd/>
                    <w:snapToGrid/>
                    <w:spacing w:after="0"/>
                    <w:textAlignment w:val="auto"/>
                    <w:rPr>
                      <w:rFonts w:hint="default" w:ascii="Times New Roman" w:hAnsi="Times New Roman" w:cs="Times New Roman"/>
                    </w:rPr>
                  </w:pPr>
                </w:p>
              </w:tc>
              <w:tc>
                <w:tcPr>
                  <w:tcW w:w="650" w:type="pct"/>
                  <w:vMerge w:val="continue"/>
                  <w:tcBorders>
                    <w:top w:val="single" w:color="auto" w:sz="4" w:space="0"/>
                    <w:left w:val="single" w:color="auto" w:sz="4" w:space="0"/>
                    <w:bottom w:val="single" w:color="auto" w:sz="4" w:space="0"/>
                    <w:right w:val="single" w:color="auto" w:sz="4" w:space="0"/>
                  </w:tcBorders>
                  <w:vAlign w:val="center"/>
                </w:tcPr>
                <w:p>
                  <w:pPr>
                    <w:pStyle w:val="35"/>
                    <w:keepNext w:val="0"/>
                    <w:keepLines w:val="0"/>
                    <w:pageBreakBefore w:val="0"/>
                    <w:widowControl w:val="0"/>
                    <w:tabs>
                      <w:tab w:val="left" w:pos="1021"/>
                    </w:tabs>
                    <w:kinsoku/>
                    <w:wordWrap/>
                    <w:overflowPunct/>
                    <w:topLinePunct w:val="0"/>
                    <w:autoSpaceDE/>
                    <w:autoSpaceDN/>
                    <w:bidi w:val="0"/>
                    <w:adjustRightInd/>
                    <w:snapToGrid/>
                    <w:spacing w:after="0"/>
                    <w:textAlignment w:val="auto"/>
                    <w:rPr>
                      <w:rFonts w:hint="default" w:ascii="Times New Roman" w:hAnsi="Times New Roman" w:cs="Times New Roman"/>
                    </w:rPr>
                  </w:pPr>
                </w:p>
              </w:tc>
              <w:tc>
                <w:tcPr>
                  <w:tcW w:w="722" w:type="pct"/>
                  <w:vMerge w:val="continue"/>
                  <w:tcBorders>
                    <w:top w:val="single" w:color="auto" w:sz="4" w:space="0"/>
                    <w:left w:val="single" w:color="auto" w:sz="4" w:space="0"/>
                    <w:bottom w:val="single" w:color="auto" w:sz="4" w:space="0"/>
                    <w:right w:val="single" w:color="auto" w:sz="4" w:space="0"/>
                  </w:tcBorders>
                  <w:vAlign w:val="center"/>
                </w:tcPr>
                <w:p>
                  <w:pPr>
                    <w:pStyle w:val="35"/>
                    <w:keepNext w:val="0"/>
                    <w:keepLines w:val="0"/>
                    <w:pageBreakBefore w:val="0"/>
                    <w:widowControl w:val="0"/>
                    <w:tabs>
                      <w:tab w:val="left" w:pos="1021"/>
                    </w:tabs>
                    <w:kinsoku/>
                    <w:wordWrap/>
                    <w:overflowPunct/>
                    <w:topLinePunct w:val="0"/>
                    <w:autoSpaceDE/>
                    <w:autoSpaceDN/>
                    <w:bidi w:val="0"/>
                    <w:adjustRightInd/>
                    <w:snapToGrid/>
                    <w:spacing w:after="0"/>
                    <w:textAlignment w:val="auto"/>
                    <w:rPr>
                      <w:rFonts w:hint="default" w:ascii="Times New Roman" w:hAnsi="Times New Roman"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3" w:type="pct"/>
                  <w:vMerge w:val="restart"/>
                  <w:tcBorders>
                    <w:top w:val="single" w:color="auto" w:sz="4" w:space="0"/>
                    <w:left w:val="single" w:color="auto" w:sz="4" w:space="0"/>
                    <w:right w:val="single" w:color="auto" w:sz="4" w:space="0"/>
                  </w:tcBorders>
                  <w:vAlign w:val="center"/>
                </w:tcPr>
                <w:p>
                  <w:pPr>
                    <w:pStyle w:val="35"/>
                    <w:keepNext w:val="0"/>
                    <w:keepLines w:val="0"/>
                    <w:pageBreakBefore w:val="0"/>
                    <w:widowControl w:val="0"/>
                    <w:tabs>
                      <w:tab w:val="left" w:pos="1021"/>
                    </w:tabs>
                    <w:kinsoku/>
                    <w:wordWrap/>
                    <w:overflowPunct/>
                    <w:topLinePunct w:val="0"/>
                    <w:autoSpaceDE/>
                    <w:autoSpaceDN/>
                    <w:bidi w:val="0"/>
                    <w:adjustRightInd/>
                    <w:snapToGrid/>
                    <w:spacing w:after="0"/>
                    <w:textAlignment w:val="auto"/>
                    <w:rPr>
                      <w:rFonts w:hint="default" w:ascii="Times New Roman" w:hAnsi="Times New Roman" w:cs="Times New Roman"/>
                    </w:rPr>
                  </w:pPr>
                  <w:r>
                    <w:rPr>
                      <w:rFonts w:hint="default" w:ascii="Times New Roman" w:hAnsi="Times New Roman" w:cs="Times New Roman"/>
                    </w:rPr>
                    <w:t>环境</w:t>
                  </w:r>
                </w:p>
                <w:p>
                  <w:pPr>
                    <w:pStyle w:val="35"/>
                    <w:keepNext w:val="0"/>
                    <w:keepLines w:val="0"/>
                    <w:pageBreakBefore w:val="0"/>
                    <w:widowControl w:val="0"/>
                    <w:tabs>
                      <w:tab w:val="left" w:pos="1021"/>
                    </w:tabs>
                    <w:kinsoku/>
                    <w:wordWrap/>
                    <w:overflowPunct/>
                    <w:topLinePunct w:val="0"/>
                    <w:autoSpaceDE/>
                    <w:autoSpaceDN/>
                    <w:bidi w:val="0"/>
                    <w:adjustRightInd/>
                    <w:snapToGrid/>
                    <w:spacing w:after="0"/>
                    <w:textAlignment w:val="auto"/>
                    <w:rPr>
                      <w:rFonts w:hint="default" w:ascii="Times New Roman" w:hAnsi="Times New Roman" w:cs="Times New Roman"/>
                    </w:rPr>
                  </w:pPr>
                  <w:r>
                    <w:rPr>
                      <w:rFonts w:hint="default" w:ascii="Times New Roman" w:hAnsi="Times New Roman" w:cs="Times New Roman"/>
                    </w:rPr>
                    <w:t>空气</w:t>
                  </w:r>
                </w:p>
              </w:tc>
              <w:tc>
                <w:tcPr>
                  <w:tcW w:w="557" w:type="pct"/>
                  <w:tcBorders>
                    <w:top w:val="single" w:color="auto" w:sz="4" w:space="0"/>
                    <w:left w:val="single" w:color="auto" w:sz="4" w:space="0"/>
                    <w:bottom w:val="single" w:color="auto" w:sz="4" w:space="0"/>
                    <w:right w:val="single" w:color="auto" w:sz="4" w:space="0"/>
                  </w:tcBorders>
                  <w:vAlign w:val="center"/>
                </w:tcPr>
                <w:p>
                  <w:pPr>
                    <w:pStyle w:val="35"/>
                    <w:keepNext w:val="0"/>
                    <w:keepLines w:val="0"/>
                    <w:pageBreakBefore w:val="0"/>
                    <w:widowControl w:val="0"/>
                    <w:tabs>
                      <w:tab w:val="left" w:pos="1021"/>
                    </w:tabs>
                    <w:kinsoku/>
                    <w:wordWrap/>
                    <w:overflowPunct/>
                    <w:topLinePunct w:val="0"/>
                    <w:autoSpaceDE/>
                    <w:autoSpaceDN/>
                    <w:bidi w:val="0"/>
                    <w:adjustRightInd/>
                    <w:snapToGrid/>
                    <w:spacing w:after="0"/>
                    <w:textAlignment w:val="auto"/>
                    <w:rPr>
                      <w:rFonts w:hint="default" w:ascii="Times New Roman" w:hAnsi="Times New Roman" w:cs="Times New Roman"/>
                    </w:rPr>
                  </w:pPr>
                  <w:r>
                    <w:rPr>
                      <w:rFonts w:hint="default" w:ascii="Times New Roman" w:hAnsi="Times New Roman" w:cs="Times New Roman"/>
                    </w:rPr>
                    <w:t>112°5′39.56″</w:t>
                  </w:r>
                </w:p>
              </w:tc>
              <w:tc>
                <w:tcPr>
                  <w:tcW w:w="587" w:type="pct"/>
                  <w:tcBorders>
                    <w:top w:val="single" w:color="auto" w:sz="4" w:space="0"/>
                    <w:left w:val="single" w:color="auto" w:sz="4" w:space="0"/>
                    <w:bottom w:val="single" w:color="auto" w:sz="4" w:space="0"/>
                    <w:right w:val="single" w:color="auto" w:sz="4" w:space="0"/>
                  </w:tcBorders>
                  <w:vAlign w:val="center"/>
                </w:tcPr>
                <w:p>
                  <w:pPr>
                    <w:pStyle w:val="35"/>
                    <w:keepNext w:val="0"/>
                    <w:keepLines w:val="0"/>
                    <w:pageBreakBefore w:val="0"/>
                    <w:widowControl w:val="0"/>
                    <w:tabs>
                      <w:tab w:val="left" w:pos="1021"/>
                    </w:tabs>
                    <w:kinsoku/>
                    <w:wordWrap/>
                    <w:overflowPunct/>
                    <w:topLinePunct w:val="0"/>
                    <w:autoSpaceDE/>
                    <w:autoSpaceDN/>
                    <w:bidi w:val="0"/>
                    <w:adjustRightInd/>
                    <w:snapToGrid/>
                    <w:spacing w:after="0"/>
                    <w:textAlignment w:val="auto"/>
                    <w:rPr>
                      <w:rFonts w:hint="default" w:ascii="Times New Roman" w:hAnsi="Times New Roman" w:cs="Times New Roman"/>
                    </w:rPr>
                  </w:pPr>
                  <w:r>
                    <w:rPr>
                      <w:rFonts w:hint="default" w:ascii="Times New Roman" w:hAnsi="Times New Roman" w:cs="Times New Roman"/>
                    </w:rPr>
                    <w:t>26°47′12.47″</w:t>
                  </w:r>
                </w:p>
              </w:tc>
              <w:tc>
                <w:tcPr>
                  <w:tcW w:w="646" w:type="pct"/>
                  <w:tcBorders>
                    <w:top w:val="single" w:color="auto" w:sz="4" w:space="0"/>
                    <w:left w:val="single" w:color="auto" w:sz="4" w:space="0"/>
                    <w:bottom w:val="single" w:color="auto" w:sz="4" w:space="0"/>
                    <w:right w:val="single" w:color="auto" w:sz="4" w:space="0"/>
                  </w:tcBorders>
                  <w:vAlign w:val="center"/>
                </w:tcPr>
                <w:p>
                  <w:pPr>
                    <w:pStyle w:val="35"/>
                    <w:keepNext w:val="0"/>
                    <w:keepLines w:val="0"/>
                    <w:pageBreakBefore w:val="0"/>
                    <w:widowControl w:val="0"/>
                    <w:tabs>
                      <w:tab w:val="left" w:pos="1021"/>
                    </w:tabs>
                    <w:kinsoku/>
                    <w:wordWrap/>
                    <w:overflowPunct/>
                    <w:topLinePunct w:val="0"/>
                    <w:autoSpaceDE/>
                    <w:autoSpaceDN/>
                    <w:bidi w:val="0"/>
                    <w:adjustRightInd/>
                    <w:snapToGrid/>
                    <w:spacing w:after="0"/>
                    <w:textAlignment w:val="auto"/>
                    <w:rPr>
                      <w:rFonts w:hint="default" w:ascii="Times New Roman" w:hAnsi="Times New Roman" w:eastAsia="宋体" w:cs="Times New Roman"/>
                      <w:lang w:val="en-US" w:eastAsia="zh-CN"/>
                    </w:rPr>
                  </w:pPr>
                  <w:r>
                    <w:rPr>
                      <w:rFonts w:hint="eastAsia" w:ascii="Times New Roman" w:hAnsi="Times New Roman" w:eastAsia="宋体" w:cs="Times New Roman"/>
                      <w:i w:val="0"/>
                      <w:iCs w:val="0"/>
                      <w:color w:val="auto"/>
                      <w:sz w:val="21"/>
                      <w:szCs w:val="21"/>
                      <w:u w:val="none" w:color="auto"/>
                      <w:lang w:val="en-US" w:eastAsia="zh-CN"/>
                    </w:rPr>
                    <w:t>祁东成章学校</w:t>
                  </w:r>
                </w:p>
              </w:tc>
              <w:tc>
                <w:tcPr>
                  <w:tcW w:w="756" w:type="pct"/>
                  <w:tcBorders>
                    <w:top w:val="single" w:color="auto" w:sz="4" w:space="0"/>
                    <w:left w:val="single" w:color="auto" w:sz="4" w:space="0"/>
                    <w:bottom w:val="single" w:color="auto" w:sz="4" w:space="0"/>
                    <w:right w:val="single" w:color="auto" w:sz="4" w:space="0"/>
                  </w:tcBorders>
                  <w:vAlign w:val="center"/>
                </w:tcPr>
                <w:p>
                  <w:pPr>
                    <w:pStyle w:val="35"/>
                    <w:keepNext w:val="0"/>
                    <w:keepLines w:val="0"/>
                    <w:pageBreakBefore w:val="0"/>
                    <w:widowControl w:val="0"/>
                    <w:tabs>
                      <w:tab w:val="left" w:pos="1021"/>
                    </w:tabs>
                    <w:kinsoku/>
                    <w:wordWrap/>
                    <w:overflowPunct/>
                    <w:topLinePunct w:val="0"/>
                    <w:autoSpaceDE/>
                    <w:autoSpaceDN/>
                    <w:bidi w:val="0"/>
                    <w:adjustRightInd/>
                    <w:snapToGrid/>
                    <w:spacing w:after="0"/>
                    <w:textAlignment w:val="auto"/>
                    <w:rPr>
                      <w:rFonts w:hint="default" w:ascii="Times New Roman" w:hAnsi="Times New Roman" w:cs="Times New Roman"/>
                    </w:rPr>
                  </w:pPr>
                  <w:r>
                    <w:rPr>
                      <w:rFonts w:hint="eastAsia" w:ascii="Times New Roman" w:hAnsi="Times New Roman" w:eastAsia="宋体" w:cs="Times New Roman"/>
                      <w:i w:val="0"/>
                      <w:iCs w:val="0"/>
                      <w:color w:val="auto"/>
                      <w:sz w:val="21"/>
                      <w:szCs w:val="21"/>
                      <w:u w:val="none" w:color="auto"/>
                      <w:lang w:val="en-US" w:eastAsia="zh-CN"/>
                    </w:rPr>
                    <w:t>教育，</w:t>
                  </w:r>
                  <w:r>
                    <w:rPr>
                      <w:rFonts w:hint="default" w:ascii="Times New Roman" w:hAnsi="Times New Roman" w:eastAsia="宋体" w:cs="Times New Roman"/>
                      <w:i w:val="0"/>
                      <w:iCs w:val="0"/>
                      <w:color w:val="auto"/>
                      <w:sz w:val="21"/>
                      <w:szCs w:val="21"/>
                      <w:u w:val="none" w:color="auto"/>
                      <w:lang w:val="en-US" w:eastAsia="zh-CN"/>
                    </w:rPr>
                    <w:t>约</w:t>
                  </w:r>
                  <w:r>
                    <w:rPr>
                      <w:rFonts w:hint="eastAsia" w:ascii="Times New Roman" w:hAnsi="Times New Roman" w:cs="Times New Roman"/>
                      <w:i w:val="0"/>
                      <w:iCs w:val="0"/>
                      <w:color w:val="auto"/>
                      <w:sz w:val="21"/>
                      <w:szCs w:val="21"/>
                      <w:u w:val="none" w:color="auto"/>
                      <w:lang w:val="en-US" w:eastAsia="zh-CN"/>
                    </w:rPr>
                    <w:t>3000</w:t>
                  </w:r>
                  <w:r>
                    <w:rPr>
                      <w:rFonts w:hint="default" w:ascii="Times New Roman" w:hAnsi="Times New Roman" w:eastAsia="宋体" w:cs="Times New Roman"/>
                      <w:i w:val="0"/>
                      <w:iCs w:val="0"/>
                      <w:color w:val="auto"/>
                      <w:sz w:val="21"/>
                      <w:szCs w:val="21"/>
                      <w:u w:val="none" w:color="auto"/>
                      <w:lang w:val="en-US" w:eastAsia="zh-CN"/>
                    </w:rPr>
                    <w:t>人</w:t>
                  </w:r>
                </w:p>
              </w:tc>
              <w:tc>
                <w:tcPr>
                  <w:tcW w:w="656" w:type="pct"/>
                  <w:vMerge w:val="restart"/>
                  <w:tcBorders>
                    <w:top w:val="single" w:color="auto" w:sz="4" w:space="0"/>
                    <w:left w:val="single" w:color="auto" w:sz="4" w:space="0"/>
                    <w:right w:val="single" w:color="auto" w:sz="4" w:space="0"/>
                  </w:tcBorders>
                  <w:vAlign w:val="center"/>
                </w:tcPr>
                <w:p>
                  <w:pPr>
                    <w:pStyle w:val="35"/>
                    <w:keepNext w:val="0"/>
                    <w:keepLines w:val="0"/>
                    <w:pageBreakBefore w:val="0"/>
                    <w:widowControl w:val="0"/>
                    <w:tabs>
                      <w:tab w:val="left" w:pos="1021"/>
                    </w:tabs>
                    <w:kinsoku/>
                    <w:wordWrap/>
                    <w:overflowPunct/>
                    <w:topLinePunct w:val="0"/>
                    <w:autoSpaceDE/>
                    <w:autoSpaceDN/>
                    <w:bidi w:val="0"/>
                    <w:adjustRightInd/>
                    <w:snapToGrid/>
                    <w:spacing w:after="0"/>
                    <w:textAlignment w:val="auto"/>
                    <w:rPr>
                      <w:rFonts w:hint="default" w:ascii="Times New Roman" w:hAnsi="Times New Roman" w:cs="Times New Roman"/>
                    </w:rPr>
                  </w:pPr>
                  <w:r>
                    <w:rPr>
                      <w:rFonts w:hint="default" w:ascii="Times New Roman" w:hAnsi="Times New Roman" w:cs="Times New Roman"/>
                    </w:rPr>
                    <w:t>GB3095-2012二类</w:t>
                  </w:r>
                </w:p>
              </w:tc>
              <w:tc>
                <w:tcPr>
                  <w:tcW w:w="650" w:type="pct"/>
                  <w:tcBorders>
                    <w:top w:val="single" w:color="auto" w:sz="4" w:space="0"/>
                    <w:left w:val="single" w:color="auto" w:sz="4" w:space="0"/>
                    <w:bottom w:val="single" w:color="auto" w:sz="4" w:space="0"/>
                    <w:right w:val="single" w:color="auto" w:sz="4" w:space="0"/>
                  </w:tcBorders>
                  <w:vAlign w:val="center"/>
                </w:tcPr>
                <w:p>
                  <w:pPr>
                    <w:pStyle w:val="35"/>
                    <w:keepNext w:val="0"/>
                    <w:keepLines w:val="0"/>
                    <w:pageBreakBefore w:val="0"/>
                    <w:widowControl w:val="0"/>
                    <w:tabs>
                      <w:tab w:val="left" w:pos="1021"/>
                    </w:tabs>
                    <w:kinsoku/>
                    <w:wordWrap/>
                    <w:overflowPunct/>
                    <w:topLinePunct w:val="0"/>
                    <w:autoSpaceDE/>
                    <w:autoSpaceDN/>
                    <w:bidi w:val="0"/>
                    <w:adjustRightInd/>
                    <w:snapToGrid/>
                    <w:spacing w:after="0"/>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N</w:t>
                  </w:r>
                </w:p>
              </w:tc>
              <w:tc>
                <w:tcPr>
                  <w:tcW w:w="722" w:type="pct"/>
                  <w:tcBorders>
                    <w:top w:val="single" w:color="auto" w:sz="4" w:space="0"/>
                    <w:left w:val="single" w:color="auto" w:sz="4" w:space="0"/>
                    <w:bottom w:val="single" w:color="auto" w:sz="4" w:space="0"/>
                    <w:right w:val="single" w:color="auto" w:sz="4" w:space="0"/>
                  </w:tcBorders>
                  <w:vAlign w:val="center"/>
                </w:tcPr>
                <w:p>
                  <w:pPr>
                    <w:pStyle w:val="35"/>
                    <w:keepNext w:val="0"/>
                    <w:keepLines w:val="0"/>
                    <w:pageBreakBefore w:val="0"/>
                    <w:widowControl w:val="0"/>
                    <w:tabs>
                      <w:tab w:val="left" w:pos="1021"/>
                    </w:tabs>
                    <w:kinsoku/>
                    <w:wordWrap/>
                    <w:overflowPunct/>
                    <w:topLinePunct w:val="0"/>
                    <w:autoSpaceDE/>
                    <w:autoSpaceDN/>
                    <w:bidi w:val="0"/>
                    <w:adjustRightInd/>
                    <w:snapToGrid/>
                    <w:spacing w:after="0"/>
                    <w:textAlignment w:val="auto"/>
                    <w:rPr>
                      <w:rFonts w:hint="default" w:ascii="Times New Roman" w:hAnsi="Times New Roman" w:cs="Times New Roman"/>
                    </w:rPr>
                  </w:pPr>
                  <w:r>
                    <w:rPr>
                      <w:rFonts w:hint="eastAsia" w:cs="Times New Roman"/>
                      <w:lang w:val="en-US" w:eastAsia="zh-CN"/>
                    </w:rPr>
                    <w:t>310</w:t>
                  </w:r>
                  <w:r>
                    <w:rPr>
                      <w:rFonts w:hint="default" w:ascii="Times New Roman" w:hAnsi="Times New Roman" w:cs="Times New Roman"/>
                      <w:lang w:val="en-US" w:eastAsia="zh-CN"/>
                    </w:rPr>
                    <w:t>~500</w:t>
                  </w:r>
                  <w:r>
                    <w:rPr>
                      <w:rFonts w:hint="default" w:ascii="Times New Roman" w:hAnsi="Times New Roman" w:cs="Times New Roman"/>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3" w:type="pct"/>
                  <w:vMerge w:val="continue"/>
                  <w:tcBorders>
                    <w:left w:val="single" w:color="auto" w:sz="4" w:space="0"/>
                    <w:right w:val="single" w:color="auto" w:sz="4" w:space="0"/>
                  </w:tcBorders>
                  <w:vAlign w:val="center"/>
                </w:tcPr>
                <w:p>
                  <w:pPr>
                    <w:pStyle w:val="35"/>
                    <w:keepNext w:val="0"/>
                    <w:keepLines w:val="0"/>
                    <w:pageBreakBefore w:val="0"/>
                    <w:widowControl w:val="0"/>
                    <w:tabs>
                      <w:tab w:val="left" w:pos="1021"/>
                    </w:tabs>
                    <w:kinsoku/>
                    <w:wordWrap/>
                    <w:overflowPunct/>
                    <w:topLinePunct w:val="0"/>
                    <w:autoSpaceDE/>
                    <w:autoSpaceDN/>
                    <w:bidi w:val="0"/>
                    <w:adjustRightInd/>
                    <w:snapToGrid/>
                    <w:spacing w:after="0"/>
                    <w:textAlignment w:val="auto"/>
                    <w:rPr>
                      <w:rFonts w:hint="default" w:ascii="Times New Roman" w:hAnsi="Times New Roman" w:cs="Times New Roman"/>
                    </w:rPr>
                  </w:pPr>
                </w:p>
              </w:tc>
              <w:tc>
                <w:tcPr>
                  <w:tcW w:w="557" w:type="pct"/>
                  <w:tcBorders>
                    <w:top w:val="single" w:color="auto" w:sz="4" w:space="0"/>
                    <w:left w:val="single" w:color="auto" w:sz="4" w:space="0"/>
                    <w:bottom w:val="single" w:color="auto" w:sz="4" w:space="0"/>
                    <w:right w:val="single" w:color="auto" w:sz="4" w:space="0"/>
                  </w:tcBorders>
                  <w:vAlign w:val="center"/>
                </w:tcPr>
                <w:p>
                  <w:pPr>
                    <w:pStyle w:val="35"/>
                    <w:keepNext w:val="0"/>
                    <w:keepLines w:val="0"/>
                    <w:pageBreakBefore w:val="0"/>
                    <w:widowControl w:val="0"/>
                    <w:tabs>
                      <w:tab w:val="left" w:pos="1021"/>
                    </w:tabs>
                    <w:kinsoku/>
                    <w:wordWrap/>
                    <w:overflowPunct/>
                    <w:topLinePunct w:val="0"/>
                    <w:autoSpaceDE/>
                    <w:autoSpaceDN/>
                    <w:bidi w:val="0"/>
                    <w:adjustRightInd/>
                    <w:snapToGrid/>
                    <w:spacing w:after="0"/>
                    <w:textAlignment w:val="auto"/>
                    <w:rPr>
                      <w:rFonts w:hint="default" w:ascii="Times New Roman" w:hAnsi="Times New Roman" w:cs="Times New Roman"/>
                    </w:rPr>
                  </w:pPr>
                  <w:r>
                    <w:rPr>
                      <w:rFonts w:hint="default" w:ascii="Times New Roman" w:hAnsi="Times New Roman" w:cs="Times New Roman"/>
                    </w:rPr>
                    <w:t>112°5′31.51″</w:t>
                  </w:r>
                </w:p>
              </w:tc>
              <w:tc>
                <w:tcPr>
                  <w:tcW w:w="587" w:type="pct"/>
                  <w:tcBorders>
                    <w:top w:val="single" w:color="auto" w:sz="4" w:space="0"/>
                    <w:left w:val="single" w:color="auto" w:sz="4" w:space="0"/>
                    <w:bottom w:val="single" w:color="auto" w:sz="4" w:space="0"/>
                    <w:right w:val="single" w:color="auto" w:sz="4" w:space="0"/>
                  </w:tcBorders>
                  <w:vAlign w:val="center"/>
                </w:tcPr>
                <w:p>
                  <w:pPr>
                    <w:pStyle w:val="35"/>
                    <w:keepNext w:val="0"/>
                    <w:keepLines w:val="0"/>
                    <w:pageBreakBefore w:val="0"/>
                    <w:widowControl w:val="0"/>
                    <w:tabs>
                      <w:tab w:val="left" w:pos="1021"/>
                    </w:tabs>
                    <w:kinsoku/>
                    <w:wordWrap/>
                    <w:overflowPunct/>
                    <w:topLinePunct w:val="0"/>
                    <w:autoSpaceDE/>
                    <w:autoSpaceDN/>
                    <w:bidi w:val="0"/>
                    <w:adjustRightInd/>
                    <w:snapToGrid/>
                    <w:spacing w:after="0"/>
                    <w:textAlignment w:val="auto"/>
                    <w:rPr>
                      <w:rFonts w:hint="default" w:ascii="Times New Roman" w:hAnsi="Times New Roman" w:cs="Times New Roman"/>
                    </w:rPr>
                  </w:pPr>
                  <w:r>
                    <w:rPr>
                      <w:rFonts w:hint="default" w:ascii="Times New Roman" w:hAnsi="Times New Roman" w:cs="Times New Roman"/>
                    </w:rPr>
                    <w:t>26°47′9.44″</w:t>
                  </w:r>
                </w:p>
              </w:tc>
              <w:tc>
                <w:tcPr>
                  <w:tcW w:w="646" w:type="pct"/>
                  <w:tcBorders>
                    <w:top w:val="single" w:color="auto" w:sz="4" w:space="0"/>
                    <w:left w:val="single" w:color="auto" w:sz="4" w:space="0"/>
                    <w:bottom w:val="single" w:color="auto" w:sz="4" w:space="0"/>
                    <w:right w:val="single" w:color="auto" w:sz="4" w:space="0"/>
                  </w:tcBorders>
                  <w:vAlign w:val="center"/>
                </w:tcPr>
                <w:p>
                  <w:pPr>
                    <w:pStyle w:val="35"/>
                    <w:keepNext w:val="0"/>
                    <w:keepLines w:val="0"/>
                    <w:pageBreakBefore w:val="0"/>
                    <w:widowControl w:val="0"/>
                    <w:tabs>
                      <w:tab w:val="left" w:pos="1021"/>
                    </w:tabs>
                    <w:kinsoku/>
                    <w:wordWrap/>
                    <w:overflowPunct/>
                    <w:topLinePunct w:val="0"/>
                    <w:autoSpaceDE/>
                    <w:autoSpaceDN/>
                    <w:bidi w:val="0"/>
                    <w:adjustRightInd/>
                    <w:snapToGrid/>
                    <w:spacing w:after="0"/>
                    <w:textAlignment w:val="auto"/>
                    <w:rPr>
                      <w:rFonts w:hint="eastAsia" w:ascii="Times New Roman" w:hAnsi="Times New Roman" w:eastAsia="宋体" w:cs="Times New Roman"/>
                      <w:i w:val="0"/>
                      <w:iCs w:val="0"/>
                      <w:color w:val="auto"/>
                      <w:sz w:val="21"/>
                      <w:szCs w:val="21"/>
                      <w:u w:val="none" w:color="auto"/>
                      <w:lang w:val="en-US" w:eastAsia="zh-CN"/>
                    </w:rPr>
                  </w:pPr>
                  <w:r>
                    <w:rPr>
                      <w:rFonts w:hint="eastAsia" w:ascii="Times New Roman" w:hAnsi="Times New Roman" w:eastAsia="宋体" w:cs="Times New Roman"/>
                      <w:i w:val="0"/>
                      <w:iCs w:val="0"/>
                      <w:color w:val="auto"/>
                      <w:sz w:val="21"/>
                      <w:szCs w:val="21"/>
                      <w:u w:val="none" w:color="auto"/>
                      <w:lang w:val="en-US" w:eastAsia="zh-CN"/>
                    </w:rPr>
                    <w:t>幸福家园</w:t>
                  </w:r>
                </w:p>
              </w:tc>
              <w:tc>
                <w:tcPr>
                  <w:tcW w:w="756" w:type="pct"/>
                  <w:tcBorders>
                    <w:top w:val="single" w:color="auto" w:sz="4" w:space="0"/>
                    <w:left w:val="single" w:color="auto" w:sz="4" w:space="0"/>
                    <w:bottom w:val="single" w:color="auto" w:sz="4" w:space="0"/>
                    <w:right w:val="single" w:color="auto" w:sz="4" w:space="0"/>
                  </w:tcBorders>
                  <w:vAlign w:val="center"/>
                </w:tcPr>
                <w:p>
                  <w:pPr>
                    <w:pStyle w:val="35"/>
                    <w:keepNext w:val="0"/>
                    <w:keepLines w:val="0"/>
                    <w:pageBreakBefore w:val="0"/>
                    <w:widowControl w:val="0"/>
                    <w:tabs>
                      <w:tab w:val="left" w:pos="1021"/>
                    </w:tabs>
                    <w:kinsoku/>
                    <w:wordWrap/>
                    <w:overflowPunct/>
                    <w:topLinePunct w:val="0"/>
                    <w:autoSpaceDE/>
                    <w:autoSpaceDN/>
                    <w:bidi w:val="0"/>
                    <w:adjustRightInd/>
                    <w:snapToGrid/>
                    <w:spacing w:after="0"/>
                    <w:textAlignment w:val="auto"/>
                    <w:rPr>
                      <w:rFonts w:hint="eastAsia" w:ascii="Times New Roman" w:hAnsi="Times New Roman" w:eastAsia="宋体" w:cs="Times New Roman"/>
                      <w:i w:val="0"/>
                      <w:iCs w:val="0"/>
                      <w:color w:val="auto"/>
                      <w:sz w:val="21"/>
                      <w:szCs w:val="21"/>
                      <w:u w:val="none" w:color="auto"/>
                      <w:lang w:val="en-US" w:eastAsia="zh-CN"/>
                    </w:rPr>
                  </w:pPr>
                  <w:r>
                    <w:rPr>
                      <w:rFonts w:hint="eastAsia" w:cs="Times New Roman"/>
                      <w:lang w:val="en-US" w:eastAsia="zh-CN"/>
                    </w:rPr>
                    <w:t>居住，约280</w:t>
                  </w:r>
                  <w:r>
                    <w:rPr>
                      <w:rFonts w:hint="default" w:ascii="Times New Roman" w:hAnsi="Times New Roman" w:eastAsia="宋体" w:cs="Times New Roman"/>
                      <w:i w:val="0"/>
                      <w:iCs w:val="0"/>
                      <w:color w:val="auto"/>
                      <w:sz w:val="21"/>
                      <w:szCs w:val="21"/>
                      <w:u w:val="none" w:color="auto"/>
                      <w:lang w:val="en-US" w:eastAsia="zh-CN"/>
                    </w:rPr>
                    <w:t>人</w:t>
                  </w:r>
                </w:p>
              </w:tc>
              <w:tc>
                <w:tcPr>
                  <w:tcW w:w="656" w:type="pct"/>
                  <w:vMerge w:val="continue"/>
                  <w:tcBorders>
                    <w:left w:val="single" w:color="auto" w:sz="4" w:space="0"/>
                    <w:right w:val="single" w:color="auto" w:sz="4" w:space="0"/>
                  </w:tcBorders>
                  <w:vAlign w:val="center"/>
                </w:tcPr>
                <w:p>
                  <w:pPr>
                    <w:pStyle w:val="35"/>
                    <w:keepNext w:val="0"/>
                    <w:keepLines w:val="0"/>
                    <w:pageBreakBefore w:val="0"/>
                    <w:widowControl w:val="0"/>
                    <w:tabs>
                      <w:tab w:val="left" w:pos="1021"/>
                    </w:tabs>
                    <w:kinsoku/>
                    <w:wordWrap/>
                    <w:overflowPunct/>
                    <w:topLinePunct w:val="0"/>
                    <w:autoSpaceDE/>
                    <w:autoSpaceDN/>
                    <w:bidi w:val="0"/>
                    <w:adjustRightInd/>
                    <w:snapToGrid/>
                    <w:spacing w:after="0"/>
                    <w:textAlignment w:val="auto"/>
                    <w:rPr>
                      <w:rFonts w:hint="default" w:ascii="Times New Roman" w:hAnsi="Times New Roman" w:cs="Times New Roman"/>
                    </w:rPr>
                  </w:pPr>
                </w:p>
              </w:tc>
              <w:tc>
                <w:tcPr>
                  <w:tcW w:w="650" w:type="pct"/>
                  <w:tcBorders>
                    <w:top w:val="single" w:color="auto" w:sz="4" w:space="0"/>
                    <w:left w:val="single" w:color="auto" w:sz="4" w:space="0"/>
                    <w:bottom w:val="single" w:color="auto" w:sz="4" w:space="0"/>
                    <w:right w:val="single" w:color="auto" w:sz="4" w:space="0"/>
                  </w:tcBorders>
                  <w:vAlign w:val="center"/>
                </w:tcPr>
                <w:p>
                  <w:pPr>
                    <w:pStyle w:val="35"/>
                    <w:keepNext w:val="0"/>
                    <w:keepLines w:val="0"/>
                    <w:pageBreakBefore w:val="0"/>
                    <w:widowControl w:val="0"/>
                    <w:tabs>
                      <w:tab w:val="left" w:pos="1021"/>
                    </w:tabs>
                    <w:kinsoku/>
                    <w:wordWrap/>
                    <w:overflowPunct/>
                    <w:topLinePunct w:val="0"/>
                    <w:autoSpaceDE/>
                    <w:autoSpaceDN/>
                    <w:bidi w:val="0"/>
                    <w:adjustRightInd/>
                    <w:snapToGrid/>
                    <w:spacing w:after="0"/>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N</w:t>
                  </w:r>
                </w:p>
              </w:tc>
              <w:tc>
                <w:tcPr>
                  <w:tcW w:w="722" w:type="pct"/>
                  <w:tcBorders>
                    <w:top w:val="single" w:color="auto" w:sz="4" w:space="0"/>
                    <w:left w:val="single" w:color="auto" w:sz="4" w:space="0"/>
                    <w:bottom w:val="single" w:color="auto" w:sz="4" w:space="0"/>
                    <w:right w:val="single" w:color="auto" w:sz="4" w:space="0"/>
                  </w:tcBorders>
                  <w:vAlign w:val="center"/>
                </w:tcPr>
                <w:p>
                  <w:pPr>
                    <w:pStyle w:val="35"/>
                    <w:keepNext w:val="0"/>
                    <w:keepLines w:val="0"/>
                    <w:pageBreakBefore w:val="0"/>
                    <w:widowControl w:val="0"/>
                    <w:tabs>
                      <w:tab w:val="left" w:pos="1021"/>
                    </w:tabs>
                    <w:kinsoku/>
                    <w:wordWrap/>
                    <w:overflowPunct/>
                    <w:topLinePunct w:val="0"/>
                    <w:autoSpaceDE/>
                    <w:autoSpaceDN/>
                    <w:bidi w:val="0"/>
                    <w:adjustRightInd/>
                    <w:snapToGrid/>
                    <w:spacing w:after="0"/>
                    <w:textAlignment w:val="auto"/>
                    <w:rPr>
                      <w:rFonts w:hint="default" w:cs="Times New Roman"/>
                      <w:lang w:val="en-US" w:eastAsia="zh-CN"/>
                    </w:rPr>
                  </w:pPr>
                  <w:r>
                    <w:rPr>
                      <w:rFonts w:hint="eastAsia" w:cs="Times New Roman"/>
                      <w:lang w:val="en-US" w:eastAsia="zh-CN"/>
                    </w:rPr>
                    <w:t>146</w:t>
                  </w:r>
                  <w:r>
                    <w:rPr>
                      <w:rFonts w:hint="default" w:ascii="Times New Roman" w:hAnsi="Times New Roman" w:cs="Times New Roman"/>
                      <w:lang w:val="en-US" w:eastAsia="zh-CN"/>
                    </w:rPr>
                    <w:t>~</w:t>
                  </w:r>
                  <w:r>
                    <w:rPr>
                      <w:rFonts w:hint="eastAsia" w:cs="Times New Roman"/>
                      <w:lang w:val="en-US" w:eastAsia="zh-CN"/>
                    </w:rPr>
                    <w:t>310</w:t>
                  </w:r>
                  <w:r>
                    <w:rPr>
                      <w:rFonts w:hint="default" w:ascii="Times New Roman" w:hAnsi="Times New Roman" w:cs="Times New Roman"/>
                      <w:lang w:val="en-US" w:eastAsia="zh-CN"/>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3" w:type="pct"/>
                  <w:vMerge w:val="continue"/>
                  <w:tcBorders>
                    <w:left w:val="single" w:color="auto" w:sz="4" w:space="0"/>
                    <w:right w:val="single" w:color="auto" w:sz="4" w:space="0"/>
                  </w:tcBorders>
                  <w:vAlign w:val="center"/>
                </w:tcPr>
                <w:p>
                  <w:pPr>
                    <w:pStyle w:val="35"/>
                    <w:keepNext w:val="0"/>
                    <w:keepLines w:val="0"/>
                    <w:pageBreakBefore w:val="0"/>
                    <w:widowControl w:val="0"/>
                    <w:tabs>
                      <w:tab w:val="left" w:pos="1021"/>
                    </w:tabs>
                    <w:kinsoku/>
                    <w:wordWrap/>
                    <w:overflowPunct/>
                    <w:topLinePunct w:val="0"/>
                    <w:autoSpaceDE/>
                    <w:autoSpaceDN/>
                    <w:bidi w:val="0"/>
                    <w:adjustRightInd/>
                    <w:snapToGrid/>
                    <w:spacing w:after="0"/>
                    <w:textAlignment w:val="auto"/>
                    <w:rPr>
                      <w:rFonts w:hint="default" w:ascii="Times New Roman" w:hAnsi="Times New Roman" w:cs="Times New Roman"/>
                    </w:rPr>
                  </w:pPr>
                </w:p>
              </w:tc>
              <w:tc>
                <w:tcPr>
                  <w:tcW w:w="557" w:type="pct"/>
                  <w:tcBorders>
                    <w:top w:val="single" w:color="auto" w:sz="4" w:space="0"/>
                    <w:left w:val="single" w:color="auto" w:sz="4" w:space="0"/>
                    <w:bottom w:val="single" w:color="auto" w:sz="4" w:space="0"/>
                    <w:right w:val="single" w:color="auto" w:sz="4" w:space="0"/>
                  </w:tcBorders>
                  <w:vAlign w:val="center"/>
                </w:tcPr>
                <w:p>
                  <w:pPr>
                    <w:pStyle w:val="35"/>
                    <w:keepNext w:val="0"/>
                    <w:keepLines w:val="0"/>
                    <w:pageBreakBefore w:val="0"/>
                    <w:widowControl w:val="0"/>
                    <w:tabs>
                      <w:tab w:val="left" w:pos="1021"/>
                    </w:tabs>
                    <w:kinsoku/>
                    <w:wordWrap/>
                    <w:overflowPunct/>
                    <w:topLinePunct w:val="0"/>
                    <w:autoSpaceDE/>
                    <w:autoSpaceDN/>
                    <w:bidi w:val="0"/>
                    <w:adjustRightInd/>
                    <w:snapToGrid/>
                    <w:spacing w:after="0"/>
                    <w:textAlignment w:val="auto"/>
                    <w:rPr>
                      <w:rFonts w:hint="default" w:ascii="Times New Roman" w:hAnsi="Times New Roman" w:cs="Times New Roman"/>
                    </w:rPr>
                  </w:pPr>
                  <w:r>
                    <w:rPr>
                      <w:rFonts w:hint="default" w:ascii="Times New Roman" w:hAnsi="Times New Roman" w:cs="Times New Roman"/>
                    </w:rPr>
                    <w:t>112°5′34.77″</w:t>
                  </w:r>
                </w:p>
              </w:tc>
              <w:tc>
                <w:tcPr>
                  <w:tcW w:w="587" w:type="pct"/>
                  <w:tcBorders>
                    <w:top w:val="single" w:color="auto" w:sz="4" w:space="0"/>
                    <w:left w:val="single" w:color="auto" w:sz="4" w:space="0"/>
                    <w:bottom w:val="single" w:color="auto" w:sz="4" w:space="0"/>
                    <w:right w:val="single" w:color="auto" w:sz="4" w:space="0"/>
                  </w:tcBorders>
                  <w:vAlign w:val="center"/>
                </w:tcPr>
                <w:p>
                  <w:pPr>
                    <w:pStyle w:val="35"/>
                    <w:keepNext w:val="0"/>
                    <w:keepLines w:val="0"/>
                    <w:pageBreakBefore w:val="0"/>
                    <w:widowControl w:val="0"/>
                    <w:tabs>
                      <w:tab w:val="left" w:pos="1021"/>
                    </w:tabs>
                    <w:kinsoku/>
                    <w:wordWrap/>
                    <w:overflowPunct/>
                    <w:topLinePunct w:val="0"/>
                    <w:autoSpaceDE/>
                    <w:autoSpaceDN/>
                    <w:bidi w:val="0"/>
                    <w:adjustRightInd/>
                    <w:snapToGrid/>
                    <w:spacing w:after="0"/>
                    <w:textAlignment w:val="auto"/>
                    <w:rPr>
                      <w:rFonts w:hint="default" w:ascii="Times New Roman" w:hAnsi="Times New Roman" w:cs="Times New Roman"/>
                    </w:rPr>
                  </w:pPr>
                  <w:r>
                    <w:rPr>
                      <w:rFonts w:hint="default" w:ascii="Times New Roman" w:hAnsi="Times New Roman" w:cs="Times New Roman"/>
                    </w:rPr>
                    <w:t>26°47′2.97″</w:t>
                  </w:r>
                </w:p>
              </w:tc>
              <w:tc>
                <w:tcPr>
                  <w:tcW w:w="646" w:type="pct"/>
                  <w:tcBorders>
                    <w:top w:val="single" w:color="auto" w:sz="4" w:space="0"/>
                    <w:left w:val="single" w:color="auto" w:sz="4" w:space="0"/>
                    <w:bottom w:val="single" w:color="auto" w:sz="4" w:space="0"/>
                    <w:right w:val="single" w:color="auto" w:sz="4" w:space="0"/>
                  </w:tcBorders>
                  <w:vAlign w:val="center"/>
                </w:tcPr>
                <w:p>
                  <w:pPr>
                    <w:pStyle w:val="35"/>
                    <w:keepNext w:val="0"/>
                    <w:keepLines w:val="0"/>
                    <w:pageBreakBefore w:val="0"/>
                    <w:widowControl w:val="0"/>
                    <w:tabs>
                      <w:tab w:val="left" w:pos="1021"/>
                    </w:tabs>
                    <w:kinsoku/>
                    <w:wordWrap/>
                    <w:overflowPunct/>
                    <w:topLinePunct w:val="0"/>
                    <w:autoSpaceDE/>
                    <w:autoSpaceDN/>
                    <w:bidi w:val="0"/>
                    <w:adjustRightInd/>
                    <w:snapToGrid/>
                    <w:spacing w:after="0"/>
                    <w:textAlignment w:val="auto"/>
                    <w:rPr>
                      <w:rFonts w:hint="default" w:ascii="Times New Roman" w:hAnsi="Times New Roman" w:cs="Times New Roman"/>
                      <w:lang w:eastAsia="zh-CN"/>
                    </w:rPr>
                  </w:pPr>
                  <w:r>
                    <w:rPr>
                      <w:rFonts w:hint="eastAsia" w:cs="Times New Roman"/>
                      <w:lang w:eastAsia="zh-CN"/>
                    </w:rPr>
                    <w:t>惠民小区</w:t>
                  </w:r>
                </w:p>
              </w:tc>
              <w:tc>
                <w:tcPr>
                  <w:tcW w:w="756" w:type="pct"/>
                  <w:tcBorders>
                    <w:top w:val="single" w:color="auto" w:sz="4" w:space="0"/>
                    <w:left w:val="single" w:color="auto" w:sz="4" w:space="0"/>
                    <w:bottom w:val="single" w:color="auto" w:sz="4" w:space="0"/>
                    <w:right w:val="single" w:color="auto" w:sz="4" w:space="0"/>
                  </w:tcBorders>
                  <w:vAlign w:val="center"/>
                </w:tcPr>
                <w:p>
                  <w:pPr>
                    <w:pStyle w:val="35"/>
                    <w:keepNext w:val="0"/>
                    <w:keepLines w:val="0"/>
                    <w:pageBreakBefore w:val="0"/>
                    <w:widowControl w:val="0"/>
                    <w:tabs>
                      <w:tab w:val="left" w:pos="1021"/>
                    </w:tabs>
                    <w:kinsoku/>
                    <w:wordWrap/>
                    <w:overflowPunct/>
                    <w:topLinePunct w:val="0"/>
                    <w:autoSpaceDE/>
                    <w:autoSpaceDN/>
                    <w:bidi w:val="0"/>
                    <w:adjustRightInd/>
                    <w:snapToGrid/>
                    <w:spacing w:after="0"/>
                    <w:textAlignment w:val="auto"/>
                    <w:rPr>
                      <w:rFonts w:hint="default" w:ascii="Times New Roman" w:hAnsi="Times New Roman" w:eastAsia="宋体" w:cs="Times New Roman"/>
                      <w:lang w:val="en-US" w:eastAsia="zh-CN"/>
                    </w:rPr>
                  </w:pPr>
                  <w:r>
                    <w:rPr>
                      <w:rFonts w:hint="eastAsia" w:cs="Times New Roman"/>
                      <w:lang w:val="en-US" w:eastAsia="zh-CN"/>
                    </w:rPr>
                    <w:t>居住，约2</w:t>
                  </w:r>
                  <w:r>
                    <w:rPr>
                      <w:rFonts w:hint="eastAsia" w:ascii="Times New Roman" w:hAnsi="Times New Roman" w:cs="Times New Roman"/>
                      <w:i w:val="0"/>
                      <w:iCs w:val="0"/>
                      <w:color w:val="auto"/>
                      <w:sz w:val="21"/>
                      <w:szCs w:val="21"/>
                      <w:u w:val="none" w:color="auto"/>
                      <w:lang w:val="en-US" w:eastAsia="zh-CN"/>
                    </w:rPr>
                    <w:t>000</w:t>
                  </w:r>
                  <w:r>
                    <w:rPr>
                      <w:rFonts w:hint="default" w:ascii="Times New Roman" w:hAnsi="Times New Roman" w:eastAsia="宋体" w:cs="Times New Roman"/>
                      <w:i w:val="0"/>
                      <w:iCs w:val="0"/>
                      <w:color w:val="auto"/>
                      <w:sz w:val="21"/>
                      <w:szCs w:val="21"/>
                      <w:u w:val="none" w:color="auto"/>
                      <w:lang w:val="en-US" w:eastAsia="zh-CN"/>
                    </w:rPr>
                    <w:t>人</w:t>
                  </w:r>
                </w:p>
              </w:tc>
              <w:tc>
                <w:tcPr>
                  <w:tcW w:w="656" w:type="pct"/>
                  <w:vMerge w:val="continue"/>
                  <w:tcBorders>
                    <w:left w:val="single" w:color="auto" w:sz="4" w:space="0"/>
                    <w:right w:val="single" w:color="auto" w:sz="4" w:space="0"/>
                  </w:tcBorders>
                  <w:vAlign w:val="center"/>
                </w:tcPr>
                <w:p>
                  <w:pPr>
                    <w:pStyle w:val="35"/>
                    <w:keepNext w:val="0"/>
                    <w:keepLines w:val="0"/>
                    <w:pageBreakBefore w:val="0"/>
                    <w:widowControl w:val="0"/>
                    <w:tabs>
                      <w:tab w:val="left" w:pos="1021"/>
                    </w:tabs>
                    <w:kinsoku/>
                    <w:wordWrap/>
                    <w:overflowPunct/>
                    <w:topLinePunct w:val="0"/>
                    <w:autoSpaceDE/>
                    <w:autoSpaceDN/>
                    <w:bidi w:val="0"/>
                    <w:adjustRightInd/>
                    <w:snapToGrid/>
                    <w:spacing w:after="0"/>
                    <w:textAlignment w:val="auto"/>
                    <w:rPr>
                      <w:rFonts w:hint="default" w:ascii="Times New Roman" w:hAnsi="Times New Roman" w:cs="Times New Roman"/>
                    </w:rPr>
                  </w:pPr>
                </w:p>
              </w:tc>
              <w:tc>
                <w:tcPr>
                  <w:tcW w:w="650" w:type="pct"/>
                  <w:tcBorders>
                    <w:top w:val="single" w:color="auto" w:sz="4" w:space="0"/>
                    <w:left w:val="single" w:color="auto" w:sz="4" w:space="0"/>
                    <w:bottom w:val="single" w:color="auto" w:sz="4" w:space="0"/>
                    <w:right w:val="single" w:color="auto" w:sz="4" w:space="0"/>
                  </w:tcBorders>
                  <w:vAlign w:val="center"/>
                </w:tcPr>
                <w:p>
                  <w:pPr>
                    <w:pStyle w:val="35"/>
                    <w:keepNext w:val="0"/>
                    <w:keepLines w:val="0"/>
                    <w:pageBreakBefore w:val="0"/>
                    <w:widowControl w:val="0"/>
                    <w:tabs>
                      <w:tab w:val="left" w:pos="1021"/>
                    </w:tabs>
                    <w:kinsoku/>
                    <w:wordWrap/>
                    <w:overflowPunct/>
                    <w:topLinePunct w:val="0"/>
                    <w:autoSpaceDE/>
                    <w:autoSpaceDN/>
                    <w:bidi w:val="0"/>
                    <w:adjustRightInd/>
                    <w:snapToGrid/>
                    <w:spacing w:after="0"/>
                    <w:textAlignment w:val="auto"/>
                    <w:rPr>
                      <w:rFonts w:hint="default" w:ascii="Times New Roman" w:hAnsi="Times New Roman" w:cs="Times New Roman"/>
                      <w:lang w:val="en-US" w:eastAsia="zh-CN"/>
                    </w:rPr>
                  </w:pPr>
                  <w:r>
                    <w:rPr>
                      <w:rFonts w:hint="eastAsia" w:cs="Times New Roman"/>
                      <w:lang w:val="en-US" w:eastAsia="zh-CN"/>
                    </w:rPr>
                    <w:t>E</w:t>
                  </w:r>
                </w:p>
              </w:tc>
              <w:tc>
                <w:tcPr>
                  <w:tcW w:w="722" w:type="pct"/>
                  <w:tcBorders>
                    <w:top w:val="single" w:color="auto" w:sz="4" w:space="0"/>
                    <w:left w:val="single" w:color="auto" w:sz="4" w:space="0"/>
                    <w:bottom w:val="single" w:color="auto" w:sz="4" w:space="0"/>
                    <w:right w:val="single" w:color="auto" w:sz="4" w:space="0"/>
                  </w:tcBorders>
                  <w:vAlign w:val="center"/>
                </w:tcPr>
                <w:p>
                  <w:pPr>
                    <w:pStyle w:val="35"/>
                    <w:keepNext w:val="0"/>
                    <w:keepLines w:val="0"/>
                    <w:pageBreakBefore w:val="0"/>
                    <w:widowControl w:val="0"/>
                    <w:tabs>
                      <w:tab w:val="left" w:pos="1021"/>
                    </w:tabs>
                    <w:kinsoku/>
                    <w:wordWrap/>
                    <w:overflowPunct/>
                    <w:topLinePunct w:val="0"/>
                    <w:autoSpaceDE/>
                    <w:autoSpaceDN/>
                    <w:bidi w:val="0"/>
                    <w:adjustRightInd/>
                    <w:snapToGrid/>
                    <w:spacing w:after="0"/>
                    <w:textAlignment w:val="auto"/>
                    <w:rPr>
                      <w:rFonts w:hint="default" w:ascii="Times New Roman" w:hAnsi="Times New Roman" w:cs="Times New Roman"/>
                      <w:lang w:val="en-US" w:eastAsia="zh-CN"/>
                    </w:rPr>
                  </w:pPr>
                  <w:r>
                    <w:rPr>
                      <w:rFonts w:hint="eastAsia" w:cs="Times New Roman"/>
                      <w:lang w:val="en-US" w:eastAsia="zh-CN"/>
                    </w:rPr>
                    <w:t>180</w:t>
                  </w:r>
                  <w:r>
                    <w:rPr>
                      <w:rFonts w:hint="default" w:ascii="Times New Roman" w:hAnsi="Times New Roman" w:cs="Times New Roman"/>
                      <w:lang w:val="en-US" w:eastAsia="zh-CN"/>
                    </w:rPr>
                    <w:t>~</w:t>
                  </w:r>
                  <w:r>
                    <w:rPr>
                      <w:rFonts w:hint="eastAsia" w:cs="Times New Roman"/>
                      <w:lang w:val="en-US" w:eastAsia="zh-CN"/>
                    </w:rPr>
                    <w:t>430</w:t>
                  </w:r>
                  <w:r>
                    <w:rPr>
                      <w:rFonts w:hint="default" w:ascii="Times New Roman" w:hAnsi="Times New Roman" w:cs="Times New Roman"/>
                      <w:lang w:val="en-US" w:eastAsia="zh-CN"/>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3" w:type="pct"/>
                  <w:vMerge w:val="continue"/>
                  <w:tcBorders>
                    <w:left w:val="single" w:color="auto" w:sz="4" w:space="0"/>
                    <w:right w:val="single" w:color="auto" w:sz="4" w:space="0"/>
                  </w:tcBorders>
                  <w:vAlign w:val="center"/>
                </w:tcPr>
                <w:p>
                  <w:pPr>
                    <w:pStyle w:val="35"/>
                    <w:keepNext w:val="0"/>
                    <w:keepLines w:val="0"/>
                    <w:pageBreakBefore w:val="0"/>
                    <w:widowControl w:val="0"/>
                    <w:tabs>
                      <w:tab w:val="left" w:pos="1021"/>
                    </w:tabs>
                    <w:kinsoku/>
                    <w:wordWrap/>
                    <w:overflowPunct/>
                    <w:topLinePunct w:val="0"/>
                    <w:autoSpaceDE/>
                    <w:autoSpaceDN/>
                    <w:bidi w:val="0"/>
                    <w:adjustRightInd/>
                    <w:snapToGrid/>
                    <w:spacing w:after="0"/>
                    <w:textAlignment w:val="auto"/>
                    <w:rPr>
                      <w:rFonts w:hint="default" w:ascii="Times New Roman" w:hAnsi="Times New Roman" w:cs="Times New Roman"/>
                    </w:rPr>
                  </w:pPr>
                </w:p>
              </w:tc>
              <w:tc>
                <w:tcPr>
                  <w:tcW w:w="557" w:type="pct"/>
                  <w:tcBorders>
                    <w:top w:val="single" w:color="auto" w:sz="4" w:space="0"/>
                    <w:left w:val="single" w:color="auto" w:sz="4" w:space="0"/>
                    <w:bottom w:val="single" w:color="auto" w:sz="4" w:space="0"/>
                    <w:right w:val="single" w:color="auto" w:sz="4" w:space="0"/>
                  </w:tcBorders>
                  <w:vAlign w:val="center"/>
                </w:tcPr>
                <w:p>
                  <w:pPr>
                    <w:pStyle w:val="35"/>
                    <w:keepNext w:val="0"/>
                    <w:keepLines w:val="0"/>
                    <w:pageBreakBefore w:val="0"/>
                    <w:widowControl w:val="0"/>
                    <w:tabs>
                      <w:tab w:val="left" w:pos="1021"/>
                    </w:tabs>
                    <w:kinsoku/>
                    <w:wordWrap/>
                    <w:overflowPunct/>
                    <w:topLinePunct w:val="0"/>
                    <w:autoSpaceDE/>
                    <w:autoSpaceDN/>
                    <w:bidi w:val="0"/>
                    <w:adjustRightInd/>
                    <w:snapToGrid/>
                    <w:spacing w:after="0"/>
                    <w:textAlignment w:val="auto"/>
                    <w:rPr>
                      <w:rFonts w:hint="default" w:ascii="Times New Roman" w:hAnsi="Times New Roman" w:cs="Times New Roman"/>
                    </w:rPr>
                  </w:pPr>
                  <w:r>
                    <w:rPr>
                      <w:rFonts w:hint="default" w:ascii="Times New Roman" w:hAnsi="Times New Roman" w:cs="Times New Roman"/>
                    </w:rPr>
                    <w:t>112°5′28.36″</w:t>
                  </w:r>
                </w:p>
              </w:tc>
              <w:tc>
                <w:tcPr>
                  <w:tcW w:w="587" w:type="pct"/>
                  <w:tcBorders>
                    <w:top w:val="single" w:color="auto" w:sz="4" w:space="0"/>
                    <w:left w:val="single" w:color="auto" w:sz="4" w:space="0"/>
                    <w:bottom w:val="single" w:color="auto" w:sz="4" w:space="0"/>
                    <w:right w:val="single" w:color="auto" w:sz="4" w:space="0"/>
                  </w:tcBorders>
                  <w:vAlign w:val="center"/>
                </w:tcPr>
                <w:p>
                  <w:pPr>
                    <w:pStyle w:val="35"/>
                    <w:keepNext w:val="0"/>
                    <w:keepLines w:val="0"/>
                    <w:pageBreakBefore w:val="0"/>
                    <w:widowControl w:val="0"/>
                    <w:tabs>
                      <w:tab w:val="left" w:pos="1021"/>
                    </w:tabs>
                    <w:kinsoku/>
                    <w:wordWrap/>
                    <w:overflowPunct/>
                    <w:topLinePunct w:val="0"/>
                    <w:autoSpaceDE/>
                    <w:autoSpaceDN/>
                    <w:bidi w:val="0"/>
                    <w:adjustRightInd/>
                    <w:snapToGrid/>
                    <w:spacing w:after="0"/>
                    <w:textAlignment w:val="auto"/>
                    <w:rPr>
                      <w:rFonts w:hint="default" w:ascii="Times New Roman" w:hAnsi="Times New Roman" w:cs="Times New Roman"/>
                    </w:rPr>
                  </w:pPr>
                  <w:r>
                    <w:rPr>
                      <w:rFonts w:hint="default" w:ascii="Times New Roman" w:hAnsi="Times New Roman" w:cs="Times New Roman"/>
                    </w:rPr>
                    <w:t>26°47′4.05″</w:t>
                  </w:r>
                </w:p>
              </w:tc>
              <w:tc>
                <w:tcPr>
                  <w:tcW w:w="646" w:type="pct"/>
                  <w:tcBorders>
                    <w:top w:val="single" w:color="auto" w:sz="4" w:space="0"/>
                    <w:left w:val="single" w:color="auto" w:sz="4" w:space="0"/>
                    <w:bottom w:val="single" w:color="auto" w:sz="4" w:space="0"/>
                    <w:right w:val="single" w:color="auto" w:sz="4" w:space="0"/>
                  </w:tcBorders>
                  <w:vAlign w:val="center"/>
                </w:tcPr>
                <w:p>
                  <w:pPr>
                    <w:pStyle w:val="35"/>
                    <w:keepNext w:val="0"/>
                    <w:keepLines w:val="0"/>
                    <w:pageBreakBefore w:val="0"/>
                    <w:widowControl w:val="0"/>
                    <w:tabs>
                      <w:tab w:val="left" w:pos="1021"/>
                    </w:tabs>
                    <w:kinsoku/>
                    <w:wordWrap/>
                    <w:overflowPunct/>
                    <w:topLinePunct w:val="0"/>
                    <w:autoSpaceDE/>
                    <w:autoSpaceDN/>
                    <w:bidi w:val="0"/>
                    <w:adjustRightInd/>
                    <w:snapToGrid/>
                    <w:spacing w:after="0"/>
                    <w:textAlignment w:val="auto"/>
                    <w:rPr>
                      <w:rFonts w:hint="default" w:ascii="Times New Roman" w:hAnsi="Times New Roman" w:cs="Times New Roman"/>
                      <w:lang w:eastAsia="zh-CN"/>
                    </w:rPr>
                  </w:pPr>
                  <w:r>
                    <w:rPr>
                      <w:rFonts w:hint="eastAsia" w:cs="Times New Roman"/>
                      <w:lang w:eastAsia="zh-CN"/>
                    </w:rPr>
                    <w:t>陈家新屋居民点</w:t>
                  </w:r>
                </w:p>
              </w:tc>
              <w:tc>
                <w:tcPr>
                  <w:tcW w:w="756" w:type="pct"/>
                  <w:tcBorders>
                    <w:top w:val="single" w:color="auto" w:sz="4" w:space="0"/>
                    <w:left w:val="single" w:color="auto" w:sz="4" w:space="0"/>
                    <w:bottom w:val="single" w:color="auto" w:sz="4" w:space="0"/>
                    <w:right w:val="single" w:color="auto" w:sz="4" w:space="0"/>
                  </w:tcBorders>
                  <w:vAlign w:val="center"/>
                </w:tcPr>
                <w:p>
                  <w:pPr>
                    <w:pStyle w:val="35"/>
                    <w:keepNext w:val="0"/>
                    <w:keepLines w:val="0"/>
                    <w:pageBreakBefore w:val="0"/>
                    <w:widowControl w:val="0"/>
                    <w:tabs>
                      <w:tab w:val="left" w:pos="1021"/>
                    </w:tabs>
                    <w:kinsoku/>
                    <w:wordWrap/>
                    <w:overflowPunct/>
                    <w:topLinePunct w:val="0"/>
                    <w:autoSpaceDE/>
                    <w:autoSpaceDN/>
                    <w:bidi w:val="0"/>
                    <w:adjustRightInd/>
                    <w:snapToGrid/>
                    <w:spacing w:after="0"/>
                    <w:textAlignment w:val="auto"/>
                    <w:rPr>
                      <w:rFonts w:hint="default" w:ascii="Times New Roman" w:hAnsi="Times New Roman" w:cs="Times New Roman"/>
                    </w:rPr>
                  </w:pPr>
                  <w:r>
                    <w:rPr>
                      <w:rFonts w:hint="eastAsia" w:cs="Times New Roman"/>
                      <w:lang w:val="en-US" w:eastAsia="zh-CN"/>
                    </w:rPr>
                    <w:t>居住，约2</w:t>
                  </w:r>
                  <w:r>
                    <w:rPr>
                      <w:rFonts w:hint="eastAsia" w:ascii="Times New Roman" w:hAnsi="Times New Roman" w:cs="Times New Roman"/>
                      <w:i w:val="0"/>
                      <w:iCs w:val="0"/>
                      <w:color w:val="auto"/>
                      <w:sz w:val="21"/>
                      <w:szCs w:val="21"/>
                      <w:u w:val="none" w:color="auto"/>
                      <w:lang w:val="en-US" w:eastAsia="zh-CN"/>
                    </w:rPr>
                    <w:t>00</w:t>
                  </w:r>
                  <w:r>
                    <w:rPr>
                      <w:rFonts w:hint="default" w:ascii="Times New Roman" w:hAnsi="Times New Roman" w:eastAsia="宋体" w:cs="Times New Roman"/>
                      <w:i w:val="0"/>
                      <w:iCs w:val="0"/>
                      <w:color w:val="auto"/>
                      <w:sz w:val="21"/>
                      <w:szCs w:val="21"/>
                      <w:u w:val="none" w:color="auto"/>
                      <w:lang w:val="en-US" w:eastAsia="zh-CN"/>
                    </w:rPr>
                    <w:t>人</w:t>
                  </w:r>
                </w:p>
              </w:tc>
              <w:tc>
                <w:tcPr>
                  <w:tcW w:w="656" w:type="pct"/>
                  <w:vMerge w:val="continue"/>
                  <w:tcBorders>
                    <w:left w:val="single" w:color="auto" w:sz="4" w:space="0"/>
                    <w:right w:val="single" w:color="auto" w:sz="4" w:space="0"/>
                  </w:tcBorders>
                  <w:vAlign w:val="center"/>
                </w:tcPr>
                <w:p>
                  <w:pPr>
                    <w:pStyle w:val="35"/>
                    <w:keepNext w:val="0"/>
                    <w:keepLines w:val="0"/>
                    <w:pageBreakBefore w:val="0"/>
                    <w:widowControl w:val="0"/>
                    <w:tabs>
                      <w:tab w:val="left" w:pos="1021"/>
                    </w:tabs>
                    <w:kinsoku/>
                    <w:wordWrap/>
                    <w:overflowPunct/>
                    <w:topLinePunct w:val="0"/>
                    <w:autoSpaceDE/>
                    <w:autoSpaceDN/>
                    <w:bidi w:val="0"/>
                    <w:adjustRightInd/>
                    <w:snapToGrid/>
                    <w:spacing w:after="0"/>
                    <w:textAlignment w:val="auto"/>
                    <w:rPr>
                      <w:rFonts w:hint="default" w:ascii="Times New Roman" w:hAnsi="Times New Roman" w:cs="Times New Roman"/>
                    </w:rPr>
                  </w:pPr>
                </w:p>
              </w:tc>
              <w:tc>
                <w:tcPr>
                  <w:tcW w:w="650" w:type="pct"/>
                  <w:tcBorders>
                    <w:top w:val="single" w:color="auto" w:sz="4" w:space="0"/>
                    <w:left w:val="single" w:color="auto" w:sz="4" w:space="0"/>
                    <w:bottom w:val="single" w:color="auto" w:sz="4" w:space="0"/>
                    <w:right w:val="single" w:color="auto" w:sz="4" w:space="0"/>
                  </w:tcBorders>
                  <w:vAlign w:val="center"/>
                </w:tcPr>
                <w:p>
                  <w:pPr>
                    <w:pStyle w:val="35"/>
                    <w:keepNext w:val="0"/>
                    <w:keepLines w:val="0"/>
                    <w:pageBreakBefore w:val="0"/>
                    <w:widowControl w:val="0"/>
                    <w:tabs>
                      <w:tab w:val="left" w:pos="1021"/>
                    </w:tabs>
                    <w:kinsoku/>
                    <w:wordWrap/>
                    <w:overflowPunct/>
                    <w:topLinePunct w:val="0"/>
                    <w:autoSpaceDE/>
                    <w:autoSpaceDN/>
                    <w:bidi w:val="0"/>
                    <w:adjustRightInd/>
                    <w:snapToGrid/>
                    <w:spacing w:after="0"/>
                    <w:textAlignment w:val="auto"/>
                    <w:rPr>
                      <w:rFonts w:hint="default" w:ascii="Times New Roman" w:hAnsi="Times New Roman" w:cs="Times New Roman"/>
                      <w:lang w:val="en-US" w:eastAsia="zh-CN"/>
                    </w:rPr>
                  </w:pPr>
                  <w:r>
                    <w:rPr>
                      <w:rFonts w:hint="eastAsia" w:cs="Times New Roman"/>
                      <w:lang w:val="en-US" w:eastAsia="zh-CN"/>
                    </w:rPr>
                    <w:t>S</w:t>
                  </w:r>
                </w:p>
              </w:tc>
              <w:tc>
                <w:tcPr>
                  <w:tcW w:w="722" w:type="pct"/>
                  <w:tcBorders>
                    <w:top w:val="single" w:color="auto" w:sz="4" w:space="0"/>
                    <w:left w:val="single" w:color="auto" w:sz="4" w:space="0"/>
                    <w:bottom w:val="single" w:color="auto" w:sz="4" w:space="0"/>
                    <w:right w:val="single" w:color="auto" w:sz="4" w:space="0"/>
                  </w:tcBorders>
                  <w:vAlign w:val="center"/>
                </w:tcPr>
                <w:p>
                  <w:pPr>
                    <w:pStyle w:val="35"/>
                    <w:keepNext w:val="0"/>
                    <w:keepLines w:val="0"/>
                    <w:pageBreakBefore w:val="0"/>
                    <w:widowControl w:val="0"/>
                    <w:tabs>
                      <w:tab w:val="left" w:pos="1021"/>
                    </w:tabs>
                    <w:kinsoku/>
                    <w:wordWrap/>
                    <w:overflowPunct/>
                    <w:topLinePunct w:val="0"/>
                    <w:autoSpaceDE/>
                    <w:autoSpaceDN/>
                    <w:bidi w:val="0"/>
                    <w:adjustRightInd/>
                    <w:snapToGrid/>
                    <w:spacing w:after="0"/>
                    <w:textAlignment w:val="auto"/>
                    <w:rPr>
                      <w:rFonts w:hint="default" w:ascii="Times New Roman" w:hAnsi="Times New Roman" w:cs="Times New Roman"/>
                      <w:lang w:val="en-US" w:eastAsia="zh-CN"/>
                    </w:rPr>
                  </w:pPr>
                  <w:r>
                    <w:rPr>
                      <w:rFonts w:hint="eastAsia" w:cs="Times New Roman"/>
                      <w:lang w:val="en-US" w:eastAsia="zh-CN"/>
                    </w:rPr>
                    <w:t>25</w:t>
                  </w:r>
                  <w:r>
                    <w:rPr>
                      <w:rFonts w:hint="default" w:ascii="Times New Roman" w:hAnsi="Times New Roman" w:cs="Times New Roman"/>
                      <w:lang w:val="en-US" w:eastAsia="zh-CN"/>
                    </w:rPr>
                    <w:t>~</w:t>
                  </w:r>
                  <w:r>
                    <w:rPr>
                      <w:rFonts w:hint="eastAsia" w:cs="Times New Roman"/>
                      <w:lang w:val="en-US" w:eastAsia="zh-CN"/>
                    </w:rPr>
                    <w:t>500</w:t>
                  </w:r>
                  <w:r>
                    <w:rPr>
                      <w:rFonts w:hint="default" w:ascii="Times New Roman" w:hAnsi="Times New Roman" w:cs="Times New Roman"/>
                      <w:lang w:val="en-US" w:eastAsia="zh-CN"/>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3" w:type="pct"/>
                  <w:vMerge w:val="continue"/>
                  <w:tcBorders>
                    <w:left w:val="single" w:color="auto" w:sz="4" w:space="0"/>
                    <w:right w:val="single" w:color="auto" w:sz="4" w:space="0"/>
                  </w:tcBorders>
                  <w:vAlign w:val="center"/>
                </w:tcPr>
                <w:p>
                  <w:pPr>
                    <w:pStyle w:val="35"/>
                    <w:keepNext w:val="0"/>
                    <w:keepLines w:val="0"/>
                    <w:pageBreakBefore w:val="0"/>
                    <w:widowControl w:val="0"/>
                    <w:tabs>
                      <w:tab w:val="left" w:pos="1021"/>
                    </w:tabs>
                    <w:kinsoku/>
                    <w:wordWrap/>
                    <w:overflowPunct/>
                    <w:topLinePunct w:val="0"/>
                    <w:autoSpaceDE/>
                    <w:autoSpaceDN/>
                    <w:bidi w:val="0"/>
                    <w:adjustRightInd/>
                    <w:snapToGrid/>
                    <w:spacing w:after="0"/>
                    <w:textAlignment w:val="auto"/>
                    <w:rPr>
                      <w:rFonts w:hint="default" w:ascii="Times New Roman" w:hAnsi="Times New Roman" w:cs="Times New Roman"/>
                    </w:rPr>
                  </w:pPr>
                </w:p>
              </w:tc>
              <w:tc>
                <w:tcPr>
                  <w:tcW w:w="557" w:type="pct"/>
                  <w:tcBorders>
                    <w:top w:val="single" w:color="auto" w:sz="4" w:space="0"/>
                    <w:left w:val="single" w:color="auto" w:sz="4" w:space="0"/>
                    <w:bottom w:val="single" w:color="auto" w:sz="4" w:space="0"/>
                    <w:right w:val="single" w:color="auto" w:sz="4" w:space="0"/>
                  </w:tcBorders>
                  <w:vAlign w:val="center"/>
                </w:tcPr>
                <w:p>
                  <w:pPr>
                    <w:pStyle w:val="35"/>
                    <w:keepNext w:val="0"/>
                    <w:keepLines w:val="0"/>
                    <w:pageBreakBefore w:val="0"/>
                    <w:widowControl w:val="0"/>
                    <w:tabs>
                      <w:tab w:val="left" w:pos="1021"/>
                    </w:tabs>
                    <w:kinsoku/>
                    <w:wordWrap/>
                    <w:overflowPunct/>
                    <w:topLinePunct w:val="0"/>
                    <w:autoSpaceDE/>
                    <w:autoSpaceDN/>
                    <w:bidi w:val="0"/>
                    <w:adjustRightInd/>
                    <w:snapToGrid/>
                    <w:spacing w:after="0"/>
                    <w:textAlignment w:val="auto"/>
                    <w:rPr>
                      <w:rFonts w:hint="default" w:ascii="Times New Roman" w:hAnsi="Times New Roman" w:cs="Times New Roman"/>
                    </w:rPr>
                  </w:pPr>
                  <w:r>
                    <w:rPr>
                      <w:rFonts w:hint="default" w:ascii="Times New Roman" w:hAnsi="Times New Roman" w:cs="Times New Roman"/>
                    </w:rPr>
                    <w:t>112°5′17.03″</w:t>
                  </w:r>
                </w:p>
              </w:tc>
              <w:tc>
                <w:tcPr>
                  <w:tcW w:w="587" w:type="pct"/>
                  <w:tcBorders>
                    <w:top w:val="single" w:color="auto" w:sz="4" w:space="0"/>
                    <w:left w:val="single" w:color="auto" w:sz="4" w:space="0"/>
                    <w:bottom w:val="single" w:color="auto" w:sz="4" w:space="0"/>
                    <w:right w:val="single" w:color="auto" w:sz="4" w:space="0"/>
                  </w:tcBorders>
                  <w:vAlign w:val="center"/>
                </w:tcPr>
                <w:p>
                  <w:pPr>
                    <w:pStyle w:val="35"/>
                    <w:keepNext w:val="0"/>
                    <w:keepLines w:val="0"/>
                    <w:pageBreakBefore w:val="0"/>
                    <w:widowControl w:val="0"/>
                    <w:tabs>
                      <w:tab w:val="left" w:pos="1021"/>
                    </w:tabs>
                    <w:kinsoku/>
                    <w:wordWrap/>
                    <w:overflowPunct/>
                    <w:topLinePunct w:val="0"/>
                    <w:autoSpaceDE/>
                    <w:autoSpaceDN/>
                    <w:bidi w:val="0"/>
                    <w:adjustRightInd/>
                    <w:snapToGrid/>
                    <w:spacing w:after="0"/>
                    <w:textAlignment w:val="auto"/>
                    <w:rPr>
                      <w:rFonts w:hint="default" w:ascii="Times New Roman" w:hAnsi="Times New Roman" w:cs="Times New Roman"/>
                    </w:rPr>
                  </w:pPr>
                  <w:r>
                    <w:rPr>
                      <w:rFonts w:hint="default" w:ascii="Times New Roman" w:hAnsi="Times New Roman" w:cs="Times New Roman"/>
                    </w:rPr>
                    <w:t>26°47′4.98″</w:t>
                  </w:r>
                </w:p>
              </w:tc>
              <w:tc>
                <w:tcPr>
                  <w:tcW w:w="646" w:type="pct"/>
                  <w:tcBorders>
                    <w:top w:val="single" w:color="auto" w:sz="4" w:space="0"/>
                    <w:left w:val="single" w:color="auto" w:sz="4" w:space="0"/>
                    <w:bottom w:val="single" w:color="auto" w:sz="4" w:space="0"/>
                    <w:right w:val="single" w:color="auto" w:sz="4" w:space="0"/>
                  </w:tcBorders>
                  <w:vAlign w:val="center"/>
                </w:tcPr>
                <w:p>
                  <w:pPr>
                    <w:pStyle w:val="35"/>
                    <w:keepNext w:val="0"/>
                    <w:keepLines w:val="0"/>
                    <w:pageBreakBefore w:val="0"/>
                    <w:widowControl w:val="0"/>
                    <w:tabs>
                      <w:tab w:val="left" w:pos="1021"/>
                    </w:tabs>
                    <w:kinsoku/>
                    <w:wordWrap/>
                    <w:overflowPunct/>
                    <w:topLinePunct w:val="0"/>
                    <w:autoSpaceDE/>
                    <w:autoSpaceDN/>
                    <w:bidi w:val="0"/>
                    <w:adjustRightInd/>
                    <w:snapToGrid/>
                    <w:spacing w:after="0"/>
                    <w:textAlignment w:val="auto"/>
                    <w:rPr>
                      <w:rFonts w:hint="default" w:ascii="Times New Roman" w:hAnsi="Times New Roman" w:eastAsia="宋体" w:cs="Times New Roman"/>
                      <w:lang w:val="en-US" w:eastAsia="zh-CN"/>
                    </w:rPr>
                  </w:pPr>
                  <w:r>
                    <w:rPr>
                      <w:rFonts w:hint="eastAsia" w:cs="Times New Roman"/>
                      <w:lang w:eastAsia="zh-CN"/>
                    </w:rPr>
                    <w:t>黄土井居民点</w:t>
                  </w:r>
                </w:p>
              </w:tc>
              <w:tc>
                <w:tcPr>
                  <w:tcW w:w="756" w:type="pct"/>
                  <w:tcBorders>
                    <w:top w:val="single" w:color="auto" w:sz="4" w:space="0"/>
                    <w:left w:val="single" w:color="auto" w:sz="4" w:space="0"/>
                    <w:bottom w:val="single" w:color="auto" w:sz="4" w:space="0"/>
                    <w:right w:val="single" w:color="auto" w:sz="4" w:space="0"/>
                  </w:tcBorders>
                  <w:vAlign w:val="center"/>
                </w:tcPr>
                <w:p>
                  <w:pPr>
                    <w:pStyle w:val="35"/>
                    <w:keepNext w:val="0"/>
                    <w:keepLines w:val="0"/>
                    <w:pageBreakBefore w:val="0"/>
                    <w:widowControl w:val="0"/>
                    <w:tabs>
                      <w:tab w:val="left" w:pos="1021"/>
                    </w:tabs>
                    <w:kinsoku/>
                    <w:wordWrap/>
                    <w:overflowPunct/>
                    <w:topLinePunct w:val="0"/>
                    <w:autoSpaceDE/>
                    <w:autoSpaceDN/>
                    <w:bidi w:val="0"/>
                    <w:adjustRightInd/>
                    <w:snapToGrid/>
                    <w:spacing w:after="0"/>
                    <w:textAlignment w:val="auto"/>
                    <w:rPr>
                      <w:rFonts w:hint="default" w:ascii="Times New Roman" w:hAnsi="Times New Roman" w:cs="Times New Roman"/>
                    </w:rPr>
                  </w:pPr>
                  <w:r>
                    <w:rPr>
                      <w:rFonts w:hint="default" w:ascii="Times New Roman" w:hAnsi="Times New Roman" w:cs="Times New Roman"/>
                    </w:rPr>
                    <w:t>约</w:t>
                  </w:r>
                  <w:r>
                    <w:rPr>
                      <w:rFonts w:hint="default" w:ascii="Times New Roman" w:hAnsi="Times New Roman" w:cs="Times New Roman"/>
                      <w:lang w:val="en-US" w:eastAsia="zh-CN"/>
                    </w:rPr>
                    <w:t>30</w:t>
                  </w:r>
                  <w:r>
                    <w:rPr>
                      <w:rFonts w:hint="default" w:ascii="Times New Roman" w:hAnsi="Times New Roman" w:cs="Times New Roman"/>
                    </w:rPr>
                    <w:t>户，约</w:t>
                  </w:r>
                  <w:r>
                    <w:rPr>
                      <w:rFonts w:hint="default" w:ascii="Times New Roman" w:hAnsi="Times New Roman" w:cs="Times New Roman"/>
                      <w:lang w:val="en-US" w:eastAsia="zh-CN"/>
                    </w:rPr>
                    <w:t>120</w:t>
                  </w:r>
                  <w:r>
                    <w:rPr>
                      <w:rFonts w:hint="default" w:ascii="Times New Roman" w:hAnsi="Times New Roman" w:cs="Times New Roman"/>
                    </w:rPr>
                    <w:t>人</w:t>
                  </w:r>
                </w:p>
              </w:tc>
              <w:tc>
                <w:tcPr>
                  <w:tcW w:w="656" w:type="pct"/>
                  <w:vMerge w:val="continue"/>
                  <w:tcBorders>
                    <w:left w:val="single" w:color="auto" w:sz="4" w:space="0"/>
                    <w:right w:val="single" w:color="auto" w:sz="4" w:space="0"/>
                  </w:tcBorders>
                  <w:vAlign w:val="center"/>
                </w:tcPr>
                <w:p>
                  <w:pPr>
                    <w:pStyle w:val="35"/>
                    <w:keepNext w:val="0"/>
                    <w:keepLines w:val="0"/>
                    <w:pageBreakBefore w:val="0"/>
                    <w:widowControl w:val="0"/>
                    <w:tabs>
                      <w:tab w:val="left" w:pos="1021"/>
                    </w:tabs>
                    <w:kinsoku/>
                    <w:wordWrap/>
                    <w:overflowPunct/>
                    <w:topLinePunct w:val="0"/>
                    <w:autoSpaceDE/>
                    <w:autoSpaceDN/>
                    <w:bidi w:val="0"/>
                    <w:adjustRightInd/>
                    <w:snapToGrid/>
                    <w:spacing w:after="0"/>
                    <w:textAlignment w:val="auto"/>
                    <w:rPr>
                      <w:rFonts w:hint="default" w:ascii="Times New Roman" w:hAnsi="Times New Roman" w:cs="Times New Roman"/>
                    </w:rPr>
                  </w:pPr>
                </w:p>
              </w:tc>
              <w:tc>
                <w:tcPr>
                  <w:tcW w:w="650" w:type="pct"/>
                  <w:tcBorders>
                    <w:top w:val="single" w:color="auto" w:sz="4" w:space="0"/>
                    <w:left w:val="single" w:color="auto" w:sz="4" w:space="0"/>
                    <w:bottom w:val="single" w:color="auto" w:sz="4" w:space="0"/>
                    <w:right w:val="single" w:color="auto" w:sz="4" w:space="0"/>
                  </w:tcBorders>
                  <w:vAlign w:val="center"/>
                </w:tcPr>
                <w:p>
                  <w:pPr>
                    <w:pStyle w:val="35"/>
                    <w:keepNext w:val="0"/>
                    <w:keepLines w:val="0"/>
                    <w:pageBreakBefore w:val="0"/>
                    <w:widowControl w:val="0"/>
                    <w:tabs>
                      <w:tab w:val="left" w:pos="1021"/>
                    </w:tabs>
                    <w:kinsoku/>
                    <w:wordWrap/>
                    <w:overflowPunct/>
                    <w:topLinePunct w:val="0"/>
                    <w:autoSpaceDE/>
                    <w:autoSpaceDN/>
                    <w:bidi w:val="0"/>
                    <w:adjustRightInd/>
                    <w:snapToGrid/>
                    <w:spacing w:after="0"/>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W</w:t>
                  </w:r>
                </w:p>
              </w:tc>
              <w:tc>
                <w:tcPr>
                  <w:tcW w:w="722" w:type="pct"/>
                  <w:tcBorders>
                    <w:top w:val="single" w:color="auto" w:sz="4" w:space="0"/>
                    <w:left w:val="single" w:color="auto" w:sz="4" w:space="0"/>
                    <w:bottom w:val="single" w:color="auto" w:sz="4" w:space="0"/>
                    <w:right w:val="single" w:color="auto" w:sz="4" w:space="0"/>
                  </w:tcBorders>
                  <w:vAlign w:val="center"/>
                </w:tcPr>
                <w:p>
                  <w:pPr>
                    <w:pStyle w:val="35"/>
                    <w:keepNext w:val="0"/>
                    <w:keepLines w:val="0"/>
                    <w:pageBreakBefore w:val="0"/>
                    <w:widowControl w:val="0"/>
                    <w:tabs>
                      <w:tab w:val="left" w:pos="1021"/>
                    </w:tabs>
                    <w:kinsoku/>
                    <w:wordWrap/>
                    <w:overflowPunct/>
                    <w:topLinePunct w:val="0"/>
                    <w:autoSpaceDE/>
                    <w:autoSpaceDN/>
                    <w:bidi w:val="0"/>
                    <w:adjustRightInd/>
                    <w:snapToGrid/>
                    <w:spacing w:after="0"/>
                    <w:textAlignment w:val="auto"/>
                    <w:rPr>
                      <w:rFonts w:hint="default" w:ascii="Times New Roman" w:hAnsi="Times New Roman" w:cs="Times New Roman"/>
                    </w:rPr>
                  </w:pPr>
                  <w:r>
                    <w:rPr>
                      <w:rFonts w:hint="eastAsia" w:cs="Times New Roman"/>
                      <w:lang w:val="en-US" w:eastAsia="zh-CN"/>
                    </w:rPr>
                    <w:t>295</w:t>
                  </w:r>
                  <w:r>
                    <w:rPr>
                      <w:rFonts w:hint="default" w:ascii="Times New Roman" w:hAnsi="Times New Roman" w:cs="Times New Roman"/>
                      <w:lang w:val="en-US" w:eastAsia="zh-CN"/>
                    </w:rPr>
                    <w:t>~500</w:t>
                  </w:r>
                  <w:r>
                    <w:rPr>
                      <w:rFonts w:hint="default" w:ascii="Times New Roman" w:hAnsi="Times New Roman" w:cs="Times New Roman"/>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3" w:type="pct"/>
                  <w:tcBorders>
                    <w:top w:val="single" w:color="auto" w:sz="4" w:space="0"/>
                    <w:left w:val="single" w:color="auto" w:sz="4" w:space="0"/>
                    <w:bottom w:val="single" w:color="auto" w:sz="4" w:space="0"/>
                    <w:right w:val="single" w:color="auto" w:sz="4" w:space="0"/>
                  </w:tcBorders>
                  <w:vAlign w:val="center"/>
                </w:tcPr>
                <w:p>
                  <w:pPr>
                    <w:pStyle w:val="35"/>
                    <w:keepNext w:val="0"/>
                    <w:keepLines w:val="0"/>
                    <w:pageBreakBefore w:val="0"/>
                    <w:widowControl w:val="0"/>
                    <w:tabs>
                      <w:tab w:val="left" w:pos="1021"/>
                    </w:tabs>
                    <w:kinsoku/>
                    <w:wordWrap/>
                    <w:overflowPunct/>
                    <w:topLinePunct w:val="0"/>
                    <w:autoSpaceDE/>
                    <w:autoSpaceDN/>
                    <w:bidi w:val="0"/>
                    <w:adjustRightInd/>
                    <w:snapToGrid/>
                    <w:spacing w:after="0"/>
                    <w:textAlignment w:val="auto"/>
                    <w:rPr>
                      <w:rFonts w:hint="default" w:ascii="Times New Roman" w:hAnsi="Times New Roman" w:cs="Times New Roman"/>
                    </w:rPr>
                  </w:pPr>
                  <w:r>
                    <w:rPr>
                      <w:rFonts w:hint="default" w:ascii="Times New Roman" w:hAnsi="Times New Roman" w:cs="Times New Roman"/>
                    </w:rPr>
                    <w:t>水环境</w:t>
                  </w:r>
                </w:p>
              </w:tc>
              <w:tc>
                <w:tcPr>
                  <w:tcW w:w="1144" w:type="pct"/>
                  <w:gridSpan w:val="2"/>
                  <w:tcBorders>
                    <w:top w:val="single" w:color="auto" w:sz="4" w:space="0"/>
                    <w:left w:val="single" w:color="auto" w:sz="4" w:space="0"/>
                    <w:bottom w:val="single" w:color="auto" w:sz="4" w:space="0"/>
                    <w:right w:val="single" w:color="auto" w:sz="4" w:space="0"/>
                  </w:tcBorders>
                  <w:vAlign w:val="center"/>
                </w:tcPr>
                <w:p>
                  <w:pPr>
                    <w:pStyle w:val="35"/>
                    <w:keepNext w:val="0"/>
                    <w:keepLines w:val="0"/>
                    <w:pageBreakBefore w:val="0"/>
                    <w:widowControl w:val="0"/>
                    <w:tabs>
                      <w:tab w:val="left" w:pos="1021"/>
                    </w:tabs>
                    <w:kinsoku/>
                    <w:wordWrap/>
                    <w:overflowPunct/>
                    <w:topLinePunct w:val="0"/>
                    <w:autoSpaceDE/>
                    <w:autoSpaceDN/>
                    <w:bidi w:val="0"/>
                    <w:adjustRightInd/>
                    <w:snapToGrid/>
                    <w:spacing w:after="0"/>
                    <w:textAlignment w:val="auto"/>
                    <w:rPr>
                      <w:rFonts w:hint="default" w:ascii="Times New Roman" w:hAnsi="Times New Roman" w:cs="Times New Roman"/>
                      <w:lang w:eastAsia="zh-CN"/>
                    </w:rPr>
                  </w:pPr>
                  <w:r>
                    <w:rPr>
                      <w:rFonts w:hint="eastAsia" w:ascii="Times New Roman" w:hAnsi="Times New Roman" w:eastAsia="宋体" w:cs="Times New Roman"/>
                      <w:i w:val="0"/>
                      <w:iCs w:val="0"/>
                      <w:color w:val="auto"/>
                      <w:sz w:val="21"/>
                      <w:szCs w:val="21"/>
                      <w:u w:val="none" w:color="auto"/>
                      <w:lang w:val="en-US" w:eastAsia="zh-CN"/>
                    </w:rPr>
                    <w:t>洪桥小溪</w:t>
                  </w:r>
                </w:p>
              </w:tc>
              <w:tc>
                <w:tcPr>
                  <w:tcW w:w="646" w:type="pct"/>
                  <w:tcBorders>
                    <w:top w:val="single" w:color="auto" w:sz="4" w:space="0"/>
                    <w:left w:val="single" w:color="auto" w:sz="4" w:space="0"/>
                    <w:bottom w:val="single" w:color="auto" w:sz="4" w:space="0"/>
                    <w:right w:val="single" w:color="auto" w:sz="4" w:space="0"/>
                  </w:tcBorders>
                  <w:vAlign w:val="center"/>
                </w:tcPr>
                <w:p>
                  <w:pPr>
                    <w:pStyle w:val="35"/>
                    <w:keepNext w:val="0"/>
                    <w:keepLines w:val="0"/>
                    <w:pageBreakBefore w:val="0"/>
                    <w:widowControl w:val="0"/>
                    <w:tabs>
                      <w:tab w:val="left" w:pos="1021"/>
                    </w:tabs>
                    <w:kinsoku/>
                    <w:wordWrap/>
                    <w:overflowPunct/>
                    <w:topLinePunct w:val="0"/>
                    <w:autoSpaceDE/>
                    <w:autoSpaceDN/>
                    <w:bidi w:val="0"/>
                    <w:adjustRightInd/>
                    <w:snapToGrid/>
                    <w:spacing w:after="0"/>
                    <w:textAlignment w:val="auto"/>
                    <w:rPr>
                      <w:rFonts w:hint="default" w:ascii="Times New Roman" w:hAnsi="Times New Roman" w:cs="Times New Roman"/>
                      <w:lang w:eastAsia="zh-CN"/>
                    </w:rPr>
                  </w:pPr>
                  <w:r>
                    <w:rPr>
                      <w:rFonts w:hint="eastAsia" w:ascii="Times New Roman" w:hAnsi="Times New Roman" w:eastAsia="宋体" w:cs="Times New Roman"/>
                      <w:i w:val="0"/>
                      <w:iCs w:val="0"/>
                      <w:color w:val="auto"/>
                      <w:sz w:val="21"/>
                      <w:szCs w:val="21"/>
                      <w:u w:val="none" w:color="auto"/>
                      <w:lang w:val="en-US" w:eastAsia="zh-CN"/>
                    </w:rPr>
                    <w:t>灌溉用水</w:t>
                  </w:r>
                </w:p>
              </w:tc>
              <w:tc>
                <w:tcPr>
                  <w:tcW w:w="756" w:type="pct"/>
                  <w:tcBorders>
                    <w:top w:val="single" w:color="auto" w:sz="4" w:space="0"/>
                    <w:left w:val="single" w:color="auto" w:sz="4" w:space="0"/>
                    <w:bottom w:val="single" w:color="auto" w:sz="4" w:space="0"/>
                    <w:right w:val="single" w:color="auto" w:sz="4" w:space="0"/>
                  </w:tcBorders>
                  <w:vAlign w:val="center"/>
                </w:tcPr>
                <w:p>
                  <w:pPr>
                    <w:pStyle w:val="35"/>
                    <w:keepNext w:val="0"/>
                    <w:keepLines w:val="0"/>
                    <w:pageBreakBefore w:val="0"/>
                    <w:widowControl w:val="0"/>
                    <w:tabs>
                      <w:tab w:val="left" w:pos="1021"/>
                    </w:tabs>
                    <w:kinsoku/>
                    <w:wordWrap/>
                    <w:overflowPunct/>
                    <w:topLinePunct w:val="0"/>
                    <w:autoSpaceDE/>
                    <w:autoSpaceDN/>
                    <w:bidi w:val="0"/>
                    <w:adjustRightInd/>
                    <w:snapToGrid/>
                    <w:spacing w:after="0"/>
                    <w:textAlignment w:val="auto"/>
                    <w:rPr>
                      <w:rFonts w:hint="default" w:ascii="Times New Roman" w:hAnsi="Times New Roman" w:cs="Times New Roman"/>
                    </w:rPr>
                  </w:pPr>
                  <w:r>
                    <w:rPr>
                      <w:rFonts w:hint="default" w:ascii="Times New Roman" w:hAnsi="Times New Roman" w:cs="Times New Roman"/>
                      <w:lang w:val="en-US" w:eastAsia="zh-CN"/>
                    </w:rPr>
                    <w:t>E</w:t>
                  </w:r>
                  <w:r>
                    <w:rPr>
                      <w:rFonts w:hint="eastAsia" w:cs="Times New Roman"/>
                      <w:lang w:val="en-US" w:eastAsia="zh-CN"/>
                    </w:rPr>
                    <w:t>S</w:t>
                  </w:r>
                  <w:r>
                    <w:rPr>
                      <w:rFonts w:hint="default" w:ascii="Times New Roman" w:hAnsi="Times New Roman" w:cs="Times New Roman"/>
                      <w:lang w:val="en-US" w:eastAsia="zh-CN"/>
                    </w:rPr>
                    <w:t xml:space="preserve">  </w:t>
                  </w:r>
                  <w:r>
                    <w:rPr>
                      <w:rFonts w:hint="eastAsia" w:cs="Times New Roman"/>
                      <w:lang w:val="en-US" w:eastAsia="zh-CN"/>
                    </w:rPr>
                    <w:t>3636</w:t>
                  </w:r>
                  <w:r>
                    <w:rPr>
                      <w:rFonts w:hint="default" w:ascii="Times New Roman" w:hAnsi="Times New Roman" w:cs="Times New Roman"/>
                    </w:rPr>
                    <w:t>m</w:t>
                  </w:r>
                </w:p>
              </w:tc>
              <w:tc>
                <w:tcPr>
                  <w:tcW w:w="656" w:type="pct"/>
                  <w:tcBorders>
                    <w:top w:val="single" w:color="auto" w:sz="4" w:space="0"/>
                    <w:left w:val="single" w:color="auto" w:sz="4" w:space="0"/>
                    <w:bottom w:val="single" w:color="auto" w:sz="4" w:space="0"/>
                    <w:right w:val="single" w:color="auto" w:sz="4" w:space="0"/>
                  </w:tcBorders>
                  <w:vAlign w:val="center"/>
                </w:tcPr>
                <w:p>
                  <w:pPr>
                    <w:pStyle w:val="35"/>
                    <w:keepNext w:val="0"/>
                    <w:keepLines w:val="0"/>
                    <w:pageBreakBefore w:val="0"/>
                    <w:widowControl w:val="0"/>
                    <w:tabs>
                      <w:tab w:val="left" w:pos="1021"/>
                    </w:tabs>
                    <w:kinsoku/>
                    <w:wordWrap/>
                    <w:overflowPunct/>
                    <w:topLinePunct w:val="0"/>
                    <w:autoSpaceDE/>
                    <w:autoSpaceDN/>
                    <w:bidi w:val="0"/>
                    <w:adjustRightInd/>
                    <w:snapToGrid/>
                    <w:spacing w:after="0"/>
                    <w:textAlignment w:val="auto"/>
                    <w:rPr>
                      <w:rFonts w:hint="default" w:ascii="Times New Roman" w:hAnsi="Times New Roman" w:cs="Times New Roman"/>
                    </w:rPr>
                  </w:pPr>
                  <w:r>
                    <w:rPr>
                      <w:rFonts w:hint="default" w:ascii="Times New Roman" w:hAnsi="Times New Roman" w:cs="Times New Roman"/>
                    </w:rPr>
                    <w:t>渔业用水</w:t>
                  </w:r>
                </w:p>
              </w:tc>
              <w:tc>
                <w:tcPr>
                  <w:tcW w:w="1373" w:type="pct"/>
                  <w:gridSpan w:val="2"/>
                  <w:tcBorders>
                    <w:top w:val="single" w:color="auto" w:sz="4" w:space="0"/>
                    <w:left w:val="single" w:color="auto" w:sz="4" w:space="0"/>
                    <w:bottom w:val="single" w:color="auto" w:sz="4" w:space="0"/>
                    <w:right w:val="single" w:color="auto" w:sz="4" w:space="0"/>
                  </w:tcBorders>
                  <w:vAlign w:val="center"/>
                </w:tcPr>
                <w:p>
                  <w:pPr>
                    <w:pStyle w:val="35"/>
                    <w:keepNext w:val="0"/>
                    <w:keepLines w:val="0"/>
                    <w:pageBreakBefore w:val="0"/>
                    <w:widowControl w:val="0"/>
                    <w:tabs>
                      <w:tab w:val="left" w:pos="1021"/>
                    </w:tabs>
                    <w:kinsoku/>
                    <w:wordWrap/>
                    <w:overflowPunct/>
                    <w:topLinePunct w:val="0"/>
                    <w:autoSpaceDE/>
                    <w:autoSpaceDN/>
                    <w:bidi w:val="0"/>
                    <w:adjustRightInd/>
                    <w:snapToGrid/>
                    <w:spacing w:after="0"/>
                    <w:textAlignment w:val="auto"/>
                    <w:rPr>
                      <w:rFonts w:hint="default" w:ascii="Times New Roman" w:hAnsi="Times New Roman" w:cs="Times New Roman"/>
                    </w:rPr>
                  </w:pPr>
                  <w:r>
                    <w:rPr>
                      <w:rFonts w:hint="default" w:ascii="Times New Roman" w:hAnsi="Times New Roman" w:cs="Times New Roman"/>
                    </w:rPr>
                    <w:t>（GB3838-2002）III类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3" w:type="pct"/>
                  <w:tcBorders>
                    <w:top w:val="single" w:color="auto" w:sz="4" w:space="0"/>
                    <w:left w:val="single" w:color="auto" w:sz="4" w:space="0"/>
                    <w:bottom w:val="single" w:color="auto" w:sz="4" w:space="0"/>
                    <w:right w:val="single" w:color="auto" w:sz="4" w:space="0"/>
                  </w:tcBorders>
                  <w:vAlign w:val="center"/>
                </w:tcPr>
                <w:p>
                  <w:pPr>
                    <w:pStyle w:val="35"/>
                    <w:keepNext w:val="0"/>
                    <w:keepLines w:val="0"/>
                    <w:pageBreakBefore w:val="0"/>
                    <w:widowControl w:val="0"/>
                    <w:tabs>
                      <w:tab w:val="left" w:pos="1021"/>
                    </w:tabs>
                    <w:kinsoku/>
                    <w:wordWrap/>
                    <w:overflowPunct/>
                    <w:topLinePunct w:val="0"/>
                    <w:autoSpaceDE/>
                    <w:autoSpaceDN/>
                    <w:bidi w:val="0"/>
                    <w:adjustRightInd/>
                    <w:snapToGrid/>
                    <w:spacing w:after="0"/>
                    <w:textAlignment w:val="auto"/>
                    <w:rPr>
                      <w:rFonts w:hint="default" w:ascii="Times New Roman" w:hAnsi="Times New Roman" w:cs="Times New Roman"/>
                    </w:rPr>
                  </w:pPr>
                  <w:r>
                    <w:rPr>
                      <w:rFonts w:hint="default" w:ascii="Times New Roman" w:hAnsi="Times New Roman" w:cs="Times New Roman"/>
                    </w:rPr>
                    <w:t>声环境</w:t>
                  </w:r>
                </w:p>
              </w:tc>
              <w:tc>
                <w:tcPr>
                  <w:tcW w:w="1790" w:type="pct"/>
                  <w:gridSpan w:val="3"/>
                  <w:tcBorders>
                    <w:top w:val="single" w:color="auto" w:sz="4" w:space="0"/>
                    <w:left w:val="single" w:color="auto" w:sz="4" w:space="0"/>
                    <w:bottom w:val="single" w:color="auto" w:sz="4" w:space="0"/>
                    <w:right w:val="single" w:color="auto" w:sz="4" w:space="0"/>
                  </w:tcBorders>
                  <w:vAlign w:val="center"/>
                </w:tcPr>
                <w:p>
                  <w:pPr>
                    <w:pStyle w:val="35"/>
                    <w:keepNext w:val="0"/>
                    <w:keepLines w:val="0"/>
                    <w:pageBreakBefore w:val="0"/>
                    <w:widowControl w:val="0"/>
                    <w:tabs>
                      <w:tab w:val="left" w:pos="1021"/>
                    </w:tabs>
                    <w:kinsoku/>
                    <w:wordWrap/>
                    <w:overflowPunct/>
                    <w:topLinePunct w:val="0"/>
                    <w:autoSpaceDE/>
                    <w:autoSpaceDN/>
                    <w:bidi w:val="0"/>
                    <w:adjustRightInd/>
                    <w:snapToGrid/>
                    <w:spacing w:after="0"/>
                    <w:textAlignment w:val="auto"/>
                    <w:rPr>
                      <w:rFonts w:hint="default" w:ascii="Times New Roman" w:hAnsi="Times New Roman" w:cs="Times New Roman"/>
                    </w:rPr>
                  </w:pPr>
                  <w:r>
                    <w:rPr>
                      <w:rFonts w:hint="eastAsia" w:cs="Times New Roman"/>
                      <w:lang w:eastAsia="zh-CN"/>
                    </w:rPr>
                    <w:t>陈家新屋居民点</w:t>
                  </w:r>
                </w:p>
              </w:tc>
              <w:tc>
                <w:tcPr>
                  <w:tcW w:w="756" w:type="pct"/>
                  <w:tcBorders>
                    <w:top w:val="single" w:color="auto" w:sz="4" w:space="0"/>
                    <w:left w:val="single" w:color="auto" w:sz="4" w:space="0"/>
                    <w:bottom w:val="single" w:color="auto" w:sz="4" w:space="0"/>
                    <w:right w:val="single" w:color="auto" w:sz="4" w:space="0"/>
                  </w:tcBorders>
                  <w:vAlign w:val="center"/>
                </w:tcPr>
                <w:p>
                  <w:pPr>
                    <w:pStyle w:val="35"/>
                    <w:keepNext w:val="0"/>
                    <w:keepLines w:val="0"/>
                    <w:pageBreakBefore w:val="0"/>
                    <w:widowControl w:val="0"/>
                    <w:tabs>
                      <w:tab w:val="left" w:pos="1021"/>
                    </w:tabs>
                    <w:kinsoku/>
                    <w:wordWrap/>
                    <w:overflowPunct/>
                    <w:topLinePunct w:val="0"/>
                    <w:autoSpaceDE/>
                    <w:autoSpaceDN/>
                    <w:bidi w:val="0"/>
                    <w:adjustRightInd/>
                    <w:snapToGrid/>
                    <w:spacing w:after="0"/>
                    <w:textAlignment w:val="auto"/>
                    <w:rPr>
                      <w:rFonts w:hint="default" w:ascii="Times New Roman" w:hAnsi="Times New Roman" w:cs="Times New Roman"/>
                    </w:rPr>
                  </w:pPr>
                  <w:r>
                    <w:rPr>
                      <w:rFonts w:hint="default" w:ascii="Times New Roman" w:hAnsi="Times New Roman" w:cs="Times New Roman"/>
                    </w:rPr>
                    <w:t>约</w:t>
                  </w:r>
                  <w:r>
                    <w:rPr>
                      <w:rFonts w:hint="eastAsia" w:ascii="Times New Roman" w:hAnsi="Times New Roman" w:cs="Times New Roman"/>
                      <w:lang w:val="en-US" w:eastAsia="zh-CN"/>
                    </w:rPr>
                    <w:t>6</w:t>
                  </w:r>
                  <w:r>
                    <w:rPr>
                      <w:rFonts w:hint="default" w:ascii="Times New Roman" w:hAnsi="Times New Roman" w:cs="Times New Roman"/>
                    </w:rPr>
                    <w:t>户，约</w:t>
                  </w:r>
                  <w:r>
                    <w:rPr>
                      <w:rFonts w:hint="eastAsia" w:ascii="Times New Roman" w:hAnsi="Times New Roman" w:cs="Times New Roman"/>
                      <w:lang w:val="en-US" w:eastAsia="zh-CN"/>
                    </w:rPr>
                    <w:t>24</w:t>
                  </w:r>
                  <w:r>
                    <w:rPr>
                      <w:rFonts w:hint="default" w:ascii="Times New Roman" w:hAnsi="Times New Roman" w:cs="Times New Roman"/>
                    </w:rPr>
                    <w:t>人</w:t>
                  </w:r>
                </w:p>
              </w:tc>
              <w:tc>
                <w:tcPr>
                  <w:tcW w:w="656" w:type="pct"/>
                  <w:tcBorders>
                    <w:top w:val="single" w:color="auto" w:sz="4" w:space="0"/>
                    <w:left w:val="single" w:color="auto" w:sz="4" w:space="0"/>
                    <w:bottom w:val="single" w:color="auto" w:sz="4" w:space="0"/>
                    <w:right w:val="single" w:color="auto" w:sz="4" w:space="0"/>
                  </w:tcBorders>
                  <w:vAlign w:val="center"/>
                </w:tcPr>
                <w:p>
                  <w:pPr>
                    <w:pStyle w:val="35"/>
                    <w:keepNext w:val="0"/>
                    <w:keepLines w:val="0"/>
                    <w:pageBreakBefore w:val="0"/>
                    <w:widowControl w:val="0"/>
                    <w:tabs>
                      <w:tab w:val="left" w:pos="1021"/>
                    </w:tabs>
                    <w:kinsoku/>
                    <w:wordWrap/>
                    <w:overflowPunct/>
                    <w:topLinePunct w:val="0"/>
                    <w:autoSpaceDE/>
                    <w:autoSpaceDN/>
                    <w:bidi w:val="0"/>
                    <w:adjustRightInd/>
                    <w:snapToGrid/>
                    <w:spacing w:after="0"/>
                    <w:textAlignment w:val="auto"/>
                    <w:rPr>
                      <w:rFonts w:hint="default" w:ascii="Times New Roman" w:hAnsi="Times New Roman" w:cs="Times New Roman"/>
                    </w:rPr>
                  </w:pPr>
                  <w:r>
                    <w:rPr>
                      <w:rFonts w:hint="default" w:ascii="Times New Roman" w:hAnsi="Times New Roman" w:cs="Times New Roman"/>
                    </w:rPr>
                    <w:t>（GB3096-2008）2类</w:t>
                  </w:r>
                </w:p>
              </w:tc>
              <w:tc>
                <w:tcPr>
                  <w:tcW w:w="650" w:type="pct"/>
                  <w:tcBorders>
                    <w:top w:val="single" w:color="auto" w:sz="4" w:space="0"/>
                    <w:left w:val="single" w:color="auto" w:sz="4" w:space="0"/>
                    <w:bottom w:val="single" w:color="auto" w:sz="4" w:space="0"/>
                    <w:right w:val="single" w:color="auto" w:sz="4" w:space="0"/>
                  </w:tcBorders>
                  <w:vAlign w:val="center"/>
                </w:tcPr>
                <w:p>
                  <w:pPr>
                    <w:pStyle w:val="35"/>
                    <w:keepNext w:val="0"/>
                    <w:keepLines w:val="0"/>
                    <w:pageBreakBefore w:val="0"/>
                    <w:widowControl w:val="0"/>
                    <w:tabs>
                      <w:tab w:val="left" w:pos="1021"/>
                    </w:tabs>
                    <w:kinsoku/>
                    <w:wordWrap/>
                    <w:overflowPunct/>
                    <w:topLinePunct w:val="0"/>
                    <w:autoSpaceDE/>
                    <w:autoSpaceDN/>
                    <w:bidi w:val="0"/>
                    <w:adjustRightInd/>
                    <w:snapToGrid/>
                    <w:spacing w:after="0"/>
                    <w:textAlignment w:val="auto"/>
                    <w:rPr>
                      <w:rFonts w:hint="default" w:ascii="Times New Roman" w:hAnsi="Times New Roman" w:cs="Times New Roman"/>
                      <w:lang w:val="en-US" w:eastAsia="zh-CN"/>
                    </w:rPr>
                  </w:pPr>
                  <w:r>
                    <w:rPr>
                      <w:rFonts w:hint="default" w:ascii="Times New Roman" w:hAnsi="Times New Roman" w:cs="Times New Roman"/>
                    </w:rPr>
                    <w:t>E</w:t>
                  </w:r>
                  <w:r>
                    <w:rPr>
                      <w:rFonts w:hint="default" w:ascii="Times New Roman" w:hAnsi="Times New Roman" w:cs="Times New Roman"/>
                      <w:lang w:val="en-US" w:eastAsia="zh-CN"/>
                    </w:rPr>
                    <w:t>S</w:t>
                  </w:r>
                </w:p>
              </w:tc>
              <w:tc>
                <w:tcPr>
                  <w:tcW w:w="722" w:type="pct"/>
                  <w:tcBorders>
                    <w:top w:val="single" w:color="auto" w:sz="4" w:space="0"/>
                    <w:left w:val="single" w:color="auto" w:sz="4" w:space="0"/>
                    <w:bottom w:val="single" w:color="auto" w:sz="4" w:space="0"/>
                    <w:right w:val="single" w:color="auto" w:sz="4" w:space="0"/>
                  </w:tcBorders>
                  <w:vAlign w:val="center"/>
                </w:tcPr>
                <w:p>
                  <w:pPr>
                    <w:pStyle w:val="35"/>
                    <w:keepNext w:val="0"/>
                    <w:keepLines w:val="0"/>
                    <w:pageBreakBefore w:val="0"/>
                    <w:widowControl w:val="0"/>
                    <w:tabs>
                      <w:tab w:val="left" w:pos="1021"/>
                    </w:tabs>
                    <w:kinsoku/>
                    <w:wordWrap/>
                    <w:overflowPunct/>
                    <w:topLinePunct w:val="0"/>
                    <w:autoSpaceDE/>
                    <w:autoSpaceDN/>
                    <w:bidi w:val="0"/>
                    <w:adjustRightInd/>
                    <w:snapToGrid/>
                    <w:spacing w:after="0"/>
                    <w:textAlignment w:val="auto"/>
                    <w:rPr>
                      <w:rFonts w:hint="default" w:ascii="Times New Roman" w:hAnsi="Times New Roman" w:cs="Times New Roman"/>
                    </w:rPr>
                  </w:pPr>
                  <w:r>
                    <w:rPr>
                      <w:rFonts w:hint="eastAsia" w:cs="Times New Roman"/>
                      <w:lang w:val="en-US" w:eastAsia="zh-CN"/>
                    </w:rPr>
                    <w:t>2</w:t>
                  </w:r>
                  <w:r>
                    <w:rPr>
                      <w:rFonts w:hint="eastAsia" w:ascii="Times New Roman" w:hAnsi="Times New Roman" w:cs="Times New Roman"/>
                      <w:lang w:val="en-US" w:eastAsia="zh-CN"/>
                    </w:rPr>
                    <w:t>5</w:t>
                  </w:r>
                  <w:r>
                    <w:rPr>
                      <w:rFonts w:hint="default" w:ascii="Times New Roman" w:hAnsi="Times New Roman" w:cs="Times New Roman"/>
                    </w:rPr>
                    <w:t>~</w:t>
                  </w:r>
                  <w:r>
                    <w:rPr>
                      <w:rFonts w:hint="default" w:ascii="Times New Roman" w:hAnsi="Times New Roman" w:cs="Times New Roman"/>
                      <w:lang w:val="en-US" w:eastAsia="zh-CN"/>
                    </w:rPr>
                    <w:t>5</w:t>
                  </w:r>
                  <w:r>
                    <w:rPr>
                      <w:rFonts w:hint="default" w:ascii="Times New Roman" w:hAnsi="Times New Roman" w:cs="Times New Roman"/>
                    </w:rPr>
                    <w:t>0m</w:t>
                  </w:r>
                </w:p>
              </w:tc>
            </w:tr>
          </w:tbl>
          <w:p>
            <w:pPr>
              <w:keepNext w:val="0"/>
              <w:keepLines w:val="0"/>
              <w:pageBreakBefore w:val="0"/>
              <w:widowControl w:val="0"/>
              <w:kinsoku/>
              <w:wordWrap/>
              <w:overflowPunct/>
              <w:topLinePunct w:val="0"/>
              <w:autoSpaceDE/>
              <w:autoSpaceDN/>
              <w:bidi w:val="0"/>
              <w:adjustRightInd/>
              <w:snapToGrid/>
              <w:spacing w:line="360" w:lineRule="auto"/>
              <w:jc w:val="both"/>
              <w:textAlignment w:val="auto"/>
              <w:outlineLvl w:val="9"/>
              <w:rPr>
                <w:rFonts w:hint="eastAsia"/>
                <w:sz w:val="24"/>
                <w:szCs w:val="32"/>
                <w:lang w:val="en-US"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4" w:type="pct"/>
            <w:noWrap w:val="0"/>
            <w:tcMar>
              <w:left w:w="28" w:type="dxa"/>
              <w:right w:w="28" w:type="dxa"/>
            </w:tcMar>
            <w:vAlign w:val="center"/>
          </w:tcPr>
          <w:p>
            <w:pPr>
              <w:adjustRightInd w:val="0"/>
              <w:snapToGrid w:val="0"/>
              <w:jc w:val="center"/>
              <w:rPr>
                <w:rFonts w:hint="eastAsia" w:ascii="宋体" w:hAnsi="宋体" w:cs="宋体"/>
                <w:kern w:val="0"/>
                <w:sz w:val="24"/>
                <w:szCs w:val="24"/>
              </w:rPr>
            </w:pPr>
            <w:r>
              <w:rPr>
                <w:rFonts w:hint="eastAsia" w:ascii="宋体" w:hAnsi="宋体" w:cs="宋体"/>
                <w:kern w:val="0"/>
                <w:sz w:val="24"/>
                <w:szCs w:val="24"/>
              </w:rPr>
              <w:t>污染</w:t>
            </w:r>
          </w:p>
          <w:p>
            <w:pPr>
              <w:adjustRightInd w:val="0"/>
              <w:snapToGrid w:val="0"/>
              <w:jc w:val="center"/>
              <w:rPr>
                <w:rFonts w:hint="eastAsia" w:ascii="宋体" w:hAnsi="宋体" w:cs="宋体"/>
                <w:kern w:val="0"/>
                <w:sz w:val="24"/>
                <w:szCs w:val="24"/>
              </w:rPr>
            </w:pPr>
            <w:r>
              <w:rPr>
                <w:rFonts w:hint="eastAsia" w:ascii="宋体" w:hAnsi="宋体" w:cs="宋体"/>
                <w:kern w:val="0"/>
                <w:sz w:val="24"/>
                <w:szCs w:val="24"/>
              </w:rPr>
              <w:t>物排</w:t>
            </w:r>
          </w:p>
          <w:p>
            <w:pPr>
              <w:adjustRightInd w:val="0"/>
              <w:snapToGrid w:val="0"/>
              <w:jc w:val="center"/>
              <w:rPr>
                <w:rFonts w:hint="eastAsia" w:ascii="宋体" w:hAnsi="宋体" w:cs="宋体"/>
                <w:kern w:val="0"/>
                <w:sz w:val="24"/>
                <w:szCs w:val="24"/>
              </w:rPr>
            </w:pPr>
            <w:r>
              <w:rPr>
                <w:rFonts w:hint="eastAsia" w:ascii="宋体" w:hAnsi="宋体" w:cs="宋体"/>
                <w:kern w:val="0"/>
                <w:sz w:val="24"/>
                <w:szCs w:val="24"/>
              </w:rPr>
              <w:t>放控</w:t>
            </w:r>
          </w:p>
          <w:p>
            <w:pPr>
              <w:adjustRightInd w:val="0"/>
              <w:snapToGrid w:val="0"/>
              <w:jc w:val="center"/>
              <w:rPr>
                <w:rFonts w:hint="eastAsia" w:ascii="宋体" w:hAnsi="宋体" w:cs="宋体"/>
                <w:kern w:val="0"/>
                <w:sz w:val="24"/>
                <w:szCs w:val="24"/>
              </w:rPr>
            </w:pPr>
            <w:r>
              <w:rPr>
                <w:rFonts w:hint="eastAsia" w:ascii="宋体" w:hAnsi="宋体" w:cs="宋体"/>
                <w:kern w:val="0"/>
                <w:sz w:val="24"/>
                <w:szCs w:val="24"/>
              </w:rPr>
              <w:t>制标</w:t>
            </w:r>
          </w:p>
          <w:p>
            <w:pPr>
              <w:adjustRightInd w:val="0"/>
              <w:snapToGrid w:val="0"/>
              <w:jc w:val="center"/>
              <w:rPr>
                <w:rFonts w:ascii="宋体" w:hAnsi="宋体" w:cs="宋体"/>
                <w:kern w:val="0"/>
                <w:szCs w:val="21"/>
              </w:rPr>
            </w:pPr>
            <w:r>
              <w:rPr>
                <w:rFonts w:hint="eastAsia" w:ascii="宋体" w:hAnsi="宋体" w:cs="宋体"/>
                <w:kern w:val="0"/>
                <w:sz w:val="24"/>
                <w:szCs w:val="24"/>
              </w:rPr>
              <w:t>准</w:t>
            </w:r>
          </w:p>
        </w:tc>
        <w:tc>
          <w:tcPr>
            <w:tcW w:w="4555" w:type="pct"/>
            <w:noWrap w:val="0"/>
            <w:vAlign w:val="center"/>
          </w:tcPr>
          <w:p>
            <w:pPr>
              <w:pStyle w:val="14"/>
              <w:ind w:firstLine="480"/>
            </w:pPr>
            <w:r>
              <w:t>1、废水污染物排放标准</w:t>
            </w:r>
          </w:p>
          <w:p>
            <w:pPr>
              <w:pStyle w:val="14"/>
              <w:ind w:firstLine="480"/>
            </w:pPr>
            <w:r>
              <w:t>项目施工人员食宿及项目办公均就近租用附近居民住房，不在施工区设置施工营地，施工人员生活污水利用租住居民用房现有污水处理设施。</w:t>
            </w:r>
            <w:r>
              <w:rPr>
                <w:rFonts w:hint="eastAsia"/>
                <w:lang w:eastAsia="zh-CN"/>
              </w:rPr>
              <w:t>项目运营期</w:t>
            </w:r>
            <w:r>
              <w:rPr>
                <w:color w:val="000000"/>
              </w:rPr>
              <w:t>生活污水、初期雨水</w:t>
            </w:r>
            <w:r>
              <w:rPr>
                <w:rFonts w:hint="eastAsia"/>
                <w:color w:val="000000"/>
              </w:rPr>
              <w:t>、</w:t>
            </w:r>
            <w:r>
              <w:rPr>
                <w:rFonts w:hint="eastAsia"/>
                <w:color w:val="000000"/>
                <w:lang w:eastAsia="zh-CN"/>
              </w:rPr>
              <w:t>场地清洁废水、洗车废水</w:t>
            </w:r>
            <w:r>
              <w:rPr>
                <w:color w:val="000000"/>
              </w:rPr>
              <w:t>排入</w:t>
            </w:r>
            <w:r>
              <w:rPr>
                <w:rFonts w:hint="eastAsia"/>
                <w:color w:val="000000"/>
                <w:lang w:eastAsia="zh-CN"/>
              </w:rPr>
              <w:t>市政污水管网</w:t>
            </w:r>
            <w:r>
              <w:rPr>
                <w:color w:val="000000"/>
              </w:rPr>
              <w:t>，执行《污水综合排放标准》（GB8978-1996）三级标准。</w:t>
            </w:r>
            <w:r>
              <w:t>具体标准限值见</w:t>
            </w:r>
            <w:r>
              <w:rPr>
                <w:rFonts w:hint="eastAsia"/>
              </w:rPr>
              <w:t>下</w:t>
            </w:r>
            <w:r>
              <w:t>表。</w:t>
            </w:r>
          </w:p>
          <w:p>
            <w:pPr>
              <w:pStyle w:val="36"/>
              <w:tabs>
                <w:tab w:val="left" w:pos="1021"/>
              </w:tabs>
            </w:pPr>
            <w:r>
              <w:t>表</w:t>
            </w:r>
            <w:r>
              <w:rPr>
                <w:rFonts w:hint="eastAsia"/>
                <w:lang w:val="en-US" w:eastAsia="zh-CN"/>
              </w:rPr>
              <w:t>3.3-1</w:t>
            </w:r>
            <w:r>
              <w:t xml:space="preserve"> 污水综合排放标准（GB8978-1996）</w:t>
            </w:r>
            <w:r>
              <w:rPr>
                <w:rFonts w:hint="eastAsia"/>
              </w:rPr>
              <w:t xml:space="preserve">    单位：</w:t>
            </w:r>
            <w:r>
              <w:t>mg/L，pH除外</w:t>
            </w:r>
          </w:p>
          <w:tbl>
            <w:tblPr>
              <w:tblStyle w:val="31"/>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16"/>
              <w:gridCol w:w="793"/>
              <w:gridCol w:w="947"/>
              <w:gridCol w:w="949"/>
              <w:gridCol w:w="947"/>
              <w:gridCol w:w="947"/>
              <w:gridCol w:w="831"/>
              <w:gridCol w:w="9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807" w:type="pct"/>
                  <w:noWrap/>
                  <w:vAlign w:val="center"/>
                </w:tcPr>
                <w:p>
                  <w:pPr>
                    <w:pStyle w:val="35"/>
                    <w:tabs>
                      <w:tab w:val="left" w:pos="1021"/>
                    </w:tabs>
                  </w:pPr>
                  <w:r>
                    <w:t>污染物</w:t>
                  </w:r>
                </w:p>
              </w:tc>
              <w:tc>
                <w:tcPr>
                  <w:tcW w:w="526" w:type="pct"/>
                  <w:noWrap/>
                  <w:vAlign w:val="center"/>
                </w:tcPr>
                <w:p>
                  <w:pPr>
                    <w:pStyle w:val="35"/>
                    <w:tabs>
                      <w:tab w:val="left" w:pos="1021"/>
                    </w:tabs>
                  </w:pPr>
                  <w:r>
                    <w:t>PH</w:t>
                  </w:r>
                </w:p>
              </w:tc>
              <w:tc>
                <w:tcPr>
                  <w:tcW w:w="628" w:type="pct"/>
                  <w:noWrap/>
                  <w:vAlign w:val="center"/>
                </w:tcPr>
                <w:p>
                  <w:pPr>
                    <w:pStyle w:val="35"/>
                    <w:tabs>
                      <w:tab w:val="left" w:pos="1021"/>
                    </w:tabs>
                  </w:pPr>
                  <w:r>
                    <w:t>悬浮物</w:t>
                  </w:r>
                </w:p>
              </w:tc>
              <w:tc>
                <w:tcPr>
                  <w:tcW w:w="629" w:type="pct"/>
                  <w:noWrap/>
                  <w:vAlign w:val="center"/>
                </w:tcPr>
                <w:p>
                  <w:pPr>
                    <w:pStyle w:val="35"/>
                    <w:tabs>
                      <w:tab w:val="left" w:pos="1021"/>
                    </w:tabs>
                  </w:pPr>
                  <w:r>
                    <w:t>BOD</w:t>
                  </w:r>
                  <w:r>
                    <w:rPr>
                      <w:vertAlign w:val="subscript"/>
                    </w:rPr>
                    <w:t>5</w:t>
                  </w:r>
                </w:p>
              </w:tc>
              <w:tc>
                <w:tcPr>
                  <w:tcW w:w="628" w:type="pct"/>
                  <w:noWrap/>
                  <w:vAlign w:val="center"/>
                </w:tcPr>
                <w:p>
                  <w:pPr>
                    <w:pStyle w:val="35"/>
                    <w:tabs>
                      <w:tab w:val="left" w:pos="1021"/>
                    </w:tabs>
                  </w:pPr>
                  <w:r>
                    <w:t>CODcr</w:t>
                  </w:r>
                </w:p>
              </w:tc>
              <w:tc>
                <w:tcPr>
                  <w:tcW w:w="628" w:type="pct"/>
                  <w:noWrap/>
                  <w:vAlign w:val="center"/>
                </w:tcPr>
                <w:p>
                  <w:pPr>
                    <w:pStyle w:val="35"/>
                    <w:tabs>
                      <w:tab w:val="left" w:pos="1021"/>
                    </w:tabs>
                  </w:pPr>
                  <w:r>
                    <w:t>动植物油</w:t>
                  </w:r>
                </w:p>
              </w:tc>
              <w:tc>
                <w:tcPr>
                  <w:tcW w:w="551" w:type="pct"/>
                  <w:noWrap/>
                  <w:vAlign w:val="center"/>
                </w:tcPr>
                <w:p>
                  <w:pPr>
                    <w:pStyle w:val="35"/>
                    <w:tabs>
                      <w:tab w:val="left" w:pos="1021"/>
                    </w:tabs>
                  </w:pPr>
                  <w:r>
                    <w:t>NH</w:t>
                  </w:r>
                  <w:r>
                    <w:rPr>
                      <w:vertAlign w:val="subscript"/>
                    </w:rPr>
                    <w:t>3</w:t>
                  </w:r>
                  <w:r>
                    <w:t>-N</w:t>
                  </w:r>
                </w:p>
              </w:tc>
              <w:tc>
                <w:tcPr>
                  <w:tcW w:w="598" w:type="pct"/>
                  <w:noWrap/>
                  <w:vAlign w:val="center"/>
                </w:tcPr>
                <w:p>
                  <w:pPr>
                    <w:pStyle w:val="35"/>
                    <w:tabs>
                      <w:tab w:val="left" w:pos="1021"/>
                    </w:tabs>
                  </w:pPr>
                  <w:r>
                    <w:rPr>
                      <w:rFonts w:hint="eastAsia"/>
                    </w:rPr>
                    <w:t>石油类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807" w:type="pct"/>
                  <w:noWrap/>
                  <w:vAlign w:val="center"/>
                </w:tcPr>
                <w:p>
                  <w:pPr>
                    <w:pStyle w:val="35"/>
                    <w:tabs>
                      <w:tab w:val="left" w:pos="1021"/>
                    </w:tabs>
                  </w:pPr>
                  <w:r>
                    <w:t>三级标准</w:t>
                  </w:r>
                </w:p>
              </w:tc>
              <w:tc>
                <w:tcPr>
                  <w:tcW w:w="526" w:type="pct"/>
                  <w:noWrap/>
                  <w:vAlign w:val="center"/>
                </w:tcPr>
                <w:p>
                  <w:pPr>
                    <w:pStyle w:val="35"/>
                    <w:tabs>
                      <w:tab w:val="left" w:pos="1021"/>
                    </w:tabs>
                  </w:pPr>
                  <w:r>
                    <w:t>6-9</w:t>
                  </w:r>
                </w:p>
              </w:tc>
              <w:tc>
                <w:tcPr>
                  <w:tcW w:w="628" w:type="pct"/>
                  <w:noWrap/>
                  <w:vAlign w:val="center"/>
                </w:tcPr>
                <w:p>
                  <w:pPr>
                    <w:pStyle w:val="35"/>
                    <w:tabs>
                      <w:tab w:val="left" w:pos="1021"/>
                    </w:tabs>
                  </w:pPr>
                  <w:r>
                    <w:t>400</w:t>
                  </w:r>
                </w:p>
              </w:tc>
              <w:tc>
                <w:tcPr>
                  <w:tcW w:w="629" w:type="pct"/>
                  <w:noWrap/>
                  <w:vAlign w:val="center"/>
                </w:tcPr>
                <w:p>
                  <w:pPr>
                    <w:pStyle w:val="35"/>
                    <w:tabs>
                      <w:tab w:val="left" w:pos="1021"/>
                    </w:tabs>
                  </w:pPr>
                  <w:r>
                    <w:t>300</w:t>
                  </w:r>
                </w:p>
              </w:tc>
              <w:tc>
                <w:tcPr>
                  <w:tcW w:w="628" w:type="pct"/>
                  <w:noWrap/>
                  <w:vAlign w:val="center"/>
                </w:tcPr>
                <w:p>
                  <w:pPr>
                    <w:pStyle w:val="35"/>
                    <w:tabs>
                      <w:tab w:val="left" w:pos="1021"/>
                    </w:tabs>
                  </w:pPr>
                  <w:r>
                    <w:t>500</w:t>
                  </w:r>
                </w:p>
              </w:tc>
              <w:tc>
                <w:tcPr>
                  <w:tcW w:w="628" w:type="pct"/>
                  <w:noWrap/>
                  <w:vAlign w:val="center"/>
                </w:tcPr>
                <w:p>
                  <w:pPr>
                    <w:pStyle w:val="35"/>
                    <w:tabs>
                      <w:tab w:val="left" w:pos="1021"/>
                    </w:tabs>
                  </w:pPr>
                  <w:r>
                    <w:t>100</w:t>
                  </w:r>
                </w:p>
              </w:tc>
              <w:tc>
                <w:tcPr>
                  <w:tcW w:w="551" w:type="pct"/>
                  <w:noWrap/>
                  <w:vAlign w:val="center"/>
                </w:tcPr>
                <w:p>
                  <w:pPr>
                    <w:pStyle w:val="35"/>
                    <w:tabs>
                      <w:tab w:val="left" w:pos="1021"/>
                    </w:tabs>
                    <w:rPr>
                      <w:rFonts w:hint="default" w:eastAsia="宋体"/>
                      <w:lang w:val="en-US" w:eastAsia="zh-CN"/>
                    </w:rPr>
                  </w:pPr>
                  <w:r>
                    <w:rPr>
                      <w:rFonts w:hint="eastAsia"/>
                      <w:lang w:val="en-US" w:eastAsia="zh-CN"/>
                    </w:rPr>
                    <w:t>25</w:t>
                  </w:r>
                </w:p>
              </w:tc>
              <w:tc>
                <w:tcPr>
                  <w:tcW w:w="598" w:type="pct"/>
                  <w:noWrap/>
                  <w:vAlign w:val="center"/>
                </w:tcPr>
                <w:p>
                  <w:pPr>
                    <w:pStyle w:val="35"/>
                    <w:tabs>
                      <w:tab w:val="left" w:pos="1021"/>
                    </w:tabs>
                  </w:pPr>
                  <w:r>
                    <w:t>20</w:t>
                  </w:r>
                </w:p>
              </w:tc>
            </w:tr>
          </w:tbl>
          <w:p>
            <w:pPr>
              <w:pStyle w:val="14"/>
              <w:ind w:firstLine="480"/>
              <w:rPr>
                <w:rFonts w:hint="eastAsia" w:eastAsia="宋体"/>
                <w:sz w:val="21"/>
                <w:szCs w:val="21"/>
                <w:lang w:eastAsia="zh-CN"/>
              </w:rPr>
            </w:pPr>
            <w:r>
              <w:rPr>
                <w:rFonts w:hint="eastAsia"/>
                <w:sz w:val="21"/>
                <w:szCs w:val="21"/>
                <w:lang w:eastAsia="zh-CN"/>
              </w:rPr>
              <w:t>注：</w:t>
            </w:r>
            <w:r>
              <w:rPr>
                <w:sz w:val="21"/>
                <w:szCs w:val="21"/>
              </w:rPr>
              <w:t>NH</w:t>
            </w:r>
            <w:r>
              <w:rPr>
                <w:sz w:val="21"/>
                <w:szCs w:val="21"/>
                <w:vertAlign w:val="subscript"/>
              </w:rPr>
              <w:t>3</w:t>
            </w:r>
            <w:r>
              <w:rPr>
                <w:sz w:val="21"/>
                <w:szCs w:val="21"/>
              </w:rPr>
              <w:t>-N</w:t>
            </w:r>
            <w:r>
              <w:rPr>
                <w:rFonts w:hint="eastAsia"/>
                <w:sz w:val="21"/>
                <w:szCs w:val="21"/>
                <w:lang w:eastAsia="zh-CN"/>
              </w:rPr>
              <w:t>参照《污水排入城镇下水道水质标准》</w:t>
            </w:r>
            <w:r>
              <w:rPr>
                <w:sz w:val="21"/>
                <w:szCs w:val="21"/>
              </w:rPr>
              <w:t>（GB</w:t>
            </w:r>
            <w:r>
              <w:rPr>
                <w:rFonts w:hint="eastAsia"/>
                <w:sz w:val="21"/>
                <w:szCs w:val="21"/>
                <w:lang w:val="en-US" w:eastAsia="zh-CN"/>
              </w:rPr>
              <w:t>/T31962-2015</w:t>
            </w:r>
            <w:r>
              <w:rPr>
                <w:sz w:val="21"/>
                <w:szCs w:val="21"/>
              </w:rPr>
              <w:t>）</w:t>
            </w:r>
            <w:r>
              <w:rPr>
                <w:rFonts w:hint="eastAsia"/>
                <w:sz w:val="21"/>
                <w:szCs w:val="21"/>
                <w:lang w:val="en-US" w:eastAsia="zh-CN"/>
              </w:rPr>
              <w:t>C</w:t>
            </w:r>
            <w:r>
              <w:rPr>
                <w:sz w:val="21"/>
                <w:szCs w:val="21"/>
              </w:rPr>
              <w:t>级标准</w:t>
            </w:r>
            <w:r>
              <w:rPr>
                <w:rFonts w:hint="eastAsia"/>
                <w:sz w:val="21"/>
                <w:szCs w:val="21"/>
                <w:lang w:eastAsia="zh-CN"/>
              </w:rPr>
              <w:t>。</w:t>
            </w:r>
          </w:p>
          <w:p>
            <w:pPr>
              <w:pStyle w:val="14"/>
            </w:pPr>
            <w:r>
              <w:t xml:space="preserve"> </w:t>
            </w:r>
            <w:r>
              <w:rPr>
                <w:rFonts w:hint="eastAsia"/>
                <w:lang w:val="en-US" w:eastAsia="zh-CN"/>
              </w:rPr>
              <w:t>2、</w:t>
            </w:r>
            <w:r>
              <w:t>废气污染物排放标准</w:t>
            </w:r>
          </w:p>
          <w:p>
            <w:pPr>
              <w:pStyle w:val="14"/>
              <w:bidi w:val="0"/>
              <w:rPr>
                <w:rFonts w:hint="default" w:ascii="Times New Roman" w:hAnsi="Times New Roman" w:cs="Times New Roman"/>
              </w:rPr>
            </w:pPr>
            <w:r>
              <w:rPr>
                <w:rFonts w:hint="default" w:ascii="Times New Roman" w:hAnsi="Times New Roman" w:cs="Times New Roman"/>
              </w:rPr>
              <w:t>施工期执行《大气污染物综合排放标准》（GB16297-1996）表2中无组织排放监控浓度限值；营运期食堂油烟参照执行《饮食业油烟排放标准</w:t>
            </w:r>
            <w:r>
              <w:rPr>
                <w:rFonts w:hint="default" w:ascii="Times New Roman" w:hAnsi="Times New Roman" w:cs="Times New Roman"/>
                <w:lang w:eastAsia="zh-CN"/>
              </w:rPr>
              <w:t>》</w:t>
            </w:r>
            <w:r>
              <w:rPr>
                <w:rFonts w:hint="default" w:ascii="Times New Roman" w:hAnsi="Times New Roman" w:cs="Times New Roman"/>
              </w:rPr>
              <w:t>（GB18483-2001）标准；</w:t>
            </w:r>
            <w:r>
              <w:rPr>
                <w:rFonts w:hint="default" w:ascii="Times New Roman" w:hAnsi="Times New Roman" w:cs="Times New Roman"/>
                <w:lang w:val="en-US" w:eastAsia="zh-CN"/>
              </w:rPr>
              <w:t>油气回收系统的液阻、密闭性、气液比、加油站企业边界非甲烷总烃执行《加油站大气污染物排放标准》（GB20952-2020）中的要求</w:t>
            </w:r>
            <w:r>
              <w:rPr>
                <w:rFonts w:hint="default" w:ascii="Times New Roman" w:hAnsi="Times New Roman" w:cs="Times New Roman"/>
                <w:lang w:eastAsia="zh-CN"/>
              </w:rPr>
              <w:t>（</w:t>
            </w:r>
            <w:r>
              <w:rPr>
                <w:rFonts w:hint="default" w:ascii="Times New Roman" w:hAnsi="Times New Roman" w:cs="Times New Roman"/>
                <w:lang w:val="en-US" w:eastAsia="zh-CN"/>
              </w:rPr>
              <w:t>非甲烷总烃≤4.0mg/m</w:t>
            </w:r>
            <w:r>
              <w:rPr>
                <w:rFonts w:hint="default" w:ascii="Times New Roman" w:hAnsi="Times New Roman" w:eastAsia="微软雅黑" w:cs="Times New Roman"/>
                <w:lang w:val="en-US" w:eastAsia="zh-CN"/>
              </w:rPr>
              <w:t>³</w:t>
            </w:r>
            <w:r>
              <w:rPr>
                <w:rFonts w:hint="default" w:ascii="Times New Roman" w:hAnsi="Times New Roman" w:cs="Times New Roman"/>
                <w:lang w:val="en-US" w:eastAsia="zh-CN"/>
              </w:rPr>
              <w:t>、 各种加油油气回收系统的气液比均应在大于等于1.0和小于等于1.2范围内</w:t>
            </w:r>
            <w:r>
              <w:rPr>
                <w:rFonts w:hint="default" w:ascii="Times New Roman" w:hAnsi="Times New Roman" w:cs="Times New Roman"/>
                <w:lang w:eastAsia="zh-CN"/>
              </w:rPr>
              <w:t>）</w:t>
            </w:r>
            <w:r>
              <w:rPr>
                <w:rFonts w:hint="default" w:ascii="Times New Roman" w:hAnsi="Times New Roman" w:cs="Times New Roman"/>
              </w:rPr>
              <w:t>。站内有机废气执行《挥发性有机物无组织排放控制标准》（GB37822-2019)。有关污染物及其浓度限值详见表。</w:t>
            </w:r>
          </w:p>
          <w:p>
            <w:pPr>
              <w:pStyle w:val="36"/>
              <w:bidi w:val="0"/>
            </w:pPr>
            <w:r>
              <w:t>表</w:t>
            </w:r>
            <w:r>
              <w:rPr>
                <w:rFonts w:hint="eastAsia"/>
                <w:lang w:val="en-US" w:eastAsia="zh-CN"/>
              </w:rPr>
              <w:t>3.3-2</w:t>
            </w:r>
            <w:r>
              <w:t xml:space="preserve"> 饮食业油烟排放标准</w:t>
            </w:r>
          </w:p>
          <w:tbl>
            <w:tblPr>
              <w:tblStyle w:val="31"/>
              <w:tblW w:w="4998" w:type="pct"/>
              <w:tblInd w:w="1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3607"/>
              <w:gridCol w:w="1501"/>
              <w:gridCol w:w="1375"/>
              <w:gridCol w:w="125"/>
              <w:gridCol w:w="9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393" w:type="pct"/>
                  <w:tcBorders>
                    <w:tl2br w:val="nil"/>
                    <w:tr2bl w:val="nil"/>
                  </w:tcBorders>
                  <w:noWrap w:val="0"/>
                  <w:vAlign w:val="top"/>
                </w:tcPr>
                <w:p>
                  <w:pPr>
                    <w:pStyle w:val="35"/>
                    <w:bidi w:val="0"/>
                  </w:pPr>
                  <w:r>
                    <w:t>规模</w:t>
                  </w:r>
                </w:p>
              </w:tc>
              <w:tc>
                <w:tcPr>
                  <w:tcW w:w="996" w:type="pct"/>
                  <w:tcBorders>
                    <w:tl2br w:val="nil"/>
                    <w:tr2bl w:val="nil"/>
                  </w:tcBorders>
                  <w:noWrap w:val="0"/>
                  <w:vAlign w:val="top"/>
                </w:tcPr>
                <w:p>
                  <w:pPr>
                    <w:pStyle w:val="35"/>
                    <w:bidi w:val="0"/>
                  </w:pPr>
                  <w:r>
                    <w:t>小型</w:t>
                  </w:r>
                </w:p>
              </w:tc>
              <w:tc>
                <w:tcPr>
                  <w:tcW w:w="912" w:type="pct"/>
                  <w:tcBorders>
                    <w:tl2br w:val="nil"/>
                    <w:tr2bl w:val="nil"/>
                  </w:tcBorders>
                  <w:noWrap w:val="0"/>
                  <w:vAlign w:val="top"/>
                </w:tcPr>
                <w:p>
                  <w:pPr>
                    <w:pStyle w:val="35"/>
                    <w:bidi w:val="0"/>
                  </w:pPr>
                  <w:r>
                    <w:t>中型</w:t>
                  </w:r>
                </w:p>
              </w:tc>
              <w:tc>
                <w:tcPr>
                  <w:tcW w:w="697" w:type="pct"/>
                  <w:gridSpan w:val="2"/>
                  <w:tcBorders>
                    <w:tl2br w:val="nil"/>
                    <w:tr2bl w:val="nil"/>
                  </w:tcBorders>
                  <w:noWrap w:val="0"/>
                  <w:vAlign w:val="top"/>
                </w:tcPr>
                <w:p>
                  <w:pPr>
                    <w:pStyle w:val="35"/>
                    <w:bidi w:val="0"/>
                  </w:pPr>
                  <w:r>
                    <w:t>大型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393" w:type="pct"/>
                  <w:tcBorders>
                    <w:tl2br w:val="nil"/>
                    <w:tr2bl w:val="nil"/>
                  </w:tcBorders>
                  <w:noWrap w:val="0"/>
                  <w:vAlign w:val="top"/>
                </w:tcPr>
                <w:p>
                  <w:pPr>
                    <w:pStyle w:val="35"/>
                    <w:bidi w:val="0"/>
                  </w:pPr>
                  <w:r>
                    <w:t>基准灶头数</w:t>
                  </w:r>
                </w:p>
              </w:tc>
              <w:tc>
                <w:tcPr>
                  <w:tcW w:w="996" w:type="pct"/>
                  <w:tcBorders>
                    <w:tl2br w:val="nil"/>
                    <w:tr2bl w:val="nil"/>
                  </w:tcBorders>
                  <w:noWrap w:val="0"/>
                  <w:vAlign w:val="top"/>
                </w:tcPr>
                <w:p>
                  <w:pPr>
                    <w:pStyle w:val="35"/>
                    <w:bidi w:val="0"/>
                  </w:pPr>
                  <w:r>
                    <w:t>≥1，&lt;3</w:t>
                  </w:r>
                </w:p>
              </w:tc>
              <w:tc>
                <w:tcPr>
                  <w:tcW w:w="912" w:type="pct"/>
                  <w:tcBorders>
                    <w:tl2br w:val="nil"/>
                    <w:tr2bl w:val="nil"/>
                  </w:tcBorders>
                  <w:noWrap w:val="0"/>
                  <w:vAlign w:val="top"/>
                </w:tcPr>
                <w:p>
                  <w:pPr>
                    <w:pStyle w:val="35"/>
                    <w:bidi w:val="0"/>
                  </w:pPr>
                  <w:r>
                    <w:t>≥3 ，&lt;6</w:t>
                  </w:r>
                </w:p>
              </w:tc>
              <w:tc>
                <w:tcPr>
                  <w:tcW w:w="697" w:type="pct"/>
                  <w:gridSpan w:val="2"/>
                  <w:tcBorders>
                    <w:tl2br w:val="nil"/>
                    <w:tr2bl w:val="nil"/>
                  </w:tcBorders>
                  <w:noWrap w:val="0"/>
                  <w:vAlign w:val="top"/>
                </w:tcPr>
                <w:p>
                  <w:pPr>
                    <w:pStyle w:val="35"/>
                    <w:bidi w:val="0"/>
                  </w:pPr>
                  <w: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393" w:type="pct"/>
                  <w:tcBorders>
                    <w:tl2br w:val="nil"/>
                    <w:tr2bl w:val="nil"/>
                  </w:tcBorders>
                  <w:noWrap w:val="0"/>
                  <w:vAlign w:val="top"/>
                </w:tcPr>
                <w:p>
                  <w:pPr>
                    <w:pStyle w:val="35"/>
                    <w:bidi w:val="0"/>
                  </w:pPr>
                  <w:r>
                    <w:t>油烟最高允许排放浓度(mg/m</w:t>
                  </w:r>
                  <w:r>
                    <w:rPr>
                      <w:rFonts w:hint="default" w:ascii="Times New Roman" w:hAnsi="Times New Roman" w:cs="Times New Roman"/>
                    </w:rPr>
                    <w:t>³</w:t>
                  </w:r>
                  <w:r>
                    <w:t>)</w:t>
                  </w:r>
                </w:p>
              </w:tc>
              <w:tc>
                <w:tcPr>
                  <w:tcW w:w="2606" w:type="pct"/>
                  <w:gridSpan w:val="4"/>
                  <w:tcBorders>
                    <w:tl2br w:val="nil"/>
                    <w:tr2bl w:val="nil"/>
                  </w:tcBorders>
                  <w:noWrap w:val="0"/>
                  <w:vAlign w:val="top"/>
                </w:tcPr>
                <w:p>
                  <w:pPr>
                    <w:pStyle w:val="35"/>
                    <w:bidi w:val="0"/>
                  </w:pPr>
                  <w: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393" w:type="pct"/>
                  <w:tcBorders>
                    <w:tl2br w:val="nil"/>
                    <w:tr2bl w:val="nil"/>
                  </w:tcBorders>
                  <w:noWrap w:val="0"/>
                  <w:vAlign w:val="top"/>
                </w:tcPr>
                <w:p>
                  <w:pPr>
                    <w:pStyle w:val="35"/>
                    <w:bidi w:val="0"/>
                  </w:pPr>
                  <w:r>
                    <w:t>净化设施最低去除效率(%)</w:t>
                  </w:r>
                </w:p>
              </w:tc>
              <w:tc>
                <w:tcPr>
                  <w:tcW w:w="996" w:type="pct"/>
                  <w:tcBorders>
                    <w:tl2br w:val="nil"/>
                    <w:tr2bl w:val="nil"/>
                  </w:tcBorders>
                  <w:noWrap w:val="0"/>
                  <w:vAlign w:val="top"/>
                </w:tcPr>
                <w:p>
                  <w:pPr>
                    <w:pStyle w:val="35"/>
                    <w:bidi w:val="0"/>
                  </w:pPr>
                  <w:r>
                    <w:t>60</w:t>
                  </w:r>
                </w:p>
              </w:tc>
              <w:tc>
                <w:tcPr>
                  <w:tcW w:w="995" w:type="pct"/>
                  <w:gridSpan w:val="2"/>
                  <w:tcBorders>
                    <w:tl2br w:val="nil"/>
                    <w:tr2bl w:val="nil"/>
                  </w:tcBorders>
                  <w:noWrap w:val="0"/>
                  <w:vAlign w:val="top"/>
                </w:tcPr>
                <w:p>
                  <w:pPr>
                    <w:pStyle w:val="35"/>
                    <w:bidi w:val="0"/>
                  </w:pPr>
                  <w:r>
                    <w:t>75</w:t>
                  </w:r>
                </w:p>
              </w:tc>
              <w:tc>
                <w:tcPr>
                  <w:tcW w:w="614" w:type="pct"/>
                  <w:tcBorders>
                    <w:tl2br w:val="nil"/>
                    <w:tr2bl w:val="nil"/>
                  </w:tcBorders>
                  <w:noWrap w:val="0"/>
                  <w:vAlign w:val="top"/>
                </w:tcPr>
                <w:p>
                  <w:pPr>
                    <w:pStyle w:val="35"/>
                    <w:bidi w:val="0"/>
                  </w:pPr>
                  <w:r>
                    <w:t>85</w:t>
                  </w:r>
                </w:p>
              </w:tc>
            </w:tr>
          </w:tbl>
          <w:p>
            <w:pPr>
              <w:pStyle w:val="36"/>
              <w:tabs>
                <w:tab w:val="left" w:pos="1021"/>
              </w:tabs>
              <w:rPr>
                <w:rFonts w:hint="eastAsia"/>
              </w:rPr>
            </w:pPr>
            <w:r>
              <w:rPr>
                <w:rFonts w:hint="eastAsia"/>
              </w:rPr>
              <w:t>表</w:t>
            </w:r>
            <w:r>
              <w:rPr>
                <w:rFonts w:hint="eastAsia"/>
                <w:lang w:val="en-US" w:eastAsia="zh-CN"/>
              </w:rPr>
              <w:t>3.3-3废</w:t>
            </w:r>
            <w:r>
              <w:rPr>
                <w:rFonts w:hint="eastAsia"/>
              </w:rPr>
              <w:t>气污染物排放标准</w:t>
            </w:r>
          </w:p>
          <w:tbl>
            <w:tblPr>
              <w:tblStyle w:val="31"/>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575"/>
              <w:gridCol w:w="1859"/>
              <w:gridCol w:w="1800"/>
              <w:gridCol w:w="13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51" w:hRule="atLeast"/>
              </w:trPr>
              <w:tc>
                <w:tcPr>
                  <w:tcW w:w="1708" w:type="pct"/>
                  <w:tcBorders>
                    <w:top w:val="single" w:color="auto" w:sz="4" w:space="0"/>
                    <w:left w:val="single" w:color="auto" w:sz="4" w:space="0"/>
                    <w:right w:val="single" w:color="auto" w:sz="4" w:space="0"/>
                  </w:tcBorders>
                  <w:vAlign w:val="center"/>
                </w:tcPr>
                <w:p>
                  <w:pPr>
                    <w:pStyle w:val="35"/>
                    <w:tabs>
                      <w:tab w:val="left" w:pos="1021"/>
                    </w:tabs>
                    <w:rPr>
                      <w:rFonts w:hint="eastAsia"/>
                    </w:rPr>
                  </w:pPr>
                  <w:r>
                    <w:t>标准名称</w:t>
                  </w:r>
                </w:p>
              </w:tc>
              <w:tc>
                <w:tcPr>
                  <w:tcW w:w="1233" w:type="pct"/>
                  <w:tcBorders>
                    <w:top w:val="single" w:color="auto" w:sz="4" w:space="0"/>
                    <w:left w:val="single" w:color="auto" w:sz="4" w:space="0"/>
                    <w:right w:val="single" w:color="auto" w:sz="4" w:space="0"/>
                  </w:tcBorders>
                  <w:vAlign w:val="center"/>
                </w:tcPr>
                <w:p>
                  <w:pPr>
                    <w:pStyle w:val="35"/>
                    <w:tabs>
                      <w:tab w:val="left" w:pos="1021"/>
                    </w:tabs>
                  </w:pPr>
                  <w:r>
                    <w:rPr>
                      <w:rFonts w:hint="eastAsia"/>
                    </w:rPr>
                    <w:t>污染物</w:t>
                  </w:r>
                </w:p>
              </w:tc>
              <w:tc>
                <w:tcPr>
                  <w:tcW w:w="2057" w:type="pct"/>
                  <w:gridSpan w:val="2"/>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rPr>
                      <w:rFonts w:hint="eastAsia"/>
                    </w:rPr>
                    <w:t>无组织排放监控控点</w:t>
                  </w:r>
                </w:p>
                <w:p>
                  <w:pPr>
                    <w:pStyle w:val="35"/>
                    <w:tabs>
                      <w:tab w:val="left" w:pos="1021"/>
                    </w:tabs>
                  </w:pPr>
                  <w:r>
                    <w:t>(mg/m</w:t>
                  </w:r>
                  <w:r>
                    <w:rPr>
                      <w:vertAlign w:val="superscript"/>
                    </w:rPr>
                    <w:t>3</w:t>
                  </w:r>
                  <w: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1708"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rPr>
                      <w:rFonts w:hint="eastAsia"/>
                    </w:rPr>
                  </w:pPr>
                  <w:r>
                    <w:rPr>
                      <w:rFonts w:hint="eastAsia"/>
                    </w:rPr>
                    <w:t>《大气污染物综合排放标准》</w:t>
                  </w:r>
                  <w:r>
                    <w:t>（GB16297-1996）</w:t>
                  </w:r>
                </w:p>
              </w:tc>
              <w:tc>
                <w:tcPr>
                  <w:tcW w:w="1233"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rPr>
                      <w:rFonts w:hint="eastAsia"/>
                    </w:rPr>
                    <w:t>颗粒物</w:t>
                  </w:r>
                </w:p>
              </w:tc>
              <w:tc>
                <w:tcPr>
                  <w:tcW w:w="1194" w:type="pct"/>
                  <w:vMerge w:val="restar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rPr>
                      <w:rFonts w:hint="eastAsia"/>
                    </w:rPr>
                    <w:t>周界外</w:t>
                  </w:r>
                </w:p>
              </w:tc>
              <w:tc>
                <w:tcPr>
                  <w:tcW w:w="863"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4" w:hRule="atLeast"/>
              </w:trPr>
              <w:tc>
                <w:tcPr>
                  <w:tcW w:w="1708"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rPr>
                      <w:rFonts w:hint="eastAsia"/>
                    </w:rPr>
                  </w:pPr>
                  <w:r>
                    <w:rPr>
                      <w:rStyle w:val="37"/>
                      <w:rFonts w:hint="eastAsia"/>
                      <w:lang w:eastAsia="zh-CN"/>
                    </w:rPr>
                    <w:t>《加油站大气污染物排放标准》</w:t>
                  </w:r>
                  <w:r>
                    <w:rPr>
                      <w:rStyle w:val="37"/>
                    </w:rPr>
                    <w:t>（GB20952-20</w:t>
                  </w:r>
                  <w:r>
                    <w:rPr>
                      <w:rStyle w:val="37"/>
                      <w:rFonts w:hint="eastAsia"/>
                    </w:rPr>
                    <w:t>20</w:t>
                  </w:r>
                  <w:r>
                    <w:rPr>
                      <w:rStyle w:val="37"/>
                    </w:rPr>
                    <w:t>）</w:t>
                  </w:r>
                </w:p>
              </w:tc>
              <w:tc>
                <w:tcPr>
                  <w:tcW w:w="1233"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rPr>
                      <w:rFonts w:hint="eastAsia"/>
                    </w:rPr>
                    <w:t>非甲烷总烃</w:t>
                  </w:r>
                </w:p>
              </w:tc>
              <w:tc>
                <w:tcPr>
                  <w:tcW w:w="1194" w:type="pct"/>
                  <w:vMerge w:val="continue"/>
                  <w:tcBorders>
                    <w:top w:val="single" w:color="auto" w:sz="4" w:space="0"/>
                    <w:left w:val="single" w:color="auto" w:sz="4" w:space="0"/>
                    <w:bottom w:val="single" w:color="auto" w:sz="4" w:space="0"/>
                    <w:right w:val="single" w:color="auto" w:sz="4" w:space="0"/>
                  </w:tcBorders>
                  <w:vAlign w:val="center"/>
                </w:tcPr>
                <w:p>
                  <w:pPr>
                    <w:pStyle w:val="35"/>
                    <w:tabs>
                      <w:tab w:val="left" w:pos="1021"/>
                    </w:tabs>
                  </w:pPr>
                </w:p>
              </w:tc>
              <w:tc>
                <w:tcPr>
                  <w:tcW w:w="863"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t>4.0</w:t>
                  </w:r>
                </w:p>
              </w:tc>
            </w:tr>
          </w:tbl>
          <w:p>
            <w:pPr>
              <w:pStyle w:val="36"/>
              <w:tabs>
                <w:tab w:val="left" w:pos="1021"/>
              </w:tabs>
              <w:rPr>
                <w:rFonts w:hint="eastAsia"/>
              </w:rPr>
            </w:pPr>
            <w:r>
              <w:rPr>
                <w:rFonts w:hint="eastAsia"/>
              </w:rPr>
              <w:t>表</w:t>
            </w:r>
            <w:r>
              <w:rPr>
                <w:rFonts w:hint="eastAsia"/>
                <w:lang w:val="en-US" w:eastAsia="zh-CN"/>
              </w:rPr>
              <w:t>3.3-4</w:t>
            </w:r>
            <w:r>
              <w:rPr>
                <w:rFonts w:hint="eastAsia"/>
              </w:rPr>
              <w:t>厂区内</w:t>
            </w:r>
            <w:r>
              <w:t>VOC</w:t>
            </w:r>
            <w:r>
              <w:rPr>
                <w:rFonts w:hint="default" w:ascii="Calibri" w:hAnsi="Calibri" w:cs="Calibri"/>
              </w:rPr>
              <w:t>s</w:t>
            </w:r>
            <w:r>
              <w:rPr>
                <w:rFonts w:hint="eastAsia"/>
              </w:rPr>
              <w:t>无组织排放限值</w:t>
            </w:r>
          </w:p>
          <w:tbl>
            <w:tblPr>
              <w:tblStyle w:val="31"/>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60"/>
              <w:gridCol w:w="931"/>
              <w:gridCol w:w="795"/>
              <w:gridCol w:w="974"/>
              <w:gridCol w:w="1582"/>
              <w:gridCol w:w="12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00"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rPr>
                      <w:rFonts w:hint="eastAsia"/>
                    </w:rPr>
                  </w:pPr>
                  <w:r>
                    <w:t>标准名称</w:t>
                  </w:r>
                </w:p>
              </w:tc>
              <w:tc>
                <w:tcPr>
                  <w:tcW w:w="617"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rPr>
                      <w:rFonts w:hint="eastAsia"/>
                    </w:rPr>
                    <w:t>污染物项目</w:t>
                  </w:r>
                </w:p>
              </w:tc>
              <w:tc>
                <w:tcPr>
                  <w:tcW w:w="527"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rPr>
                      <w:rFonts w:hint="eastAsia"/>
                    </w:rPr>
                    <w:t>排放限值</w:t>
                  </w:r>
                </w:p>
              </w:tc>
              <w:tc>
                <w:tcPr>
                  <w:tcW w:w="646"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rPr>
                      <w:rFonts w:hint="eastAsia"/>
                    </w:rPr>
                    <w:t>特别排放限值</w:t>
                  </w:r>
                </w:p>
              </w:tc>
              <w:tc>
                <w:tcPr>
                  <w:tcW w:w="1049"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rPr>
                      <w:rFonts w:hint="eastAsia"/>
                    </w:rPr>
                    <w:t>限值含义</w:t>
                  </w:r>
                </w:p>
              </w:tc>
              <w:tc>
                <w:tcPr>
                  <w:tcW w:w="857"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rPr>
                      <w:rFonts w:hint="eastAsia"/>
                    </w:rPr>
                    <w:t>无组织排放监控位置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00" w:type="pct"/>
                  <w:vMerge w:val="restart"/>
                  <w:tcBorders>
                    <w:top w:val="single" w:color="auto" w:sz="4" w:space="0"/>
                    <w:left w:val="single" w:color="auto" w:sz="4" w:space="0"/>
                    <w:right w:val="single" w:color="auto" w:sz="4" w:space="0"/>
                  </w:tcBorders>
                  <w:vAlign w:val="center"/>
                </w:tcPr>
                <w:p>
                  <w:pPr>
                    <w:pStyle w:val="35"/>
                    <w:tabs>
                      <w:tab w:val="left" w:pos="1021"/>
                    </w:tabs>
                    <w:rPr>
                      <w:rFonts w:hint="eastAsia" w:eastAsia="宋体"/>
                      <w:lang w:eastAsia="zh-CN"/>
                    </w:rPr>
                  </w:pPr>
                  <w:r>
                    <w:rPr>
                      <w:rStyle w:val="37"/>
                      <w:rFonts w:hint="eastAsia"/>
                    </w:rPr>
                    <w:t>《挥发性有机物无组织排放控制标准》（</w:t>
                  </w:r>
                  <w:r>
                    <w:rPr>
                      <w:rStyle w:val="37"/>
                    </w:rPr>
                    <w:t>GB37822-2019</w:t>
                  </w:r>
                  <w:r>
                    <w:rPr>
                      <w:rStyle w:val="37"/>
                      <w:rFonts w:hint="eastAsia"/>
                      <w:lang w:eastAsia="zh-CN"/>
                    </w:rPr>
                    <w:t>）</w:t>
                  </w:r>
                </w:p>
              </w:tc>
              <w:tc>
                <w:tcPr>
                  <w:tcW w:w="617" w:type="pct"/>
                  <w:vMerge w:val="restar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rPr>
                      <w:rFonts w:hint="eastAsia"/>
                    </w:rPr>
                    <w:t>非甲烷总烃</w:t>
                  </w:r>
                </w:p>
              </w:tc>
              <w:tc>
                <w:tcPr>
                  <w:tcW w:w="527"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t>10</w:t>
                  </w:r>
                </w:p>
              </w:tc>
              <w:tc>
                <w:tcPr>
                  <w:tcW w:w="646"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t>6</w:t>
                  </w:r>
                </w:p>
              </w:tc>
              <w:tc>
                <w:tcPr>
                  <w:tcW w:w="1049"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rPr>
                      <w:rFonts w:hint="eastAsia"/>
                    </w:rPr>
                    <w:t>监控点处</w:t>
                  </w:r>
                  <w:r>
                    <w:t>1h</w:t>
                  </w:r>
                  <w:r>
                    <w:rPr>
                      <w:rFonts w:hint="eastAsia"/>
                    </w:rPr>
                    <w:t>平均浓度值</w:t>
                  </w:r>
                </w:p>
              </w:tc>
              <w:tc>
                <w:tcPr>
                  <w:tcW w:w="857" w:type="pct"/>
                  <w:vMerge w:val="restar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rPr>
                      <w:rFonts w:hint="eastAsia"/>
                    </w:rPr>
                    <w:t>厂房外设置监控点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00" w:type="pct"/>
                  <w:vMerge w:val="continue"/>
                  <w:tcBorders>
                    <w:left w:val="single" w:color="auto" w:sz="4" w:space="0"/>
                    <w:bottom w:val="single" w:color="auto" w:sz="4" w:space="0"/>
                    <w:right w:val="single" w:color="auto" w:sz="4" w:space="0"/>
                  </w:tcBorders>
                  <w:vAlign w:val="center"/>
                </w:tcPr>
                <w:p>
                  <w:pPr>
                    <w:pStyle w:val="35"/>
                    <w:tabs>
                      <w:tab w:val="left" w:pos="1021"/>
                    </w:tabs>
                  </w:pPr>
                </w:p>
              </w:tc>
              <w:tc>
                <w:tcPr>
                  <w:tcW w:w="617" w:type="pct"/>
                  <w:vMerge w:val="continue"/>
                  <w:tcBorders>
                    <w:top w:val="single" w:color="auto" w:sz="4" w:space="0"/>
                    <w:left w:val="single" w:color="auto" w:sz="4" w:space="0"/>
                    <w:bottom w:val="single" w:color="auto" w:sz="4" w:space="0"/>
                    <w:right w:val="single" w:color="auto" w:sz="4" w:space="0"/>
                  </w:tcBorders>
                  <w:vAlign w:val="center"/>
                </w:tcPr>
                <w:p>
                  <w:pPr>
                    <w:pStyle w:val="35"/>
                    <w:tabs>
                      <w:tab w:val="left" w:pos="1021"/>
                    </w:tabs>
                  </w:pPr>
                </w:p>
              </w:tc>
              <w:tc>
                <w:tcPr>
                  <w:tcW w:w="527"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t>30</w:t>
                  </w:r>
                </w:p>
              </w:tc>
              <w:tc>
                <w:tcPr>
                  <w:tcW w:w="646"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t>20</w:t>
                  </w:r>
                </w:p>
              </w:tc>
              <w:tc>
                <w:tcPr>
                  <w:tcW w:w="1049"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rPr>
                      <w:rFonts w:hint="eastAsia"/>
                    </w:rPr>
                    <w:t>监控点处任意一次浓度值</w:t>
                  </w:r>
                </w:p>
              </w:tc>
              <w:tc>
                <w:tcPr>
                  <w:tcW w:w="857" w:type="pct"/>
                  <w:vMerge w:val="continue"/>
                  <w:tcBorders>
                    <w:top w:val="single" w:color="auto" w:sz="4" w:space="0"/>
                    <w:left w:val="single" w:color="auto" w:sz="4" w:space="0"/>
                    <w:bottom w:val="single" w:color="auto" w:sz="4" w:space="0"/>
                    <w:right w:val="single" w:color="auto" w:sz="4" w:space="0"/>
                  </w:tcBorders>
                  <w:vAlign w:val="center"/>
                </w:tcPr>
                <w:p>
                  <w:pPr>
                    <w:pStyle w:val="35"/>
                    <w:tabs>
                      <w:tab w:val="left" w:pos="1021"/>
                    </w:tabs>
                  </w:pPr>
                </w:p>
              </w:tc>
            </w:tr>
          </w:tbl>
          <w:p>
            <w:pPr>
              <w:pStyle w:val="14"/>
              <w:bidi w:val="0"/>
            </w:pPr>
            <w:r>
              <w:rPr>
                <w:rFonts w:hint="eastAsia"/>
                <w:lang w:val="en-US" w:eastAsia="zh-CN"/>
              </w:rPr>
              <w:t>3、</w:t>
            </w:r>
            <w:r>
              <w:t>噪声排放标准</w:t>
            </w:r>
          </w:p>
          <w:p>
            <w:pPr>
              <w:pStyle w:val="14"/>
              <w:bidi w:val="0"/>
            </w:pPr>
            <w:r>
              <w:t>施工噪声执行《建筑施工场界环境噪声排放标准》（GB12523-2011）；项目建成运营后项目厂界噪声执行《工业企业厂界环境噪声排放标准》（GB12348-2008）</w:t>
            </w:r>
            <w:r>
              <w:rPr>
                <w:rFonts w:hint="eastAsia"/>
                <w:lang w:val="en-US" w:eastAsia="zh-CN"/>
              </w:rPr>
              <w:t>2</w:t>
            </w:r>
            <w:r>
              <w:t>类标准，临道路一侧执行《工业企业厂界环境噪声排放标准》（GB12348-2008）4类标准。具体标准值见</w:t>
            </w:r>
            <w:r>
              <w:rPr>
                <w:rFonts w:hint="eastAsia"/>
                <w:lang w:eastAsia="zh-CN"/>
              </w:rPr>
              <w:t>下</w:t>
            </w:r>
            <w:r>
              <w:t>表。</w:t>
            </w:r>
          </w:p>
          <w:p>
            <w:pPr>
              <w:pStyle w:val="36"/>
              <w:bidi w:val="0"/>
            </w:pPr>
            <w:r>
              <w:t>表</w:t>
            </w:r>
            <w:r>
              <w:rPr>
                <w:rFonts w:hint="eastAsia"/>
                <w:lang w:val="en-US" w:eastAsia="zh-CN"/>
              </w:rPr>
              <w:t xml:space="preserve">3.3-5 </w:t>
            </w:r>
            <w:r>
              <w:t>本项目噪声排放标准值表</w:t>
            </w:r>
          </w:p>
          <w:tbl>
            <w:tblPr>
              <w:tblStyle w:val="31"/>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1"/>
              <w:gridCol w:w="1146"/>
              <w:gridCol w:w="1622"/>
              <w:gridCol w:w="1152"/>
              <w:gridCol w:w="1541"/>
              <w:gridCol w:w="13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492" w:type="pct"/>
                  <w:noWrap w:val="0"/>
                  <w:vAlign w:val="center"/>
                </w:tcPr>
                <w:p>
                  <w:pPr>
                    <w:pStyle w:val="35"/>
                    <w:bidi w:val="0"/>
                  </w:pPr>
                  <w:r>
                    <w:t>项目</w:t>
                  </w:r>
                </w:p>
              </w:tc>
              <w:tc>
                <w:tcPr>
                  <w:tcW w:w="761" w:type="pct"/>
                  <w:noWrap w:val="0"/>
                  <w:vAlign w:val="center"/>
                </w:tcPr>
                <w:p>
                  <w:pPr>
                    <w:pStyle w:val="35"/>
                    <w:bidi w:val="0"/>
                  </w:pPr>
                  <w:r>
                    <w:t>标准名称</w:t>
                  </w:r>
                </w:p>
              </w:tc>
              <w:tc>
                <w:tcPr>
                  <w:tcW w:w="1076" w:type="pct"/>
                  <w:noWrap w:val="0"/>
                  <w:vAlign w:val="center"/>
                </w:tcPr>
                <w:p>
                  <w:pPr>
                    <w:pStyle w:val="35"/>
                    <w:bidi w:val="0"/>
                  </w:pPr>
                  <w:r>
                    <w:t>级别</w:t>
                  </w:r>
                </w:p>
              </w:tc>
              <w:tc>
                <w:tcPr>
                  <w:tcW w:w="2670" w:type="pct"/>
                  <w:gridSpan w:val="3"/>
                  <w:noWrap w:val="0"/>
                  <w:vAlign w:val="center"/>
                </w:tcPr>
                <w:p>
                  <w:pPr>
                    <w:pStyle w:val="35"/>
                    <w:bidi w:val="0"/>
                  </w:pPr>
                  <w:r>
                    <w:t>排放标准值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2" w:type="pct"/>
                  <w:vMerge w:val="restart"/>
                  <w:noWrap w:val="0"/>
                  <w:vAlign w:val="center"/>
                </w:tcPr>
                <w:p>
                  <w:pPr>
                    <w:pStyle w:val="35"/>
                    <w:bidi w:val="0"/>
                  </w:pPr>
                  <w:r>
                    <w:t>环境</w:t>
                  </w:r>
                </w:p>
                <w:p>
                  <w:pPr>
                    <w:pStyle w:val="35"/>
                    <w:bidi w:val="0"/>
                  </w:pPr>
                  <w:r>
                    <w:t>噪声</w:t>
                  </w:r>
                </w:p>
              </w:tc>
              <w:tc>
                <w:tcPr>
                  <w:tcW w:w="761" w:type="pct"/>
                  <w:vMerge w:val="restart"/>
                  <w:noWrap w:val="0"/>
                  <w:vAlign w:val="center"/>
                </w:tcPr>
                <w:p>
                  <w:pPr>
                    <w:pStyle w:val="35"/>
                    <w:bidi w:val="0"/>
                  </w:pPr>
                  <w:r>
                    <w:t>营运期</w:t>
                  </w:r>
                </w:p>
              </w:tc>
              <w:tc>
                <w:tcPr>
                  <w:tcW w:w="1076" w:type="pct"/>
                  <w:vMerge w:val="restart"/>
                  <w:noWrap w:val="0"/>
                  <w:vAlign w:val="center"/>
                </w:tcPr>
                <w:p>
                  <w:pPr>
                    <w:pStyle w:val="35"/>
                    <w:bidi w:val="0"/>
                  </w:pPr>
                  <w:r>
                    <w:t>GB12348-2008</w:t>
                  </w:r>
                </w:p>
              </w:tc>
              <w:tc>
                <w:tcPr>
                  <w:tcW w:w="764" w:type="pct"/>
                  <w:noWrap w:val="0"/>
                  <w:vAlign w:val="center"/>
                </w:tcPr>
                <w:p>
                  <w:pPr>
                    <w:pStyle w:val="35"/>
                    <w:bidi w:val="0"/>
                  </w:pPr>
                  <w:r>
                    <w:t>类别</w:t>
                  </w:r>
                </w:p>
              </w:tc>
              <w:tc>
                <w:tcPr>
                  <w:tcW w:w="1022" w:type="pct"/>
                  <w:noWrap w:val="0"/>
                  <w:vAlign w:val="center"/>
                </w:tcPr>
                <w:p>
                  <w:pPr>
                    <w:pStyle w:val="35"/>
                    <w:bidi w:val="0"/>
                  </w:pPr>
                  <w:r>
                    <w:t>昼间</w:t>
                  </w:r>
                </w:p>
              </w:tc>
              <w:tc>
                <w:tcPr>
                  <w:tcW w:w="883" w:type="pct"/>
                  <w:noWrap w:val="0"/>
                  <w:vAlign w:val="center"/>
                </w:tcPr>
                <w:p>
                  <w:pPr>
                    <w:pStyle w:val="35"/>
                    <w:bidi w:val="0"/>
                  </w:pPr>
                  <w: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2" w:type="pct"/>
                  <w:vMerge w:val="continue"/>
                  <w:noWrap w:val="0"/>
                  <w:vAlign w:val="center"/>
                </w:tcPr>
                <w:p>
                  <w:pPr>
                    <w:pStyle w:val="35"/>
                    <w:bidi w:val="0"/>
                  </w:pPr>
                </w:p>
              </w:tc>
              <w:tc>
                <w:tcPr>
                  <w:tcW w:w="761" w:type="pct"/>
                  <w:vMerge w:val="continue"/>
                  <w:noWrap w:val="0"/>
                  <w:vAlign w:val="center"/>
                </w:tcPr>
                <w:p>
                  <w:pPr>
                    <w:pStyle w:val="35"/>
                    <w:bidi w:val="0"/>
                  </w:pPr>
                </w:p>
              </w:tc>
              <w:tc>
                <w:tcPr>
                  <w:tcW w:w="1076" w:type="pct"/>
                  <w:vMerge w:val="continue"/>
                  <w:noWrap w:val="0"/>
                  <w:vAlign w:val="center"/>
                </w:tcPr>
                <w:p>
                  <w:pPr>
                    <w:pStyle w:val="35"/>
                    <w:bidi w:val="0"/>
                  </w:pPr>
                </w:p>
              </w:tc>
              <w:tc>
                <w:tcPr>
                  <w:tcW w:w="764" w:type="pct"/>
                  <w:noWrap w:val="0"/>
                  <w:vAlign w:val="center"/>
                </w:tcPr>
                <w:p>
                  <w:pPr>
                    <w:pStyle w:val="35"/>
                    <w:bidi w:val="0"/>
                  </w:pPr>
                  <w:r>
                    <w:rPr>
                      <w:rFonts w:hint="eastAsia"/>
                      <w:lang w:val="en-US" w:eastAsia="zh-CN"/>
                    </w:rPr>
                    <w:t>2</w:t>
                  </w:r>
                  <w:r>
                    <w:t>类</w:t>
                  </w:r>
                </w:p>
              </w:tc>
              <w:tc>
                <w:tcPr>
                  <w:tcW w:w="1022" w:type="pct"/>
                  <w:noWrap w:val="0"/>
                  <w:vAlign w:val="center"/>
                </w:tcPr>
                <w:p>
                  <w:pPr>
                    <w:pStyle w:val="35"/>
                    <w:bidi w:val="0"/>
                    <w:rPr>
                      <w:rFonts w:hint="eastAsia" w:eastAsia="宋体"/>
                      <w:lang w:val="en-US" w:eastAsia="zh-CN"/>
                    </w:rPr>
                  </w:pPr>
                  <w:r>
                    <w:t>6</w:t>
                  </w:r>
                  <w:r>
                    <w:rPr>
                      <w:rFonts w:hint="eastAsia"/>
                      <w:lang w:val="en-US" w:eastAsia="zh-CN"/>
                    </w:rPr>
                    <w:t>0</w:t>
                  </w:r>
                </w:p>
              </w:tc>
              <w:tc>
                <w:tcPr>
                  <w:tcW w:w="883" w:type="pct"/>
                  <w:noWrap w:val="0"/>
                  <w:vAlign w:val="center"/>
                </w:tcPr>
                <w:p>
                  <w:pPr>
                    <w:pStyle w:val="35"/>
                    <w:bidi w:val="0"/>
                    <w:rPr>
                      <w:rFonts w:hint="eastAsia" w:eastAsia="宋体"/>
                      <w:lang w:val="en-US" w:eastAsia="zh-CN"/>
                    </w:rPr>
                  </w:pPr>
                  <w:r>
                    <w:t>5</w:t>
                  </w:r>
                  <w:r>
                    <w:rPr>
                      <w:rFonts w:hint="eastAsia"/>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2" w:type="pct"/>
                  <w:vMerge w:val="continue"/>
                  <w:noWrap w:val="0"/>
                  <w:vAlign w:val="center"/>
                </w:tcPr>
                <w:p>
                  <w:pPr>
                    <w:pStyle w:val="35"/>
                    <w:bidi w:val="0"/>
                  </w:pPr>
                </w:p>
              </w:tc>
              <w:tc>
                <w:tcPr>
                  <w:tcW w:w="761" w:type="pct"/>
                  <w:vMerge w:val="continue"/>
                  <w:noWrap w:val="0"/>
                  <w:vAlign w:val="center"/>
                </w:tcPr>
                <w:p>
                  <w:pPr>
                    <w:pStyle w:val="35"/>
                    <w:bidi w:val="0"/>
                  </w:pPr>
                </w:p>
              </w:tc>
              <w:tc>
                <w:tcPr>
                  <w:tcW w:w="1076" w:type="pct"/>
                  <w:vMerge w:val="continue"/>
                  <w:noWrap w:val="0"/>
                  <w:vAlign w:val="center"/>
                </w:tcPr>
                <w:p>
                  <w:pPr>
                    <w:pStyle w:val="35"/>
                    <w:bidi w:val="0"/>
                  </w:pPr>
                </w:p>
              </w:tc>
              <w:tc>
                <w:tcPr>
                  <w:tcW w:w="764" w:type="pct"/>
                  <w:noWrap w:val="0"/>
                  <w:vAlign w:val="center"/>
                </w:tcPr>
                <w:p>
                  <w:pPr>
                    <w:pStyle w:val="35"/>
                    <w:bidi w:val="0"/>
                  </w:pPr>
                  <w:r>
                    <w:t>4类</w:t>
                  </w:r>
                </w:p>
              </w:tc>
              <w:tc>
                <w:tcPr>
                  <w:tcW w:w="1022" w:type="pct"/>
                  <w:noWrap w:val="0"/>
                  <w:vAlign w:val="center"/>
                </w:tcPr>
                <w:p>
                  <w:pPr>
                    <w:pStyle w:val="35"/>
                    <w:bidi w:val="0"/>
                  </w:pPr>
                  <w:r>
                    <w:t>70</w:t>
                  </w:r>
                </w:p>
              </w:tc>
              <w:tc>
                <w:tcPr>
                  <w:tcW w:w="883" w:type="pct"/>
                  <w:noWrap w:val="0"/>
                  <w:vAlign w:val="center"/>
                </w:tcPr>
                <w:p>
                  <w:pPr>
                    <w:pStyle w:val="35"/>
                    <w:bidi w:val="0"/>
                  </w:pPr>
                  <w: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2" w:type="pct"/>
                  <w:vMerge w:val="continue"/>
                  <w:noWrap w:val="0"/>
                  <w:vAlign w:val="center"/>
                </w:tcPr>
                <w:p>
                  <w:pPr>
                    <w:pStyle w:val="35"/>
                    <w:bidi w:val="0"/>
                  </w:pPr>
                </w:p>
              </w:tc>
              <w:tc>
                <w:tcPr>
                  <w:tcW w:w="761" w:type="pct"/>
                  <w:noWrap w:val="0"/>
                  <w:vAlign w:val="center"/>
                </w:tcPr>
                <w:p>
                  <w:pPr>
                    <w:pStyle w:val="35"/>
                    <w:bidi w:val="0"/>
                  </w:pPr>
                  <w:r>
                    <w:t>施工期</w:t>
                  </w:r>
                </w:p>
              </w:tc>
              <w:tc>
                <w:tcPr>
                  <w:tcW w:w="1076" w:type="pct"/>
                  <w:noWrap w:val="0"/>
                  <w:vAlign w:val="center"/>
                </w:tcPr>
                <w:p>
                  <w:pPr>
                    <w:pStyle w:val="35"/>
                    <w:bidi w:val="0"/>
                  </w:pPr>
                  <w:r>
                    <w:t>GB12523-2011</w:t>
                  </w:r>
                </w:p>
              </w:tc>
              <w:tc>
                <w:tcPr>
                  <w:tcW w:w="764" w:type="pct"/>
                  <w:noWrap w:val="0"/>
                  <w:vAlign w:val="center"/>
                </w:tcPr>
                <w:p>
                  <w:pPr>
                    <w:pStyle w:val="35"/>
                    <w:bidi w:val="0"/>
                  </w:pPr>
                  <w:r>
                    <w:t>限值</w:t>
                  </w:r>
                </w:p>
              </w:tc>
              <w:tc>
                <w:tcPr>
                  <w:tcW w:w="1022" w:type="pct"/>
                  <w:noWrap w:val="0"/>
                  <w:vAlign w:val="center"/>
                </w:tcPr>
                <w:p>
                  <w:pPr>
                    <w:pStyle w:val="35"/>
                    <w:bidi w:val="0"/>
                  </w:pPr>
                  <w:r>
                    <w:t>70</w:t>
                  </w:r>
                </w:p>
              </w:tc>
              <w:tc>
                <w:tcPr>
                  <w:tcW w:w="883" w:type="pct"/>
                  <w:noWrap w:val="0"/>
                  <w:vAlign w:val="center"/>
                </w:tcPr>
                <w:p>
                  <w:pPr>
                    <w:pStyle w:val="35"/>
                    <w:bidi w:val="0"/>
                  </w:pPr>
                  <w:r>
                    <w:t>55</w:t>
                  </w:r>
                </w:p>
              </w:tc>
            </w:tr>
          </w:tbl>
          <w:p>
            <w:pPr>
              <w:pStyle w:val="14"/>
              <w:bidi w:val="0"/>
            </w:pPr>
            <w:r>
              <w:rPr>
                <w:rFonts w:hint="eastAsia"/>
                <w:lang w:val="en-US" w:eastAsia="zh-CN"/>
              </w:rPr>
              <w:t>4、</w:t>
            </w:r>
            <w:r>
              <w:t>固体废物</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ascii="宋体" w:hAnsi="宋体" w:cs="宋体"/>
                <w:kern w:val="0"/>
                <w:szCs w:val="21"/>
              </w:rPr>
            </w:pPr>
            <w:r>
              <w:t>一般工业固废储存及处置执行《一般工业固体废物贮存</w:t>
            </w:r>
            <w:r>
              <w:rPr>
                <w:rFonts w:hint="eastAsia"/>
                <w:lang w:eastAsia="zh-CN"/>
              </w:rPr>
              <w:t>和填埋</w:t>
            </w:r>
            <w:r>
              <w:t>污染控制标准》（GB18599-20</w:t>
            </w:r>
            <w:r>
              <w:rPr>
                <w:rFonts w:hint="eastAsia"/>
                <w:lang w:val="en-US" w:eastAsia="zh-CN"/>
              </w:rPr>
              <w:t>20</w:t>
            </w:r>
            <w:r>
              <w:t>），危险废物储存及处置执行《危险废物贮存污染控制标准》（GB18597-2001）及2013年修改单中的相关规定；生活垃圾执行《生活垃圾填埋污染控制标准》（GB16889-2008）。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4" w:type="pct"/>
            <w:noWrap w:val="0"/>
            <w:vAlign w:val="center"/>
          </w:tcPr>
          <w:p>
            <w:pPr>
              <w:adjustRightInd w:val="0"/>
              <w:snapToGrid w:val="0"/>
              <w:jc w:val="center"/>
              <w:rPr>
                <w:rFonts w:hint="eastAsia" w:ascii="宋体" w:hAnsi="宋体" w:cs="宋体"/>
                <w:kern w:val="0"/>
                <w:sz w:val="24"/>
                <w:szCs w:val="24"/>
              </w:rPr>
            </w:pPr>
            <w:r>
              <w:rPr>
                <w:rFonts w:hint="eastAsia" w:ascii="宋体" w:hAnsi="宋体" w:cs="宋体"/>
                <w:kern w:val="0"/>
                <w:sz w:val="24"/>
                <w:szCs w:val="24"/>
              </w:rPr>
              <w:t>总量</w:t>
            </w:r>
          </w:p>
          <w:p>
            <w:pPr>
              <w:adjustRightInd w:val="0"/>
              <w:snapToGrid w:val="0"/>
              <w:jc w:val="center"/>
              <w:rPr>
                <w:rFonts w:hint="eastAsia" w:ascii="宋体" w:hAnsi="宋体" w:cs="宋体"/>
                <w:kern w:val="0"/>
                <w:sz w:val="24"/>
                <w:szCs w:val="24"/>
              </w:rPr>
            </w:pPr>
            <w:r>
              <w:rPr>
                <w:rFonts w:hint="eastAsia" w:ascii="宋体" w:hAnsi="宋体" w:cs="宋体"/>
                <w:kern w:val="0"/>
                <w:sz w:val="24"/>
                <w:szCs w:val="24"/>
              </w:rPr>
              <w:t>控制</w:t>
            </w:r>
          </w:p>
          <w:p>
            <w:pPr>
              <w:adjustRightInd w:val="0"/>
              <w:snapToGrid w:val="0"/>
              <w:jc w:val="center"/>
              <w:rPr>
                <w:rFonts w:ascii="宋体" w:hAnsi="宋体" w:cs="宋体"/>
                <w:kern w:val="0"/>
                <w:szCs w:val="21"/>
              </w:rPr>
            </w:pPr>
            <w:r>
              <w:rPr>
                <w:rFonts w:hint="eastAsia" w:ascii="宋体" w:hAnsi="宋体" w:cs="宋体"/>
                <w:kern w:val="0"/>
                <w:sz w:val="24"/>
                <w:szCs w:val="24"/>
              </w:rPr>
              <w:t>指标</w:t>
            </w:r>
          </w:p>
        </w:tc>
        <w:tc>
          <w:tcPr>
            <w:tcW w:w="4555" w:type="pct"/>
            <w:noWrap w:val="0"/>
            <w:vAlign w:val="center"/>
          </w:tcPr>
          <w:p>
            <w:pPr>
              <w:pStyle w:val="14"/>
              <w:bidi w:val="0"/>
            </w:pPr>
            <w:r>
              <w:t>本项目无需申请总量控制指标。</w:t>
            </w:r>
          </w:p>
          <w:p>
            <w:pPr>
              <w:pStyle w:val="14"/>
              <w:bidi w:val="0"/>
            </w:pPr>
            <w:r>
              <w:rPr>
                <w:rFonts w:hint="eastAsia"/>
              </w:rPr>
              <w:t>①水污染物控制指标：</w:t>
            </w:r>
          </w:p>
          <w:p>
            <w:pPr>
              <w:pStyle w:val="14"/>
              <w:bidi w:val="0"/>
            </w:pPr>
            <w:r>
              <w:rPr>
                <w:rFonts w:hint="eastAsia"/>
              </w:rPr>
              <w:t>项目污、废水经相应处理措施处理后排入</w:t>
            </w:r>
            <w:r>
              <w:rPr>
                <w:rFonts w:hint="eastAsia"/>
                <w:lang w:val="en-US" w:eastAsia="zh-CN"/>
              </w:rPr>
              <w:t>祁东县鱼陂污水厂</w:t>
            </w:r>
            <w:r>
              <w:t>处理。</w:t>
            </w:r>
            <w:r>
              <w:rPr>
                <w:rFonts w:hint="eastAsia"/>
              </w:rPr>
              <w:t>废水中</w:t>
            </w:r>
            <w:r>
              <w:t>COD</w:t>
            </w:r>
            <w:r>
              <w:rPr>
                <w:rFonts w:hint="eastAsia"/>
              </w:rPr>
              <w:t>、</w:t>
            </w:r>
            <w:r>
              <w:t>NH</w:t>
            </w:r>
            <w:r>
              <w:rPr>
                <w:vertAlign w:val="subscript"/>
              </w:rPr>
              <w:t>3</w:t>
            </w:r>
            <w:r>
              <w:t>-N</w:t>
            </w:r>
            <w:r>
              <w:rPr>
                <w:rFonts w:hint="eastAsia"/>
              </w:rPr>
              <w:t>总量纳入</w:t>
            </w:r>
            <w:r>
              <w:rPr>
                <w:rFonts w:hint="eastAsia"/>
                <w:lang w:val="en-US" w:eastAsia="zh-CN"/>
              </w:rPr>
              <w:t>祁东县鱼陂污水厂</w:t>
            </w:r>
            <w:r>
              <w:rPr>
                <w:rFonts w:hint="eastAsia"/>
              </w:rPr>
              <w:t>的总量控制指标中，本环评不建议另设</w:t>
            </w:r>
            <w:r>
              <w:t>COD</w:t>
            </w:r>
            <w:r>
              <w:rPr>
                <w:rFonts w:hint="eastAsia"/>
              </w:rPr>
              <w:t>、</w:t>
            </w:r>
            <w:r>
              <w:t>NH</w:t>
            </w:r>
            <w:r>
              <w:rPr>
                <w:vertAlign w:val="subscript"/>
              </w:rPr>
              <w:t>3</w:t>
            </w:r>
            <w:r>
              <w:t>-N</w:t>
            </w:r>
            <w:r>
              <w:rPr>
                <w:rFonts w:hint="eastAsia"/>
              </w:rPr>
              <w:t>总量控制指标，最终由当地环保局决定。</w:t>
            </w:r>
          </w:p>
          <w:p>
            <w:pPr>
              <w:pStyle w:val="14"/>
              <w:bidi w:val="0"/>
            </w:pPr>
            <w:r>
              <w:rPr>
                <w:rFonts w:hint="eastAsia"/>
              </w:rPr>
              <w:t>②大气总量控制指标：</w:t>
            </w:r>
          </w:p>
          <w:p>
            <w:pPr>
              <w:pStyle w:val="14"/>
              <w:bidi w:val="0"/>
              <w:rPr>
                <w:rFonts w:hint="eastAsia"/>
                <w:lang w:val="en-US" w:eastAsia="zh-CN"/>
              </w:rPr>
            </w:pPr>
            <w:r>
              <w:rPr>
                <w:rFonts w:hint="default" w:ascii="Times New Roman" w:hAnsi="Times New Roman" w:eastAsia="宋体" w:cs="Times New Roman"/>
                <w:i w:val="0"/>
                <w:iCs w:val="0"/>
                <w:color w:val="auto"/>
                <w:u w:val="none" w:color="auto"/>
                <w:lang w:val="en-US" w:eastAsia="zh-CN"/>
              </w:rPr>
              <w:t>根据工程分析VOCs建议总量控制指标为</w:t>
            </w:r>
            <w:r>
              <w:rPr>
                <w:rFonts w:hint="eastAsia" w:ascii="Times New Roman" w:hAnsi="Times New Roman" w:cs="Times New Roman"/>
                <w:i w:val="0"/>
                <w:iCs w:val="0"/>
                <w:color w:val="auto"/>
                <w:u w:val="none" w:color="auto"/>
                <w:lang w:val="en-US" w:eastAsia="zh-CN"/>
              </w:rPr>
              <w:t>0.556</w:t>
            </w:r>
            <w:r>
              <w:rPr>
                <w:rFonts w:hint="default" w:ascii="Times New Roman" w:hAnsi="Times New Roman" w:eastAsia="宋体" w:cs="Times New Roman"/>
                <w:i w:val="0"/>
                <w:iCs w:val="0"/>
                <w:color w:val="auto"/>
                <w:u w:val="none" w:color="auto"/>
                <w:lang w:val="en-US" w:eastAsia="zh-CN"/>
              </w:rPr>
              <w:t>t/a。</w:t>
            </w:r>
          </w:p>
        </w:tc>
      </w:tr>
    </w:tbl>
    <w:p>
      <w:pPr>
        <w:pStyle w:val="7"/>
        <w:bidi w:val="0"/>
        <w:rPr>
          <w:rFonts w:ascii="黑体" w:hAnsi="黑体" w:eastAsia="黑体"/>
          <w:snapToGrid w:val="0"/>
          <w:sz w:val="30"/>
          <w:szCs w:val="30"/>
        </w:rPr>
      </w:pPr>
      <w:r>
        <w:rPr>
          <w:rFonts w:ascii="黑体" w:hAnsi="黑体" w:eastAsia="黑体"/>
          <w:snapToGrid w:val="0"/>
          <w:sz w:val="36"/>
          <w:szCs w:val="36"/>
        </w:rPr>
        <w:br w:type="page"/>
      </w:r>
      <w:bookmarkStart w:id="53" w:name="_Toc7090"/>
      <w:bookmarkStart w:id="54" w:name="_Toc18306"/>
      <w:bookmarkStart w:id="55" w:name="_Toc27375"/>
      <w:bookmarkStart w:id="56" w:name="_Toc28375"/>
      <w:bookmarkStart w:id="57" w:name="_Toc8846"/>
      <w:bookmarkStart w:id="58" w:name="_Toc10667"/>
      <w:bookmarkStart w:id="59" w:name="_Toc19205"/>
      <w:bookmarkStart w:id="60" w:name="_Toc31581"/>
      <w:bookmarkStart w:id="61" w:name="_Toc17042"/>
      <w:bookmarkStart w:id="62" w:name="_Toc31432"/>
      <w:bookmarkStart w:id="63" w:name="_Toc4169"/>
      <w:bookmarkStart w:id="64" w:name="_Toc17397"/>
      <w:bookmarkStart w:id="65" w:name="_Toc10824"/>
      <w:bookmarkStart w:id="66" w:name="_Toc5465"/>
      <w:bookmarkStart w:id="67" w:name="_Toc29241"/>
      <w:bookmarkStart w:id="68" w:name="_Toc19934"/>
      <w:r>
        <w:rPr>
          <w:rStyle w:val="41"/>
          <w:rFonts w:hint="eastAsia"/>
          <w:b/>
        </w:rPr>
        <w:t>四、主要环境影响和保护措施</w:t>
      </w:r>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p>
    <w:tbl>
      <w:tblPr>
        <w:tblStyle w:val="31"/>
        <w:tblW w:w="4999"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322"/>
        <w:gridCol w:w="811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1" w:type="pct"/>
            <w:noWrap w:val="0"/>
            <w:tcMar>
              <w:left w:w="28" w:type="dxa"/>
              <w:right w:w="28" w:type="dxa"/>
            </w:tcMar>
            <w:vAlign w:val="center"/>
          </w:tcPr>
          <w:p>
            <w:pPr>
              <w:pStyle w:val="28"/>
              <w:adjustRightInd w:val="0"/>
              <w:snapToGrid w:val="0"/>
              <w:spacing w:before="0" w:beforeAutospacing="0" w:after="0" w:afterAutospacing="0"/>
              <w:jc w:val="center"/>
              <w:rPr>
                <w:rFonts w:hint="eastAsia" w:cs="宋体"/>
                <w:kern w:val="2"/>
                <w:sz w:val="24"/>
                <w:szCs w:val="24"/>
              </w:rPr>
            </w:pPr>
            <w:r>
              <w:rPr>
                <w:rFonts w:hint="eastAsia" w:cs="宋体"/>
                <w:kern w:val="2"/>
                <w:sz w:val="24"/>
                <w:szCs w:val="24"/>
              </w:rPr>
              <w:t>施工</w:t>
            </w:r>
          </w:p>
          <w:p>
            <w:pPr>
              <w:pStyle w:val="28"/>
              <w:adjustRightInd w:val="0"/>
              <w:snapToGrid w:val="0"/>
              <w:spacing w:before="0" w:beforeAutospacing="0" w:after="0" w:afterAutospacing="0"/>
              <w:jc w:val="center"/>
              <w:rPr>
                <w:rFonts w:hint="eastAsia" w:cs="宋体"/>
                <w:kern w:val="2"/>
                <w:sz w:val="24"/>
                <w:szCs w:val="24"/>
              </w:rPr>
            </w:pPr>
            <w:r>
              <w:rPr>
                <w:rFonts w:hint="eastAsia" w:cs="宋体"/>
                <w:kern w:val="2"/>
                <w:sz w:val="24"/>
                <w:szCs w:val="24"/>
              </w:rPr>
              <w:t>期环</w:t>
            </w:r>
          </w:p>
          <w:p>
            <w:pPr>
              <w:pStyle w:val="28"/>
              <w:adjustRightInd w:val="0"/>
              <w:snapToGrid w:val="0"/>
              <w:spacing w:before="0" w:beforeAutospacing="0" w:after="0" w:afterAutospacing="0"/>
              <w:jc w:val="center"/>
              <w:rPr>
                <w:rFonts w:hint="eastAsia" w:cs="宋体"/>
                <w:kern w:val="2"/>
                <w:sz w:val="24"/>
                <w:szCs w:val="24"/>
              </w:rPr>
            </w:pPr>
            <w:r>
              <w:rPr>
                <w:rFonts w:hint="eastAsia" w:cs="宋体"/>
                <w:kern w:val="2"/>
                <w:sz w:val="24"/>
                <w:szCs w:val="24"/>
              </w:rPr>
              <w:t>境保</w:t>
            </w:r>
          </w:p>
          <w:p>
            <w:pPr>
              <w:pStyle w:val="28"/>
              <w:adjustRightInd w:val="0"/>
              <w:snapToGrid w:val="0"/>
              <w:spacing w:before="0" w:beforeAutospacing="0" w:after="0" w:afterAutospacing="0"/>
              <w:jc w:val="center"/>
              <w:rPr>
                <w:rFonts w:hint="eastAsia" w:cs="宋体"/>
                <w:kern w:val="2"/>
                <w:sz w:val="24"/>
                <w:szCs w:val="24"/>
              </w:rPr>
            </w:pPr>
            <w:r>
              <w:rPr>
                <w:rFonts w:hint="eastAsia" w:cs="宋体"/>
                <w:kern w:val="2"/>
                <w:sz w:val="24"/>
                <w:szCs w:val="24"/>
              </w:rPr>
              <w:t>护措</w:t>
            </w:r>
          </w:p>
          <w:p>
            <w:pPr>
              <w:pStyle w:val="28"/>
              <w:adjustRightInd w:val="0"/>
              <w:snapToGrid w:val="0"/>
              <w:spacing w:before="0" w:beforeAutospacing="0" w:after="0" w:afterAutospacing="0"/>
              <w:jc w:val="center"/>
              <w:rPr>
                <w:rFonts w:hint="eastAsia" w:cs="宋体"/>
                <w:bCs/>
                <w:kern w:val="2"/>
                <w:sz w:val="21"/>
                <w:szCs w:val="21"/>
              </w:rPr>
            </w:pPr>
            <w:r>
              <w:rPr>
                <w:rFonts w:hint="eastAsia" w:cs="宋体"/>
                <w:kern w:val="2"/>
                <w:sz w:val="24"/>
                <w:szCs w:val="24"/>
              </w:rPr>
              <w:t>施</w:t>
            </w:r>
          </w:p>
        </w:tc>
        <w:tc>
          <w:tcPr>
            <w:tcW w:w="4808" w:type="pct"/>
            <w:noWrap w:val="0"/>
            <w:vAlign w:val="center"/>
          </w:tcPr>
          <w:p>
            <w:pPr>
              <w:pStyle w:val="14"/>
              <w:bidi w:val="0"/>
              <w:rPr>
                <w:rFonts w:hint="default"/>
              </w:rPr>
            </w:pPr>
            <w:r>
              <w:rPr>
                <w:rFonts w:hint="default"/>
              </w:rPr>
              <w:t>项目建设期约</w:t>
            </w:r>
            <w:r>
              <w:rPr>
                <w:rFonts w:hint="eastAsia"/>
                <w:lang w:val="en-US" w:eastAsia="zh-CN"/>
              </w:rPr>
              <w:t>4</w:t>
            </w:r>
            <w:r>
              <w:rPr>
                <w:rFonts w:hint="default"/>
              </w:rPr>
              <w:t>个月，施工人数最多</w:t>
            </w:r>
            <w:r>
              <w:rPr>
                <w:rFonts w:hint="eastAsia"/>
                <w:lang w:val="en-US" w:eastAsia="zh-CN"/>
              </w:rPr>
              <w:t>2</w:t>
            </w:r>
            <w:r>
              <w:rPr>
                <w:rFonts w:hint="default"/>
              </w:rPr>
              <w:t>0人，不设置施工营地。</w:t>
            </w:r>
          </w:p>
          <w:p>
            <w:pPr>
              <w:pStyle w:val="14"/>
              <w:bidi w:val="0"/>
            </w:pPr>
            <w:r>
              <w:t>（1）废水</w:t>
            </w:r>
          </w:p>
          <w:p>
            <w:pPr>
              <w:pStyle w:val="14"/>
              <w:bidi w:val="0"/>
              <w:rPr>
                <w:rFonts w:hint="eastAsia"/>
              </w:rPr>
            </w:pPr>
            <w:r>
              <w:rPr>
                <w:rFonts w:hint="eastAsia"/>
              </w:rPr>
              <w:t>施工过程产生的废水主要包括施工人员的生活污水和施工废水。可通过采用隔油、沉淀等处理措施后，施工废水可循环使用于车辆冲洗或用于施工场地的扬尘洒水、水泥路面养护用水，不外排。</w:t>
            </w:r>
          </w:p>
          <w:p>
            <w:pPr>
              <w:pStyle w:val="14"/>
              <w:bidi w:val="0"/>
            </w:pPr>
            <w:r>
              <w:t>本项目施工现场不设置施工营地，也无工地食堂和工地宿舍，施工人员</w:t>
            </w:r>
            <w:r>
              <w:rPr>
                <w:rFonts w:hint="eastAsia"/>
              </w:rPr>
              <w:t>均为</w:t>
            </w:r>
            <w:r>
              <w:t>当地居民，因此，本项目</w:t>
            </w:r>
            <w:r>
              <w:rPr>
                <w:rFonts w:hint="eastAsia"/>
              </w:rPr>
              <w:t>施工期</w:t>
            </w:r>
            <w:r>
              <w:t>生活污水</w:t>
            </w:r>
            <w:r>
              <w:rPr>
                <w:rFonts w:hint="eastAsia"/>
              </w:rPr>
              <w:t>为如厕废水，经化粪池处理后排入市政污水管网，进入</w:t>
            </w:r>
            <w:r>
              <w:rPr>
                <w:rFonts w:hint="eastAsia"/>
                <w:lang w:eastAsia="zh-CN"/>
              </w:rPr>
              <w:t>祁东县鱼陂污水厂</w:t>
            </w:r>
            <w:r>
              <w:rPr>
                <w:rFonts w:hint="eastAsia"/>
              </w:rPr>
              <w:t>集中处理，最终排至</w:t>
            </w:r>
            <w:r>
              <w:rPr>
                <w:rFonts w:hint="eastAsia"/>
                <w:lang w:eastAsia="zh-CN"/>
              </w:rPr>
              <w:t>洪桥小溪</w:t>
            </w:r>
            <w:r>
              <w:rPr>
                <w:rFonts w:hint="eastAsia"/>
              </w:rPr>
              <w:t>。</w:t>
            </w:r>
          </w:p>
          <w:p>
            <w:pPr>
              <w:pStyle w:val="14"/>
              <w:bidi w:val="0"/>
            </w:pPr>
            <w:r>
              <w:t>（2）废气</w:t>
            </w:r>
          </w:p>
          <w:p>
            <w:pPr>
              <w:pStyle w:val="14"/>
              <w:bidi w:val="0"/>
              <w:rPr>
                <w:rFonts w:hint="default"/>
              </w:rPr>
            </w:pPr>
            <w:r>
              <w:rPr>
                <w:rFonts w:hint="default"/>
              </w:rPr>
              <w:t>施工期对环境空气影响的主要污染物为扬尘。在项目的建设施工中由于平整场地、开挖地基、回填土石方、临时堆土场以及建筑材料的运输、装卸、堆放等，会产生不同影响程度的扬尘，污染因子主要为TSP、PM</w:t>
            </w:r>
            <w:r>
              <w:rPr>
                <w:rFonts w:hint="default"/>
                <w:vertAlign w:val="subscript"/>
              </w:rPr>
              <w:t>10</w:t>
            </w:r>
            <w:r>
              <w:rPr>
                <w:rFonts w:hint="default"/>
              </w:rPr>
              <w:t>。扬尘的产生量与施工方式、土壤含水量、气象条件等有关。在空气干燥、风速较大的气候条件下，施工建设过程中会导致现场尘土飞扬，使空气中颗粒物浓度增加，并随风扩散，影响下风区域及周围环境空气质量。项目产生的扬尘对施工场地周围200m范围内带来一定的影响，且会随雨水的冲刷转移至附近水体。反之，在静风、小雨湿润条件下，其对空气环境的影响范围将减小、程度减轻。</w:t>
            </w:r>
          </w:p>
          <w:p>
            <w:pPr>
              <w:pStyle w:val="14"/>
              <w:bidi w:val="0"/>
              <w:rPr>
                <w:rFonts w:hint="default"/>
              </w:rPr>
            </w:pPr>
            <w:r>
              <w:rPr>
                <w:rFonts w:hint="default"/>
              </w:rPr>
              <w:t>距离项目最近的敏感目标为项目</w:t>
            </w:r>
            <w:r>
              <w:rPr>
                <w:rFonts w:hint="eastAsia"/>
                <w:lang w:eastAsia="zh-CN"/>
              </w:rPr>
              <w:t>东南侧</w:t>
            </w:r>
            <w:r>
              <w:rPr>
                <w:rFonts w:hint="eastAsia"/>
                <w:lang w:val="en-US" w:eastAsia="zh-CN"/>
              </w:rPr>
              <w:t>25</w:t>
            </w:r>
            <w:r>
              <w:rPr>
                <w:rFonts w:hint="eastAsia"/>
                <w:lang w:eastAsia="zh-CN"/>
              </w:rPr>
              <w:t>m</w:t>
            </w:r>
            <w:r>
              <w:rPr>
                <w:rFonts w:hint="default"/>
              </w:rPr>
              <w:t>处的居民房屋，位于项目区侧风向，项目施工期产生的扬尘会对其产生一定的影响，但由于项目施工期有限，产生的大气环境影响时段短，随施工活动的结束产生的大气环境影响也将随之消失，项目施工期间应在施工场地设置防护挡墙、对施工场地进行洒水降尘、运输车辆控制车速，对物料封闭堆存等措施，通过采取上述措施后施工期产生的大气环境影响可以得到有效地控制，施工扬尘对周围环境的影响小。</w:t>
            </w:r>
          </w:p>
          <w:p>
            <w:pPr>
              <w:pStyle w:val="14"/>
              <w:bidi w:val="0"/>
              <w:rPr>
                <w:rFonts w:hint="default"/>
              </w:rPr>
            </w:pPr>
            <w:r>
              <w:rPr>
                <w:rFonts w:hint="default"/>
              </w:rPr>
              <w:t>为减轻施工扬尘对外环境和敏感点的影响，本评价要求建设单位采取下列措施：</w:t>
            </w:r>
          </w:p>
          <w:p>
            <w:pPr>
              <w:pStyle w:val="14"/>
              <w:bidi w:val="0"/>
              <w:rPr>
                <w:rFonts w:hint="default"/>
              </w:rPr>
            </w:pPr>
            <w:r>
              <w:rPr>
                <w:rFonts w:hint="default"/>
              </w:rPr>
              <w:t>（1）根据《建设工程现场管理规定》的规定设置现场平面布置图、工程概况牌、安全生产牌、消防保卫牌、文明施工牌、环境保护牌、管理人员名单及监督电话牌等标志牌。</w:t>
            </w:r>
          </w:p>
          <w:p>
            <w:pPr>
              <w:pStyle w:val="14"/>
              <w:bidi w:val="0"/>
              <w:rPr>
                <w:rFonts w:hint="default"/>
              </w:rPr>
            </w:pPr>
            <w:r>
              <w:rPr>
                <w:rFonts w:hint="default"/>
              </w:rPr>
              <w:t>（2）施工期间应对施工场地进行洒水降尘，降低空气中扬尘含量、缩小扬尘影响范围、减轻扬尘影响。建设工地周围围挡顶部设置1套喷淋系统，以进一步进行洒水降尘。</w:t>
            </w:r>
          </w:p>
          <w:p>
            <w:pPr>
              <w:pStyle w:val="14"/>
              <w:bidi w:val="0"/>
              <w:rPr>
                <w:rFonts w:hint="default"/>
              </w:rPr>
            </w:pPr>
            <w:r>
              <w:rPr>
                <w:rFonts w:hint="default"/>
              </w:rPr>
              <w:t>（3）在施工过程中必须使用预拌商品混凝土。施工场地内不得设置混凝土拌合场地或拌合站，减少搅拌扬尘的产生。</w:t>
            </w:r>
          </w:p>
          <w:p>
            <w:pPr>
              <w:pStyle w:val="14"/>
              <w:bidi w:val="0"/>
              <w:rPr>
                <w:rFonts w:hint="default"/>
              </w:rPr>
            </w:pPr>
            <w:r>
              <w:rPr>
                <w:rFonts w:hint="default"/>
              </w:rPr>
              <w:t>（4）为降低施工期废气对周边环境的影响，结合《关于严格执行全市城区房屋建筑施工现场扬尘治理六个百分之百标准的通知》，项目施工期扬尘防治措施主要为以下八点：①确保施工工地现场围挡和外架防护100%全封闭，围挡保持整洁美观，外架安全网无破损；②确保施工现场出入口及车行道路100%硬化；③确保施工现场出入口100%设置车辆冲洗设施；④确保易起扬尘作业面100%湿法施工；⑤确保裸露黄土及易起尘物料100%覆盖；⑥确保渣土实施100%密封运输；⑦确保建筑垃圾100%规范管理，必须集中堆放、及时清运，严禁高空抛洒和焚烧；⑧确保非道路移动工程机械尾气排放100%达标，严禁使用劣质油品，严禁冒烟作业。</w:t>
            </w:r>
          </w:p>
          <w:p>
            <w:pPr>
              <w:pStyle w:val="14"/>
              <w:bidi w:val="0"/>
              <w:rPr>
                <w:rFonts w:hint="default"/>
              </w:rPr>
            </w:pPr>
            <w:r>
              <w:rPr>
                <w:rFonts w:hint="default"/>
              </w:rPr>
              <w:t>本评价要求建设单位严格落实以上临时拦挡措施，防治剥离表土和土石方堆存期间可能发生的扬尘逸散和水土流失。在严格落实本评价提出的各项施工期扬尘污染防治措施后，项目施工期扬尘对周围大气环境保护目标的影响降低，达到可接受的范围。</w:t>
            </w:r>
          </w:p>
          <w:p>
            <w:pPr>
              <w:spacing w:line="360" w:lineRule="auto"/>
              <w:ind w:firstLine="480" w:firstLineChars="200"/>
            </w:pPr>
            <w:r>
              <w:t>（3）噪声</w:t>
            </w:r>
          </w:p>
          <w:p>
            <w:pPr>
              <w:spacing w:line="360" w:lineRule="auto"/>
              <w:ind w:firstLine="480" w:firstLineChars="200"/>
              <w:jc w:val="left"/>
              <w:rPr>
                <w:rFonts w:hint="default"/>
              </w:rPr>
            </w:pPr>
            <w:r>
              <w:t>施工噪声主要来源于施工机械设备运行噪声。</w:t>
            </w:r>
            <w:r>
              <w:rPr>
                <w:rFonts w:hint="default"/>
              </w:rPr>
              <w:t>为了将影响控制在可接受范围内必须采取一定的控制措施，建议采取如下措施：</w:t>
            </w:r>
          </w:p>
          <w:p>
            <w:pPr>
              <w:spacing w:line="360" w:lineRule="auto"/>
              <w:ind w:firstLine="480" w:firstLineChars="200"/>
              <w:jc w:val="left"/>
              <w:rPr>
                <w:rFonts w:hint="default"/>
              </w:rPr>
            </w:pPr>
            <w:r>
              <w:rPr>
                <w:rFonts w:hint="default"/>
              </w:rPr>
              <w:t>①建设单位应要求施工单位所使用的主要施工机械应为低噪声机械设备，并按时对所有施工机械进行检修，严格按操作规程使用各类机械。</w:t>
            </w:r>
          </w:p>
          <w:p>
            <w:pPr>
              <w:spacing w:line="360" w:lineRule="auto"/>
              <w:ind w:firstLine="480" w:firstLineChars="200"/>
              <w:jc w:val="left"/>
              <w:rPr>
                <w:rFonts w:hint="default"/>
              </w:rPr>
            </w:pPr>
            <w:r>
              <w:rPr>
                <w:rFonts w:hint="default"/>
              </w:rPr>
              <w:t>②施工期噪声应按《建筑施工场界噪声限值》（GB12523-2011）进行控制，应合理安排施工时间，尽量避免高噪声设备同时施工，应限制夜间高噪声设备的施工时间，在夜间10点至次日早上6点禁止施工。</w:t>
            </w:r>
          </w:p>
          <w:p>
            <w:pPr>
              <w:spacing w:line="360" w:lineRule="auto"/>
              <w:ind w:firstLine="480" w:firstLineChars="200"/>
              <w:jc w:val="left"/>
              <w:rPr>
                <w:rFonts w:hint="default"/>
              </w:rPr>
            </w:pPr>
            <w:r>
              <w:rPr>
                <w:rFonts w:hint="default"/>
              </w:rPr>
              <w:t>③物料运输车辆采取减速缓行、禁止鸣笛等措施，以减小运输车辆噪声对周边</w:t>
            </w:r>
            <w:r>
              <w:rPr>
                <w:rFonts w:hint="eastAsia"/>
                <w:lang w:val="en-US" w:eastAsia="zh-CN"/>
              </w:rPr>
              <w:t>环境</w:t>
            </w:r>
            <w:r>
              <w:rPr>
                <w:rFonts w:hint="default"/>
              </w:rPr>
              <w:t>的影响。</w:t>
            </w:r>
          </w:p>
          <w:p>
            <w:pPr>
              <w:spacing w:line="360" w:lineRule="auto"/>
              <w:ind w:firstLine="480" w:firstLineChars="200"/>
            </w:pPr>
            <w:r>
              <w:t>（4）固废</w:t>
            </w:r>
          </w:p>
          <w:p>
            <w:pPr>
              <w:pStyle w:val="14"/>
              <w:spacing w:line="360" w:lineRule="auto"/>
              <w:ind w:left="-105" w:firstLine="480"/>
              <w:jc w:val="left"/>
              <w:rPr>
                <w:rFonts w:hint="default"/>
                <w:lang w:val="en-US" w:eastAsia="zh-CN"/>
              </w:rPr>
            </w:pPr>
            <w:r>
              <w:rPr>
                <w:rFonts w:hint="default"/>
                <w:lang w:val="en-US" w:eastAsia="zh-CN"/>
              </w:rPr>
              <w:t>项目施工期固体废物主要是建筑材料废弃物、施工人员生活垃圾。</w:t>
            </w:r>
          </w:p>
          <w:p>
            <w:pPr>
              <w:pStyle w:val="14"/>
              <w:spacing w:line="360" w:lineRule="auto"/>
              <w:ind w:left="-105" w:firstLine="480"/>
              <w:jc w:val="left"/>
              <w:rPr>
                <w:rFonts w:hint="default"/>
                <w:lang w:val="en-US" w:eastAsia="zh-CN"/>
              </w:rPr>
            </w:pPr>
            <w:r>
              <w:rPr>
                <w:rFonts w:hint="default"/>
              </w:rPr>
              <w:t>①</w:t>
            </w:r>
            <w:r>
              <w:rPr>
                <w:rFonts w:hint="default"/>
                <w:lang w:val="en-US" w:eastAsia="zh-CN"/>
              </w:rPr>
              <w:t>建筑垃圾</w:t>
            </w:r>
          </w:p>
          <w:p>
            <w:pPr>
              <w:pStyle w:val="14"/>
              <w:spacing w:line="360" w:lineRule="auto"/>
              <w:ind w:left="-105" w:firstLine="480"/>
              <w:jc w:val="left"/>
              <w:rPr>
                <w:rFonts w:hint="default"/>
                <w:lang w:val="en-US" w:eastAsia="zh-CN"/>
              </w:rPr>
            </w:pPr>
            <w:r>
              <w:rPr>
                <w:rFonts w:hint="default"/>
                <w:lang w:val="en-US" w:eastAsia="zh-CN"/>
              </w:rPr>
              <w:t>建筑垃圾包括混凝土碎块、废弃建筑包装材料等房屋主体施工产生建筑垃圾。施工完成后集中收集，包装材料、木材边角料、金属类等可回收利用废物回收利用，碎砖、混凝土块等不可回收废物定期清运至当地管理部门指定的建筑垃圾堆放场集中堆存。</w:t>
            </w:r>
          </w:p>
          <w:p>
            <w:pPr>
              <w:pStyle w:val="14"/>
              <w:spacing w:line="360" w:lineRule="auto"/>
              <w:ind w:left="-105" w:firstLine="480"/>
              <w:jc w:val="left"/>
              <w:rPr>
                <w:rFonts w:hint="default"/>
                <w:lang w:val="en-US" w:eastAsia="zh-CN"/>
              </w:rPr>
            </w:pPr>
            <w:r>
              <w:rPr>
                <w:rFonts w:hint="default"/>
                <w:lang w:val="en-US" w:eastAsia="zh-CN"/>
              </w:rPr>
              <w:t>此外，装修期间产生一定量的装修垃圾，其中的油漆、涂料容器等固体废物属于危险固废，需单独集中收集后交由具有相关资质的单位进行处置，不得随意丢弃，避免对环境造成较大影响。</w:t>
            </w:r>
          </w:p>
          <w:p>
            <w:pPr>
              <w:pStyle w:val="14"/>
              <w:spacing w:line="360" w:lineRule="auto"/>
              <w:ind w:firstLine="480"/>
              <w:jc w:val="left"/>
              <w:rPr>
                <w:rFonts w:hint="default"/>
                <w:lang w:val="en-US" w:eastAsia="zh-CN"/>
              </w:rPr>
            </w:pPr>
            <w:r>
              <w:rPr>
                <w:rFonts w:hint="default"/>
              </w:rPr>
              <w:t>②</w:t>
            </w:r>
            <w:r>
              <w:rPr>
                <w:rFonts w:hint="default"/>
                <w:lang w:val="en-US" w:eastAsia="zh-CN"/>
              </w:rPr>
              <w:t>生活垃圾</w:t>
            </w:r>
          </w:p>
          <w:p>
            <w:pPr>
              <w:autoSpaceDE w:val="0"/>
              <w:autoSpaceDN w:val="0"/>
              <w:adjustRightInd w:val="0"/>
              <w:spacing w:line="360" w:lineRule="auto"/>
              <w:ind w:firstLine="480" w:firstLineChars="200"/>
              <w:jc w:val="left"/>
              <w:rPr>
                <w:rFonts w:hint="default"/>
              </w:rPr>
            </w:pPr>
            <w:r>
              <w:rPr>
                <w:rFonts w:hint="default"/>
              </w:rPr>
              <w:t>施工人员的生活垃圾按0.5kg/d•人计，施工场地工施工人数为</w:t>
            </w:r>
            <w:r>
              <w:rPr>
                <w:rFonts w:hint="eastAsia"/>
                <w:lang w:val="en-US" w:eastAsia="zh-CN"/>
              </w:rPr>
              <w:t>2</w:t>
            </w:r>
            <w:r>
              <w:rPr>
                <w:rFonts w:hint="default"/>
              </w:rPr>
              <w:t>0人，生活垃圾产生量为1</w:t>
            </w:r>
            <w:r>
              <w:rPr>
                <w:rFonts w:hint="eastAsia"/>
                <w:lang w:val="en-US" w:eastAsia="zh-CN"/>
              </w:rPr>
              <w:t>0</w:t>
            </w:r>
            <w:r>
              <w:rPr>
                <w:rFonts w:hint="default"/>
              </w:rPr>
              <w:t>kg/d。对施工人员产生的生活垃圾应设置专门的垃圾收集点，并采取密闭措施，定期交环卫部门统一处置，不会对周边环境产生污染影响。</w:t>
            </w:r>
          </w:p>
          <w:p>
            <w:pPr>
              <w:pStyle w:val="14"/>
              <w:bidi w:val="0"/>
            </w:pPr>
            <w:r>
              <w:rPr>
                <w:rFonts w:hint="default" w:ascii="Times New Roman" w:hAnsi="Times New Roman" w:eastAsia="宋体" w:cs="Times New Roman"/>
                <w:color w:val="000000"/>
                <w:kern w:val="0"/>
                <w:sz w:val="24"/>
                <w:szCs w:val="24"/>
                <w:lang w:val="en-US" w:eastAsia="zh-CN" w:bidi="ar"/>
              </w:rPr>
              <w:t>5</w:t>
            </w:r>
            <w:r>
              <w:rPr>
                <w:rFonts w:hint="eastAsia" w:ascii="宋体" w:hAnsi="宋体" w:eastAsia="宋体" w:cs="宋体"/>
                <w:color w:val="000000"/>
                <w:kern w:val="0"/>
                <w:sz w:val="24"/>
                <w:szCs w:val="24"/>
                <w:lang w:val="en-US" w:eastAsia="zh-CN" w:bidi="ar"/>
              </w:rPr>
              <w:t xml:space="preserve">、生态环境 </w:t>
            </w:r>
          </w:p>
          <w:p>
            <w:pPr>
              <w:pStyle w:val="14"/>
              <w:bidi w:val="0"/>
              <w:rPr>
                <w:rFonts w:hint="default"/>
              </w:rPr>
            </w:pPr>
            <w:r>
              <w:rPr>
                <w:rFonts w:hint="default"/>
              </w:rPr>
              <w:t>由于项目的施工涉及地基开挖，因此会造成暂时的土石方堆放和地表裸露现象，不可避免地会对周边生态环境造成一定地影响。</w:t>
            </w:r>
          </w:p>
          <w:p>
            <w:pPr>
              <w:pStyle w:val="14"/>
              <w:bidi w:val="0"/>
            </w:pPr>
            <w:r>
              <w:rPr>
                <w:rFonts w:hint="eastAsia"/>
                <w:lang w:val="en-US" w:eastAsia="zh-CN"/>
              </w:rPr>
              <w:t>对施工区的水土流失量采用专家估算法进行预测，经估算确定施工期各施工单元土壤侵蚀模数</w:t>
            </w:r>
            <w:r>
              <w:rPr>
                <w:rFonts w:hint="default"/>
                <w:lang w:val="en-US" w:eastAsia="zh-CN"/>
              </w:rPr>
              <w:t>4000~7500t/km²·a</w:t>
            </w:r>
            <w:r>
              <w:rPr>
                <w:rFonts w:hint="eastAsia"/>
                <w:lang w:val="en-US" w:eastAsia="zh-CN"/>
              </w:rPr>
              <w:t>，根据《土壤侵蚀分类分级标准</w:t>
            </w:r>
            <w:r>
              <w:rPr>
                <w:rFonts w:hint="default"/>
                <w:lang w:val="en-US" w:eastAsia="zh-CN"/>
              </w:rPr>
              <w:t>L190-2007)</w:t>
            </w:r>
            <w:r>
              <w:rPr>
                <w:rFonts w:hint="eastAsia"/>
                <w:lang w:val="en-US" w:eastAsia="zh-CN"/>
              </w:rPr>
              <w:t xml:space="preserve">》， </w:t>
            </w:r>
          </w:p>
          <w:p>
            <w:pPr>
              <w:pStyle w:val="14"/>
              <w:bidi w:val="0"/>
            </w:pPr>
            <w:r>
              <w:rPr>
                <w:rFonts w:hint="eastAsia"/>
                <w:lang w:val="en-US" w:eastAsia="zh-CN"/>
              </w:rPr>
              <w:t>本项目所在区域属于南方红壤丘陵区，该区域的土壤侵蚀模数背景值 5</w:t>
            </w:r>
            <w:r>
              <w:rPr>
                <w:rFonts w:hint="default"/>
                <w:lang w:val="en-US" w:eastAsia="zh-CN"/>
              </w:rPr>
              <w:t>00t/km²•a</w:t>
            </w:r>
            <w:r>
              <w:rPr>
                <w:rFonts w:hint="eastAsia"/>
                <w:lang w:val="en-US" w:eastAsia="zh-CN"/>
              </w:rPr>
              <w:t>。结合本项目的实际情况，确定施工期土壤侵蚀模数的取值为</w:t>
            </w:r>
            <w:r>
              <w:rPr>
                <w:rFonts w:hint="default"/>
                <w:lang w:val="en-US" w:eastAsia="zh-CN"/>
              </w:rPr>
              <w:t>7000t/km</w:t>
            </w:r>
            <w:r>
              <w:rPr>
                <w:rFonts w:hint="default" w:ascii="Times New Roman" w:hAnsi="Times New Roman" w:cs="Times New Roman"/>
                <w:lang w:val="en-US" w:eastAsia="zh-CN"/>
              </w:rPr>
              <w:t>²</w:t>
            </w:r>
            <w:r>
              <w:rPr>
                <w:rFonts w:hint="default"/>
                <w:lang w:val="en-US" w:eastAsia="zh-CN"/>
              </w:rPr>
              <w:t>·a</w:t>
            </w:r>
            <w:r>
              <w:rPr>
                <w:rFonts w:hint="eastAsia"/>
                <w:lang w:val="en-US" w:eastAsia="zh-CN"/>
              </w:rPr>
              <w:t>。建设开挖扰动可能产生的水土流失区域为整个施工现场等，造成的水土流失面积共计</w:t>
            </w:r>
            <w:r>
              <w:rPr>
                <w:rFonts w:hint="default"/>
                <w:lang w:val="en-US" w:eastAsia="zh-CN"/>
              </w:rPr>
              <w:t>0.003</w:t>
            </w:r>
            <w:r>
              <w:rPr>
                <w:rFonts w:hint="eastAsia"/>
                <w:lang w:val="en-US" w:eastAsia="zh-CN"/>
              </w:rPr>
              <w:t>3</w:t>
            </w:r>
            <w:r>
              <w:rPr>
                <w:rFonts w:hint="default"/>
                <w:lang w:val="en-US" w:eastAsia="zh-CN"/>
              </w:rPr>
              <w:t>km</w:t>
            </w:r>
            <w:r>
              <w:rPr>
                <w:rFonts w:hint="default" w:ascii="Times New Roman" w:hAnsi="Times New Roman" w:cs="Times New Roman"/>
                <w:lang w:val="en-US" w:eastAsia="zh-CN"/>
              </w:rPr>
              <w:t>²</w:t>
            </w:r>
            <w:r>
              <w:rPr>
                <w:rFonts w:hint="eastAsia"/>
                <w:lang w:val="en-US" w:eastAsia="zh-CN"/>
              </w:rPr>
              <w:t>。本环评采用侵蚀模数法对施工期水土流失量进行预测，预测计算公 式如下：</w:t>
            </w:r>
            <w:r>
              <w:rPr>
                <w:rFonts w:hint="default"/>
                <w:lang w:val="en-US" w:eastAsia="zh-CN"/>
              </w:rPr>
              <w:t>W=Σ</w:t>
            </w:r>
            <w:r>
              <w:rPr>
                <w:rFonts w:hint="eastAsia"/>
                <w:lang w:val="en-US" w:eastAsia="zh-CN"/>
              </w:rPr>
              <w:t>（</w:t>
            </w:r>
            <w:r>
              <w:rPr>
                <w:rFonts w:hint="default"/>
                <w:lang w:val="en-US" w:eastAsia="zh-CN"/>
              </w:rPr>
              <w:t>Fi×Mi×Ti</w:t>
            </w:r>
            <w:r>
              <w:rPr>
                <w:rFonts w:hint="eastAsia"/>
                <w:lang w:val="en-US" w:eastAsia="zh-CN"/>
              </w:rPr>
              <w:t xml:space="preserve">） </w:t>
            </w:r>
          </w:p>
          <w:p>
            <w:pPr>
              <w:pStyle w:val="14"/>
              <w:bidi w:val="0"/>
            </w:pPr>
            <w:r>
              <w:rPr>
                <w:rFonts w:hint="eastAsia"/>
                <w:lang w:val="en-US" w:eastAsia="zh-CN"/>
              </w:rPr>
              <w:t>式中：</w:t>
            </w:r>
            <w:r>
              <w:rPr>
                <w:rFonts w:hint="default"/>
                <w:lang w:val="en-US" w:eastAsia="zh-CN"/>
              </w:rPr>
              <w:t>W—</w:t>
            </w:r>
            <w:r>
              <w:rPr>
                <w:rFonts w:hint="eastAsia"/>
                <w:lang w:val="en-US" w:eastAsia="zh-CN"/>
              </w:rPr>
              <w:t>扰动地表流失量，</w:t>
            </w:r>
            <w:r>
              <w:rPr>
                <w:rFonts w:hint="default"/>
                <w:lang w:val="en-US" w:eastAsia="zh-CN"/>
              </w:rPr>
              <w:t>t</w:t>
            </w:r>
            <w:r>
              <w:rPr>
                <w:rFonts w:hint="eastAsia"/>
                <w:lang w:val="en-US" w:eastAsia="zh-CN"/>
              </w:rPr>
              <w:t xml:space="preserve">； </w:t>
            </w:r>
          </w:p>
          <w:p>
            <w:pPr>
              <w:pStyle w:val="14"/>
              <w:bidi w:val="0"/>
            </w:pPr>
            <w:r>
              <w:rPr>
                <w:rFonts w:hint="default"/>
                <w:lang w:val="en-US" w:eastAsia="zh-CN"/>
              </w:rPr>
              <w:t>Fi—</w:t>
            </w:r>
            <w:r>
              <w:rPr>
                <w:rFonts w:hint="eastAsia"/>
                <w:lang w:val="en-US" w:eastAsia="zh-CN"/>
              </w:rPr>
              <w:t>扰动地表面积，</w:t>
            </w:r>
            <w:r>
              <w:rPr>
                <w:rFonts w:hint="default"/>
                <w:lang w:val="en-US" w:eastAsia="zh-CN"/>
              </w:rPr>
              <w:t>0.003</w:t>
            </w:r>
            <w:r>
              <w:rPr>
                <w:rFonts w:hint="eastAsia"/>
                <w:lang w:val="en-US" w:eastAsia="zh-CN"/>
              </w:rPr>
              <w:t>3</w:t>
            </w:r>
            <w:r>
              <w:rPr>
                <w:rFonts w:hint="default"/>
                <w:lang w:val="en-US" w:eastAsia="zh-CN"/>
              </w:rPr>
              <w:t>km</w:t>
            </w:r>
            <w:r>
              <w:rPr>
                <w:rFonts w:hint="default" w:ascii="Times New Roman" w:hAnsi="Times New Roman" w:cs="Times New Roman"/>
                <w:lang w:val="en-US" w:eastAsia="zh-CN"/>
              </w:rPr>
              <w:t>²</w:t>
            </w:r>
            <w:r>
              <w:rPr>
                <w:rFonts w:hint="eastAsia"/>
                <w:lang w:val="en-US" w:eastAsia="zh-CN"/>
              </w:rPr>
              <w:t xml:space="preserve">； </w:t>
            </w:r>
          </w:p>
          <w:p>
            <w:pPr>
              <w:pStyle w:val="14"/>
              <w:bidi w:val="0"/>
            </w:pPr>
            <w:r>
              <w:rPr>
                <w:rFonts w:hint="default"/>
                <w:lang w:val="en-US" w:eastAsia="zh-CN"/>
              </w:rPr>
              <w:t>Mi—</w:t>
            </w:r>
            <w:r>
              <w:rPr>
                <w:rFonts w:hint="eastAsia"/>
                <w:lang w:val="en-US" w:eastAsia="zh-CN"/>
              </w:rPr>
              <w:t>扰动后土壤侵蚀模数，</w:t>
            </w:r>
            <w:r>
              <w:rPr>
                <w:rFonts w:hint="default"/>
                <w:lang w:val="en-US" w:eastAsia="zh-CN"/>
              </w:rPr>
              <w:t>7000t/km</w:t>
            </w:r>
            <w:r>
              <w:rPr>
                <w:rFonts w:hint="default" w:ascii="Times New Roman" w:hAnsi="Times New Roman" w:cs="Times New Roman"/>
                <w:lang w:val="en-US" w:eastAsia="zh-CN"/>
              </w:rPr>
              <w:t>²</w:t>
            </w:r>
            <w:r>
              <w:rPr>
                <w:rFonts w:hint="default"/>
                <w:lang w:val="en-US" w:eastAsia="zh-CN"/>
              </w:rPr>
              <w:t>·a</w:t>
            </w:r>
            <w:r>
              <w:rPr>
                <w:rFonts w:hint="eastAsia"/>
                <w:lang w:val="en-US" w:eastAsia="zh-CN"/>
              </w:rPr>
              <w:t xml:space="preserve">； </w:t>
            </w:r>
          </w:p>
          <w:p>
            <w:pPr>
              <w:pStyle w:val="14"/>
              <w:bidi w:val="0"/>
            </w:pPr>
            <w:r>
              <w:rPr>
                <w:rFonts w:hint="default"/>
                <w:lang w:val="en-US" w:eastAsia="zh-CN"/>
              </w:rPr>
              <w:t>Ti—</w:t>
            </w:r>
            <w:r>
              <w:rPr>
                <w:rFonts w:hint="eastAsia"/>
                <w:lang w:val="en-US" w:eastAsia="zh-CN"/>
              </w:rPr>
              <w:t>水土流失预测时段，</w:t>
            </w:r>
            <w:r>
              <w:rPr>
                <w:rFonts w:hint="default"/>
                <w:lang w:val="en-US" w:eastAsia="zh-CN"/>
              </w:rPr>
              <w:t>0.1667a</w:t>
            </w:r>
            <w:r>
              <w:rPr>
                <w:rFonts w:hint="eastAsia"/>
                <w:lang w:val="en-US" w:eastAsia="zh-CN"/>
              </w:rPr>
              <w:t xml:space="preserve">； </w:t>
            </w:r>
          </w:p>
          <w:p>
            <w:pPr>
              <w:pStyle w:val="14"/>
              <w:bidi w:val="0"/>
            </w:pPr>
            <w:r>
              <w:rPr>
                <w:rFonts w:hint="eastAsia"/>
                <w:lang w:val="en-US" w:eastAsia="zh-CN"/>
              </w:rPr>
              <w:t>由此计算出项目区施工期可能造成的水土流失量为11.49</w:t>
            </w:r>
            <w:r>
              <w:rPr>
                <w:rFonts w:hint="default"/>
                <w:lang w:val="en-US" w:eastAsia="zh-CN"/>
              </w:rPr>
              <w:t>t</w:t>
            </w:r>
            <w:r>
              <w:rPr>
                <w:rFonts w:hint="eastAsia"/>
                <w:lang w:val="en-US" w:eastAsia="zh-CN"/>
              </w:rPr>
              <w:t xml:space="preserve">。 </w:t>
            </w:r>
          </w:p>
          <w:p>
            <w:pPr>
              <w:pStyle w:val="14"/>
              <w:bidi w:val="0"/>
              <w:rPr>
                <w:rFonts w:hint="default"/>
              </w:rPr>
            </w:pPr>
            <w:r>
              <w:rPr>
                <w:rFonts w:hint="default"/>
              </w:rPr>
              <w:t>为减少施工过程中的水土流失，项目在施工过程中要做好防范措施。</w:t>
            </w:r>
          </w:p>
          <w:p>
            <w:pPr>
              <w:pStyle w:val="14"/>
              <w:bidi w:val="0"/>
              <w:rPr>
                <w:rFonts w:hint="default"/>
              </w:rPr>
            </w:pPr>
            <w:r>
              <w:rPr>
                <w:rFonts w:hint="eastAsia"/>
                <w:lang w:eastAsia="zh-CN"/>
              </w:rPr>
              <w:t>（</w:t>
            </w:r>
            <w:r>
              <w:rPr>
                <w:rFonts w:hint="eastAsia"/>
                <w:lang w:val="en-US" w:eastAsia="zh-CN"/>
              </w:rPr>
              <w:t>1）</w:t>
            </w:r>
            <w:r>
              <w:rPr>
                <w:rFonts w:hint="default"/>
              </w:rPr>
              <w:t>加强施工期环境管理，严格控制施工作业范围，尽量集中在用地范围内</w:t>
            </w:r>
            <w:r>
              <w:rPr>
                <w:rFonts w:hint="eastAsia"/>
                <w:lang w:eastAsia="zh-CN"/>
              </w:rPr>
              <w:t>，</w:t>
            </w:r>
            <w:r>
              <w:rPr>
                <w:rFonts w:hint="default"/>
              </w:rPr>
              <w:t>最大限度减少对地表的扰动。各类临时占地在施工作业结束后及时进行生态恢复，恢复至与周围地貌相协调。</w:t>
            </w:r>
          </w:p>
          <w:p>
            <w:pPr>
              <w:pStyle w:val="14"/>
              <w:bidi w:val="0"/>
              <w:rPr>
                <w:rFonts w:hint="default"/>
              </w:rPr>
            </w:pPr>
            <w:r>
              <w:rPr>
                <w:rFonts w:hint="eastAsia"/>
                <w:lang w:eastAsia="zh-CN"/>
              </w:rPr>
              <w:t>（</w:t>
            </w:r>
            <w:r>
              <w:rPr>
                <w:rFonts w:hint="eastAsia"/>
                <w:lang w:val="en-US" w:eastAsia="zh-CN"/>
              </w:rPr>
              <w:t>2</w:t>
            </w:r>
            <w:r>
              <w:rPr>
                <w:rFonts w:hint="eastAsia"/>
                <w:lang w:eastAsia="zh-CN"/>
              </w:rPr>
              <w:t>）</w:t>
            </w:r>
            <w:r>
              <w:rPr>
                <w:rFonts w:hint="default"/>
              </w:rPr>
              <w:t>合理安排施工时间，大面积破土的土建施工尽量避开雨季。</w:t>
            </w:r>
            <w:r>
              <w:rPr>
                <w:rFonts w:hint="eastAsia"/>
                <w:lang w:val="en-US" w:eastAsia="zh-CN"/>
              </w:rPr>
              <w:t>施工取土时应采取平行作业，边开挖、边平整、边绿化，按计划取土，及时进行生态修复。</w:t>
            </w:r>
            <w:r>
              <w:rPr>
                <w:rFonts w:hint="default"/>
              </w:rPr>
              <w:t>表土集中堆积，并做好覆盖和排水措施，用于施工期后回填。</w:t>
            </w:r>
          </w:p>
          <w:p>
            <w:pPr>
              <w:pStyle w:val="14"/>
              <w:bidi w:val="0"/>
              <w:rPr>
                <w:rFonts w:hint="default"/>
              </w:rPr>
            </w:pPr>
            <w:r>
              <w:rPr>
                <w:rFonts w:hint="default"/>
              </w:rPr>
              <w:t>（</w:t>
            </w:r>
            <w:r>
              <w:rPr>
                <w:rFonts w:hint="eastAsia"/>
                <w:lang w:val="en-US" w:eastAsia="zh-CN"/>
              </w:rPr>
              <w:t>3</w:t>
            </w:r>
            <w:r>
              <w:rPr>
                <w:rFonts w:hint="default"/>
              </w:rPr>
              <w:t>）项目应尽量减少开挖面积以及减少施工面的裸露时间，裸露黄土及易起尘物料100%覆盖，超过48小时的易起尘裸露黄土要使用防尘网（布）进行覆盖，超过3个月不施工的裸露黄土应当进行绿化、铺装或者覆盖。</w:t>
            </w:r>
          </w:p>
          <w:p>
            <w:pPr>
              <w:pStyle w:val="14"/>
              <w:bidi w:val="0"/>
              <w:rPr>
                <w:rFonts w:hint="default"/>
                <w:lang w:val="en-US" w:eastAsia="zh-CN"/>
              </w:rPr>
            </w:pPr>
            <w:r>
              <w:rPr>
                <w:rFonts w:hint="eastAsia"/>
                <w:lang w:eastAsia="zh-CN"/>
              </w:rPr>
              <w:t>（</w:t>
            </w:r>
            <w:r>
              <w:rPr>
                <w:rFonts w:hint="eastAsia"/>
                <w:lang w:val="en-US" w:eastAsia="zh-CN"/>
              </w:rPr>
              <w:t>4</w:t>
            </w:r>
            <w:r>
              <w:rPr>
                <w:rFonts w:hint="eastAsia"/>
                <w:lang w:eastAsia="zh-CN"/>
              </w:rPr>
              <w:t>）</w:t>
            </w:r>
            <w:r>
              <w:rPr>
                <w:rFonts w:hint="eastAsia"/>
                <w:lang w:val="en-US" w:eastAsia="zh-CN"/>
              </w:rPr>
              <w:t>坑塘清挖产生的淤泥可晾干后用于施工回填或送垃圾填埋场填埋处理。</w:t>
            </w:r>
          </w:p>
          <w:p>
            <w:pPr>
              <w:pStyle w:val="14"/>
              <w:bidi w:val="0"/>
              <w:rPr>
                <w:rFonts w:hint="default"/>
              </w:rPr>
            </w:pPr>
            <w:r>
              <w:rPr>
                <w:rFonts w:hint="eastAsia"/>
                <w:lang w:eastAsia="zh-CN"/>
              </w:rPr>
              <w:t>（</w:t>
            </w:r>
            <w:r>
              <w:rPr>
                <w:rFonts w:hint="eastAsia"/>
                <w:lang w:val="en-US" w:eastAsia="zh-CN"/>
              </w:rPr>
              <w:t>5</w:t>
            </w:r>
            <w:r>
              <w:rPr>
                <w:rFonts w:hint="eastAsia"/>
                <w:lang w:eastAsia="zh-CN"/>
              </w:rPr>
              <w:t>）</w:t>
            </w:r>
            <w:r>
              <w:rPr>
                <w:rFonts w:hint="default"/>
              </w:rPr>
              <w:t>在施工场地内开挖临时雨水排水沟，在施工区地势较低的地方修建沉淀池，并在排水口设置滤布，拦截大的块状物以及泥沙后，雨季产生的地表径流经沉淀后方可排放，沉淀池应定期清理。</w:t>
            </w:r>
          </w:p>
          <w:p>
            <w:pPr>
              <w:pStyle w:val="14"/>
              <w:bidi w:val="0"/>
              <w:rPr>
                <w:rFonts w:hint="default"/>
              </w:rPr>
            </w:pPr>
            <w:r>
              <w:rPr>
                <w:rFonts w:hint="default"/>
              </w:rPr>
              <w:t>（</w:t>
            </w:r>
            <w:r>
              <w:rPr>
                <w:rFonts w:hint="eastAsia"/>
                <w:lang w:val="en-US" w:eastAsia="zh-CN"/>
              </w:rPr>
              <w:t>6</w:t>
            </w:r>
            <w:r>
              <w:rPr>
                <w:rFonts w:hint="default"/>
              </w:rPr>
              <w:t>）尽量减少水土流失，施工中应注意土石方地填挖平衡。综合运用水土流失防治措施，减少重复劳作。</w:t>
            </w:r>
          </w:p>
          <w:p>
            <w:pPr>
              <w:pStyle w:val="14"/>
              <w:bidi w:val="0"/>
            </w:pPr>
            <w:r>
              <w:rPr>
                <w:rFonts w:hint="eastAsia"/>
                <w:lang w:eastAsia="zh-CN"/>
              </w:rPr>
              <w:t>（</w:t>
            </w:r>
            <w:r>
              <w:rPr>
                <w:rFonts w:hint="eastAsia"/>
                <w:lang w:val="en-US" w:eastAsia="zh-CN"/>
              </w:rPr>
              <w:t>7</w:t>
            </w:r>
            <w:r>
              <w:rPr>
                <w:rFonts w:hint="eastAsia"/>
                <w:lang w:eastAsia="zh-CN"/>
              </w:rPr>
              <w:t>）项目建设完成后通过加强厂区绿化和进行植被恢复，就近选择当地植物种类，合理进行乔木、灌木和草本植物等种植</w:t>
            </w:r>
            <w:r>
              <w:rPr>
                <w:rFonts w:hint="eastAsia"/>
                <w:lang w:val="en-US" w:eastAsia="zh-CN"/>
              </w:rPr>
              <w:t xml:space="preserve">。 </w:t>
            </w:r>
          </w:p>
          <w:p>
            <w:pPr>
              <w:pStyle w:val="14"/>
              <w:bidi w:val="0"/>
              <w:rPr>
                <w:rFonts w:hint="default"/>
                <w:lang w:val="en-US"/>
              </w:rPr>
            </w:pPr>
            <w:r>
              <w:rPr>
                <w:rFonts w:hint="eastAsia"/>
                <w:lang w:val="en-US" w:eastAsia="zh-CN"/>
              </w:rPr>
              <w:t>一般来说，在采取上述水土保持措施后，水土流失强度和年均水土流失总量将有极大的下降。水土流失量降为不采取任何水土保持措施情况下的</w:t>
            </w:r>
            <w:r>
              <w:rPr>
                <w:rFonts w:hint="default"/>
                <w:lang w:val="en-US" w:eastAsia="zh-CN"/>
              </w:rPr>
              <w:t>10%</w:t>
            </w:r>
            <w:r>
              <w:rPr>
                <w:rFonts w:hint="eastAsia"/>
                <w:lang w:val="en-US" w:eastAsia="zh-CN"/>
              </w:rPr>
              <w:t>，即为1.149</w:t>
            </w:r>
            <w:r>
              <w:rPr>
                <w:rFonts w:hint="default"/>
                <w:lang w:val="en-US" w:eastAsia="zh-CN"/>
              </w:rPr>
              <w:t>t</w:t>
            </w:r>
            <w:r>
              <w:rPr>
                <w:rFonts w:hint="eastAsia"/>
                <w:lang w:val="en-US" w:eastAsia="zh-CN"/>
              </w:rPr>
              <w:t>。因此，在项目施工期以及工程完工后都必须采取较为完备、合理的水土保持措施，以极大降低项目施工造成的水土流失量。</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1" w:type="pct"/>
            <w:noWrap w:val="0"/>
            <w:tcMar>
              <w:left w:w="28" w:type="dxa"/>
              <w:right w:w="28" w:type="dxa"/>
            </w:tcMar>
            <w:vAlign w:val="center"/>
          </w:tcPr>
          <w:p>
            <w:pPr>
              <w:adjustRightInd w:val="0"/>
              <w:snapToGrid w:val="0"/>
              <w:jc w:val="center"/>
              <w:rPr>
                <w:rFonts w:hint="eastAsia" w:ascii="宋体" w:hAnsi="宋体" w:cs="宋体"/>
                <w:bCs/>
                <w:sz w:val="24"/>
                <w:szCs w:val="24"/>
              </w:rPr>
            </w:pPr>
            <w:r>
              <w:rPr>
                <w:rFonts w:hint="eastAsia" w:ascii="宋体" w:hAnsi="宋体" w:cs="宋体"/>
                <w:bCs/>
                <w:sz w:val="24"/>
                <w:szCs w:val="24"/>
              </w:rPr>
              <w:t>运营</w:t>
            </w:r>
          </w:p>
          <w:p>
            <w:pPr>
              <w:adjustRightInd w:val="0"/>
              <w:snapToGrid w:val="0"/>
              <w:jc w:val="center"/>
              <w:rPr>
                <w:rFonts w:hint="eastAsia" w:ascii="宋体" w:hAnsi="宋体" w:cs="宋体"/>
                <w:bCs/>
                <w:sz w:val="24"/>
                <w:szCs w:val="24"/>
              </w:rPr>
            </w:pPr>
            <w:r>
              <w:rPr>
                <w:rFonts w:hint="eastAsia" w:ascii="宋体" w:hAnsi="宋体" w:cs="宋体"/>
                <w:bCs/>
                <w:sz w:val="24"/>
                <w:szCs w:val="24"/>
              </w:rPr>
              <w:t>期环</w:t>
            </w:r>
          </w:p>
          <w:p>
            <w:pPr>
              <w:adjustRightInd w:val="0"/>
              <w:snapToGrid w:val="0"/>
              <w:jc w:val="center"/>
              <w:rPr>
                <w:rFonts w:hint="eastAsia" w:ascii="宋体" w:hAnsi="宋体" w:cs="宋体"/>
                <w:bCs/>
                <w:sz w:val="24"/>
                <w:szCs w:val="24"/>
              </w:rPr>
            </w:pPr>
            <w:r>
              <w:rPr>
                <w:rFonts w:hint="eastAsia" w:ascii="宋体" w:hAnsi="宋体" w:cs="宋体"/>
                <w:bCs/>
                <w:sz w:val="24"/>
                <w:szCs w:val="24"/>
              </w:rPr>
              <w:t>境影</w:t>
            </w:r>
          </w:p>
          <w:p>
            <w:pPr>
              <w:adjustRightInd w:val="0"/>
              <w:snapToGrid w:val="0"/>
              <w:jc w:val="center"/>
              <w:rPr>
                <w:rFonts w:hint="eastAsia" w:ascii="宋体" w:hAnsi="宋体" w:cs="宋体"/>
                <w:bCs/>
                <w:sz w:val="24"/>
                <w:szCs w:val="24"/>
              </w:rPr>
            </w:pPr>
            <w:r>
              <w:rPr>
                <w:rFonts w:hint="eastAsia" w:ascii="宋体" w:hAnsi="宋体" w:cs="宋体"/>
                <w:bCs/>
                <w:sz w:val="24"/>
                <w:szCs w:val="24"/>
              </w:rPr>
              <w:t>响和</w:t>
            </w:r>
          </w:p>
          <w:p>
            <w:pPr>
              <w:adjustRightInd w:val="0"/>
              <w:snapToGrid w:val="0"/>
              <w:jc w:val="center"/>
              <w:rPr>
                <w:rFonts w:hint="eastAsia" w:ascii="宋体" w:hAnsi="宋体" w:cs="宋体"/>
                <w:bCs/>
                <w:sz w:val="24"/>
                <w:szCs w:val="24"/>
              </w:rPr>
            </w:pPr>
            <w:r>
              <w:rPr>
                <w:rFonts w:hint="eastAsia" w:ascii="宋体" w:hAnsi="宋体" w:cs="宋体"/>
                <w:bCs/>
                <w:sz w:val="24"/>
                <w:szCs w:val="24"/>
              </w:rPr>
              <w:t>保护</w:t>
            </w:r>
          </w:p>
          <w:p>
            <w:pPr>
              <w:adjustRightInd w:val="0"/>
              <w:snapToGrid w:val="0"/>
              <w:jc w:val="center"/>
              <w:rPr>
                <w:rFonts w:ascii="宋体" w:hAnsi="宋体" w:cs="宋体"/>
                <w:bCs/>
                <w:szCs w:val="21"/>
              </w:rPr>
            </w:pPr>
            <w:r>
              <w:rPr>
                <w:rFonts w:hint="eastAsia" w:ascii="宋体" w:hAnsi="宋体" w:cs="宋体"/>
                <w:bCs/>
                <w:sz w:val="24"/>
                <w:szCs w:val="24"/>
              </w:rPr>
              <w:t>措施</w:t>
            </w:r>
          </w:p>
        </w:tc>
        <w:tc>
          <w:tcPr>
            <w:tcW w:w="4808" w:type="pct"/>
            <w:noWrap w:val="0"/>
            <w:vAlign w:val="center"/>
          </w:tcPr>
          <w:p>
            <w:pPr>
              <w:pStyle w:val="14"/>
              <w:numPr>
                <w:ilvl w:val="0"/>
                <w:numId w:val="7"/>
              </w:numPr>
              <w:bidi w:val="0"/>
              <w:rPr>
                <w:rFonts w:hint="default"/>
              </w:rPr>
            </w:pPr>
            <w:r>
              <w:rPr>
                <w:rFonts w:hint="default"/>
              </w:rPr>
              <w:t>废气</w:t>
            </w:r>
            <w:r>
              <w:rPr>
                <w:rFonts w:hint="eastAsia"/>
                <w:lang w:eastAsia="zh-CN"/>
              </w:rPr>
              <w:t>环境影响和保护措施</w:t>
            </w:r>
          </w:p>
          <w:p>
            <w:pPr>
              <w:pStyle w:val="14"/>
              <w:ind w:firstLine="480"/>
            </w:pPr>
            <w:r>
              <w:rPr>
                <w:rFonts w:hint="eastAsia"/>
              </w:rPr>
              <w:t>本项目营运期废气主要为卸油、储油、加油等过程挥发到大气环境中的油气及汽车尾气、备用柴油发电机废气</w:t>
            </w:r>
            <w:r>
              <w:t>以及食堂油烟等。</w:t>
            </w:r>
          </w:p>
          <w:p>
            <w:pPr>
              <w:pStyle w:val="14"/>
              <w:bidi w:val="0"/>
              <w:rPr>
                <w:rFonts w:hint="default"/>
              </w:rPr>
            </w:pPr>
            <w:r>
              <w:rPr>
                <w:rFonts w:hint="eastAsia"/>
                <w:lang w:val="en-US" w:eastAsia="zh-CN"/>
              </w:rPr>
              <w:t>1</w:t>
            </w:r>
            <w:r>
              <w:rPr>
                <w:rFonts w:hint="eastAsia"/>
                <w:lang w:eastAsia="zh-CN"/>
              </w:rPr>
              <w:t>.</w:t>
            </w:r>
            <w:r>
              <w:rPr>
                <w:rFonts w:hint="eastAsia"/>
                <w:lang w:val="en-US" w:eastAsia="zh-CN"/>
              </w:rPr>
              <w:t>1</w:t>
            </w:r>
            <w:r>
              <w:rPr>
                <w:rFonts w:hint="default"/>
              </w:rPr>
              <w:t>、废</w:t>
            </w:r>
            <w:r>
              <w:rPr>
                <w:rFonts w:hint="eastAsia"/>
                <w:lang w:eastAsia="zh-CN"/>
              </w:rPr>
              <w:t>气</w:t>
            </w:r>
            <w:r>
              <w:rPr>
                <w:rFonts w:hint="default"/>
              </w:rPr>
              <w:t>污染源强分析</w:t>
            </w:r>
          </w:p>
          <w:p>
            <w:pPr>
              <w:pStyle w:val="14"/>
              <w:ind w:firstLine="480"/>
            </w:pPr>
            <w:r>
              <w:rPr>
                <w:rFonts w:hint="eastAsia"/>
                <w:lang w:eastAsia="zh-CN"/>
              </w:rPr>
              <w:t>（</w:t>
            </w:r>
            <w:r>
              <w:rPr>
                <w:rFonts w:hint="eastAsia"/>
                <w:lang w:val="en-US" w:eastAsia="zh-CN"/>
              </w:rPr>
              <w:t>1）</w:t>
            </w:r>
            <w:r>
              <w:rPr>
                <w:rFonts w:hint="eastAsia"/>
              </w:rPr>
              <w:t>油气（非甲烷总烃）</w:t>
            </w:r>
          </w:p>
          <w:p>
            <w:pPr>
              <w:pStyle w:val="14"/>
              <w:ind w:firstLine="480"/>
            </w:pPr>
            <w:r>
              <w:rPr>
                <w:rFonts w:hint="eastAsia"/>
              </w:rPr>
              <w:t>本项目在卸油、储存、加油作业等过程会产生一定的油气排放，主要大气污染物为非甲烷总烃。</w:t>
            </w:r>
          </w:p>
          <w:p>
            <w:pPr>
              <w:pStyle w:val="14"/>
              <w:ind w:firstLine="480"/>
            </w:pPr>
            <w:r>
              <w:t>油品通过罐车运输至加油站内。装油（尤其是顶部装油）时，油品深入罐内的鹤管中高速流出，对罐车内壁和油品液面造成一定的冲击，使液体发生喷射和飞溅，引起油品液面强烈波动和搅动，加速了油品表面的蒸发速度；同时向下喷射的油品会使油罐内气相空间的气体发生强烈对流，使油罐车内油气浓度迅速上升并且很快达到饱和状态，高浓度的油气迅速充满罐车内的气相空间，储油罐中油品液面的上升驱使高浓度油气向外排放，由此形成装油损耗，产生油气挥发。</w:t>
            </w:r>
          </w:p>
          <w:p>
            <w:pPr>
              <w:pStyle w:val="14"/>
              <w:ind w:firstLine="480"/>
            </w:pPr>
            <w:r>
              <w:t>储罐大呼吸损失是指油罐进发油时所呼出的油蒸气（主要为烃类气体）而造成的油品蒸发损失。油罐进油时，由于油面逐渐升高，气体空间逐渐减小，罐内压力增大，当压力超过呼吸阀控制压力时，一定浓度的油蒸气开始从呼吸阀呼出，直到油罐停止收油，所呼出的油蒸气造成油品蒸发的损失。油罐向外发油时，由于油面不断降低，气体空间逐渐增大，罐内压力减小，当压力小于呼吸阀控制真空度时，油罐开始吸入新鲜空气，由于油面上方空间油气未达到饱和，促使油品蒸发加速，使其重新达到饱和，罐内压力再次上升，造成部分油蒸气从呼吸阀呼出。</w:t>
            </w:r>
          </w:p>
          <w:p>
            <w:pPr>
              <w:pStyle w:val="14"/>
              <w:ind w:firstLine="480"/>
            </w:pPr>
            <w:r>
              <w:rPr>
                <w:rFonts w:hint="eastAsia"/>
              </w:rPr>
              <w:t>①卸油损失：本项目采用自流密闭卸油方式卸油。油料因位差自流进入埋地油罐内，罐内油气便因正压排出油罐进入油槽车内。</w:t>
            </w:r>
            <w:r>
              <w:t>根据《中国加油站VOCs排放污染现状及控制》（《环境科学》2006.8第27卷第8期）中废气产生系数，汽油、柴油废气产生系数分别为2.3kg/t、0.027kg/t。</w:t>
            </w:r>
            <w:r>
              <w:rPr>
                <w:rFonts w:hint="eastAsia"/>
              </w:rPr>
              <w:t>按照年销售</w:t>
            </w:r>
            <w:r>
              <w:rPr>
                <w:rFonts w:hint="eastAsia"/>
                <w:lang w:eastAsia="zh-CN"/>
              </w:rPr>
              <w:t>汽油700吨</w:t>
            </w:r>
            <w:r>
              <w:rPr>
                <w:rFonts w:hint="eastAsia"/>
              </w:rPr>
              <w:t>、</w:t>
            </w:r>
            <w:r>
              <w:rPr>
                <w:rFonts w:hint="eastAsia"/>
                <w:lang w:eastAsia="zh-CN"/>
              </w:rPr>
              <w:t>柴油300吨</w:t>
            </w:r>
            <w:r>
              <w:rPr>
                <w:rFonts w:hint="eastAsia"/>
              </w:rPr>
              <w:t>计算，</w:t>
            </w:r>
            <w:r>
              <w:t>项目汽油卸料等过程配套建设油气回收系统（回收效率9</w:t>
            </w:r>
            <w:r>
              <w:rPr>
                <w:rFonts w:hint="eastAsia"/>
              </w:rPr>
              <w:t>0</w:t>
            </w:r>
            <w:r>
              <w:t>%），故汽油油气排放量为</w:t>
            </w:r>
            <w:r>
              <w:rPr>
                <w:rFonts w:hint="eastAsia"/>
                <w:lang w:val="en-US" w:eastAsia="zh-CN"/>
              </w:rPr>
              <w:t>0.161</w:t>
            </w:r>
            <w:r>
              <w:t>t/a，柴油油气排放量</w:t>
            </w:r>
            <w:r>
              <w:rPr>
                <w:rFonts w:hint="eastAsia"/>
                <w:lang w:val="en-US" w:eastAsia="zh-CN"/>
              </w:rPr>
              <w:t>0.0081</w:t>
            </w:r>
            <w:r>
              <w:t>t/a。</w:t>
            </w:r>
          </w:p>
          <w:p>
            <w:pPr>
              <w:pStyle w:val="14"/>
              <w:ind w:firstLine="480"/>
            </w:pPr>
            <w:r>
              <w:rPr>
                <w:rFonts w:hint="eastAsia"/>
              </w:rPr>
              <w:t>②储油损失：</w:t>
            </w:r>
            <w:r>
              <w:t>储油罐的小呼吸是指油罐在没有收发油作业的情况下，随着外界气温、压力在一天内的升降周期变化，罐内气体空间温度、油品蒸发速度、油气浓度和蒸汽压力也随之变化，这种排出油蒸气和吸入空气的过程造成的油气损失。</w:t>
            </w:r>
          </w:p>
          <w:p>
            <w:pPr>
              <w:pStyle w:val="14"/>
              <w:ind w:firstLine="480"/>
            </w:pPr>
            <w:r>
              <w:t>根据《中国加油站VOCs排放污染现状及控制》（《环境科学》2006.8第27卷第8期）中废气产生系数，柴油不易挥发，汽油储罐呼吸废气产生系数分别为0.16kg/t，</w:t>
            </w:r>
            <w:r>
              <w:rPr>
                <w:rFonts w:hint="eastAsia"/>
              </w:rPr>
              <w:t>按照年销售</w:t>
            </w:r>
            <w:r>
              <w:rPr>
                <w:rFonts w:hint="eastAsia"/>
                <w:lang w:eastAsia="zh-CN"/>
              </w:rPr>
              <w:t>汽油700吨</w:t>
            </w:r>
            <w:r>
              <w:rPr>
                <w:rFonts w:hint="eastAsia"/>
              </w:rPr>
              <w:t>，</w:t>
            </w:r>
            <w:r>
              <w:t>则油罐储油过程由于呼吸产生的汽油废气量为</w:t>
            </w:r>
            <w:r>
              <w:rPr>
                <w:rFonts w:hint="eastAsia"/>
                <w:lang w:val="en-US" w:eastAsia="zh-CN"/>
              </w:rPr>
              <w:t>0.112</w:t>
            </w:r>
            <w:r>
              <w:t>t/a。</w:t>
            </w:r>
          </w:p>
          <w:p>
            <w:pPr>
              <w:pStyle w:val="14"/>
              <w:ind w:firstLine="480"/>
            </w:pPr>
            <w:r>
              <w:rPr>
                <w:rFonts w:hint="eastAsia"/>
              </w:rPr>
              <w:t>③加油损失：</w:t>
            </w:r>
            <w:r>
              <w:t>加油作业损失主要指为车辆加油时，油品进入汽车油箱，油箱内的烃类气体被油品置换排入大气。根据《中国加油站VOCs排放污染现状及控制》（《环境科学》2006.8第27 第8）中加油过程汽油、柴油废气产生系数别为2.49kg/t、0.048kg/t，则加油过程汽油、柴油油气产生量分别为</w:t>
            </w:r>
            <w:r>
              <w:rPr>
                <w:rFonts w:hint="eastAsia"/>
                <w:lang w:val="en-US" w:eastAsia="zh-CN"/>
              </w:rPr>
              <w:t>1.743</w:t>
            </w:r>
            <w:r>
              <w:t>t/a、</w:t>
            </w:r>
            <w:r>
              <w:rPr>
                <w:rFonts w:hint="eastAsia"/>
                <w:lang w:val="en-US" w:eastAsia="zh-CN"/>
              </w:rPr>
              <w:t>0.0096</w:t>
            </w:r>
            <w:r>
              <w:t>t/a。本项目拟建设加油油气回收系统，油箱内油气经真空泵集中收集加油时释放的汽油油气，回收油气经专门管线回收到埋地储罐内。在气液比A/L=0.8:1~1.4:1时，汽油油气回收率达9</w:t>
            </w:r>
            <w:r>
              <w:rPr>
                <w:rFonts w:hint="eastAsia"/>
              </w:rPr>
              <w:t>0</w:t>
            </w:r>
            <w:r>
              <w:t>%以上，则汽油油气排放量为</w:t>
            </w:r>
            <w:r>
              <w:rPr>
                <w:rFonts w:hint="eastAsia"/>
                <w:lang w:val="en-US" w:eastAsia="zh-CN"/>
              </w:rPr>
              <w:t>0.174</w:t>
            </w:r>
            <w:r>
              <w:t>t/a，柴油油气排放量仍为</w:t>
            </w:r>
            <w:r>
              <w:rPr>
                <w:rFonts w:hint="eastAsia"/>
                <w:lang w:val="en-US" w:eastAsia="zh-CN"/>
              </w:rPr>
              <w:t>0.014</w:t>
            </w:r>
            <w:r>
              <w:t>t/a。</w:t>
            </w:r>
          </w:p>
          <w:p>
            <w:pPr>
              <w:pStyle w:val="14"/>
              <w:ind w:firstLine="480"/>
            </w:pPr>
            <w:r>
              <w:t>在加油机作业过程中，不可避免地有一些成品油跑、冒、滴、漏现象的发生。跑冒滴漏量与加油站的管理、加油工人的操作水平等诸多因素有关，汽油、柴油的跑、冒、滴、漏一般平均损失量分别为0.084kg/m</w:t>
            </w:r>
            <w:r>
              <w:rPr>
                <w:vertAlign w:val="superscript"/>
              </w:rPr>
              <w:t>3</w:t>
            </w:r>
            <w:r>
              <w:t>·通过量、0.017kg/m</w:t>
            </w:r>
            <w:r>
              <w:rPr>
                <w:vertAlign w:val="superscript"/>
              </w:rPr>
              <w:t>3</w:t>
            </w:r>
            <w:r>
              <w:t>·通过量。本项目总油品销售量</w:t>
            </w:r>
            <w:r>
              <w:rPr>
                <w:rFonts w:hint="eastAsia"/>
                <w:lang w:val="en-US" w:eastAsia="zh-CN"/>
              </w:rPr>
              <w:t>1000</w:t>
            </w:r>
            <w:r>
              <w:t>t（汽油</w:t>
            </w:r>
            <w:r>
              <w:rPr>
                <w:rFonts w:hint="eastAsia"/>
                <w:lang w:val="en-US" w:eastAsia="zh-CN"/>
              </w:rPr>
              <w:t>700</w:t>
            </w:r>
            <w:r>
              <w:t>t/a、柴油</w:t>
            </w:r>
            <w:r>
              <w:rPr>
                <w:rFonts w:hint="eastAsia"/>
                <w:lang w:val="en-US" w:eastAsia="zh-CN"/>
              </w:rPr>
              <w:t>300</w:t>
            </w:r>
            <w:r>
              <w:t>t/a），汽油的密度按 0.725g/ml、柴油密度按 0.835g/ml 计，则项目加油过程汽油和柴油跑、冒、滴、漏损失量分别为</w:t>
            </w:r>
            <w:r>
              <w:rPr>
                <w:rFonts w:hint="eastAsia"/>
                <w:lang w:val="en-US" w:eastAsia="zh-CN"/>
              </w:rPr>
              <w:t>0.081</w:t>
            </w:r>
            <w:r>
              <w:rPr>
                <w:rFonts w:hint="default" w:ascii="Times New Roman" w:hAnsi="Times New Roman" w:cs="Times New Roman"/>
                <w:lang w:val="en-US" w:eastAsia="zh-CN"/>
              </w:rPr>
              <w:t>t</w:t>
            </w:r>
            <w:r>
              <w:t>/a、</w:t>
            </w:r>
            <w:r>
              <w:rPr>
                <w:rFonts w:hint="eastAsia"/>
                <w:lang w:val="en-US" w:eastAsia="zh-CN"/>
              </w:rPr>
              <w:t>0.006</w:t>
            </w:r>
            <w:r>
              <w:t>t/a。为减少加油作业时由于跑、冒、滴、漏造成的油气排放量的增加，本环评要求加油站加强操作人员技能培训与学习，严格按照行业操作规程作业，并加强对设施设备的检查与维护，从管理和作业上降低废气排放量。</w:t>
            </w:r>
          </w:p>
          <w:p>
            <w:pPr>
              <w:pStyle w:val="14"/>
              <w:ind w:firstLine="480"/>
            </w:pPr>
            <w:r>
              <w:rPr>
                <w:rFonts w:hint="eastAsia"/>
              </w:rPr>
              <w:t>类比同类设置二次油气回收装置加油站，其呼吸口非甲烷总烃排放浓度监测数据均值为</w:t>
            </w:r>
            <w:r>
              <w:t>1.01g/m</w:t>
            </w:r>
            <w:r>
              <w:rPr>
                <w:vertAlign w:val="superscript"/>
              </w:rPr>
              <w:t>3</w:t>
            </w:r>
            <w:r>
              <w:rPr>
                <w:rFonts w:hint="eastAsia"/>
              </w:rPr>
              <w:t>，小于《加油站大气污染物排放标准》（</w:t>
            </w:r>
            <w:r>
              <w:t>GB2095—</w:t>
            </w:r>
            <w:r>
              <w:rPr>
                <w:rFonts w:hint="eastAsia"/>
              </w:rPr>
              <w:t>2020）</w:t>
            </w:r>
            <w:r>
              <w:t>25g/m</w:t>
            </w:r>
            <w:r>
              <w:rPr>
                <w:vertAlign w:val="superscript"/>
              </w:rPr>
              <w:t>3</w:t>
            </w:r>
            <w:r>
              <w:rPr>
                <w:rFonts w:hint="eastAsia"/>
              </w:rPr>
              <w:t>限值。项目在卸油、储存、加油作业等过程产生的非甲烷总烃排放汇总情况见下表。</w:t>
            </w:r>
          </w:p>
          <w:p>
            <w:pPr>
              <w:pStyle w:val="36"/>
              <w:tabs>
                <w:tab w:val="left" w:pos="1021"/>
              </w:tabs>
            </w:pPr>
            <w:r>
              <w:rPr>
                <w:rFonts w:hint="eastAsia"/>
              </w:rPr>
              <w:t>表</w:t>
            </w:r>
            <w:r>
              <w:rPr>
                <w:rFonts w:hint="eastAsia"/>
                <w:lang w:val="en-US" w:eastAsia="zh-CN"/>
              </w:rPr>
              <w:t>4.2-1</w:t>
            </w:r>
            <w:r>
              <w:rPr>
                <w:rFonts w:hint="eastAsia"/>
              </w:rPr>
              <w:t>项目非甲烷总烃产排情况表</w:t>
            </w:r>
          </w:p>
          <w:tbl>
            <w:tblPr>
              <w:tblStyle w:val="31"/>
              <w:tblW w:w="4994"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99"/>
              <w:gridCol w:w="1939"/>
              <w:gridCol w:w="1557"/>
              <w:gridCol w:w="863"/>
              <w:gridCol w:w="846"/>
              <w:gridCol w:w="1051"/>
              <w:gridCol w:w="9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73" w:type="pct"/>
                  <w:gridSpan w:val="2"/>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rPr>
                      <w:rFonts w:hint="eastAsia"/>
                    </w:rPr>
                    <w:t>项目</w:t>
                  </w:r>
                </w:p>
              </w:tc>
              <w:tc>
                <w:tcPr>
                  <w:tcW w:w="987"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rPr>
                      <w:rFonts w:hint="eastAsia"/>
                    </w:rPr>
                    <w:t>排放系数</w:t>
                  </w:r>
                </w:p>
              </w:tc>
              <w:tc>
                <w:tcPr>
                  <w:tcW w:w="547"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rPr>
                      <w:rFonts w:hint="eastAsia"/>
                    </w:rPr>
                    <w:t>年销售量</w:t>
                  </w:r>
                </w:p>
              </w:tc>
              <w:tc>
                <w:tcPr>
                  <w:tcW w:w="536"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rPr>
                      <w:rFonts w:hint="eastAsia"/>
                    </w:rPr>
                    <w:t>产生量（</w:t>
                  </w:r>
                  <w:r>
                    <w:t>t/a</w:t>
                  </w:r>
                  <w:r>
                    <w:rPr>
                      <w:rFonts w:hint="eastAsia"/>
                    </w:rPr>
                    <w:t>）</w:t>
                  </w:r>
                </w:p>
              </w:tc>
              <w:tc>
                <w:tcPr>
                  <w:tcW w:w="666"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rPr>
                      <w:rFonts w:hint="eastAsia"/>
                    </w:rPr>
                    <w:t>油气回收装置回收率（</w:t>
                  </w:r>
                  <w:r>
                    <w:t>%</w:t>
                  </w:r>
                  <w:r>
                    <w:rPr>
                      <w:rFonts w:hint="eastAsia"/>
                    </w:rPr>
                    <w:t>）</w:t>
                  </w:r>
                </w:p>
              </w:tc>
              <w:tc>
                <w:tcPr>
                  <w:tcW w:w="589"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rPr>
                      <w:rFonts w:hint="eastAsia"/>
                    </w:rPr>
                    <w:t>排放量</w:t>
                  </w:r>
                </w:p>
                <w:p>
                  <w:pPr>
                    <w:pStyle w:val="35"/>
                    <w:tabs>
                      <w:tab w:val="left" w:pos="1021"/>
                    </w:tabs>
                  </w:pPr>
                  <w:r>
                    <w:rPr>
                      <w:rFonts w:hint="eastAsia"/>
                    </w:rPr>
                    <w:t>（</w:t>
                  </w:r>
                  <w:r>
                    <w:t>t/a</w:t>
                  </w: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44" w:type="pct"/>
                  <w:vMerge w:val="restar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rPr>
                      <w:rFonts w:hint="eastAsia"/>
                    </w:rPr>
                    <w:t>储油罐</w:t>
                  </w:r>
                </w:p>
              </w:tc>
              <w:tc>
                <w:tcPr>
                  <w:tcW w:w="1228"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rPr>
                      <w:rFonts w:hint="eastAsia"/>
                    </w:rPr>
                    <w:t>汽油储罐呼吸损失</w:t>
                  </w:r>
                </w:p>
              </w:tc>
              <w:tc>
                <w:tcPr>
                  <w:tcW w:w="987"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t>0.16kg/t</w:t>
                  </w:r>
                </w:p>
              </w:tc>
              <w:tc>
                <w:tcPr>
                  <w:tcW w:w="547"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rPr>
                      <w:rFonts w:hint="eastAsia"/>
                      <w:lang w:val="en-US" w:eastAsia="zh-CN"/>
                    </w:rPr>
                    <w:t>700</w:t>
                  </w:r>
                  <w:r>
                    <w:t>t</w:t>
                  </w:r>
                </w:p>
              </w:tc>
              <w:tc>
                <w:tcPr>
                  <w:tcW w:w="536"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rPr>
                      <w:rFonts w:hint="default" w:eastAsia="宋体"/>
                      <w:lang w:val="en-US" w:eastAsia="zh-CN"/>
                    </w:rPr>
                  </w:pPr>
                  <w:r>
                    <w:rPr>
                      <w:rFonts w:hint="eastAsia"/>
                      <w:lang w:val="en-US" w:eastAsia="zh-CN"/>
                    </w:rPr>
                    <w:t>0.112</w:t>
                  </w:r>
                </w:p>
              </w:tc>
              <w:tc>
                <w:tcPr>
                  <w:tcW w:w="666"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t>/</w:t>
                  </w:r>
                </w:p>
              </w:tc>
              <w:tc>
                <w:tcPr>
                  <w:tcW w:w="589"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rPr>
                      <w:rFonts w:hint="default" w:eastAsia="宋体"/>
                      <w:lang w:val="en-US" w:eastAsia="zh-CN"/>
                    </w:rPr>
                  </w:pPr>
                  <w:r>
                    <w:rPr>
                      <w:rFonts w:hint="eastAsia"/>
                      <w:lang w:val="en-US" w:eastAsia="zh-CN"/>
                    </w:rPr>
                    <w:t>0.112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44" w:type="pct"/>
                  <w:vMerge w:val="continue"/>
                  <w:tcBorders>
                    <w:top w:val="single" w:color="auto" w:sz="4" w:space="0"/>
                    <w:left w:val="single" w:color="auto" w:sz="4" w:space="0"/>
                    <w:bottom w:val="single" w:color="auto" w:sz="4" w:space="0"/>
                    <w:right w:val="single" w:color="auto" w:sz="4" w:space="0"/>
                  </w:tcBorders>
                  <w:vAlign w:val="center"/>
                </w:tcPr>
                <w:p>
                  <w:pPr>
                    <w:pStyle w:val="35"/>
                    <w:tabs>
                      <w:tab w:val="left" w:pos="1021"/>
                    </w:tabs>
                  </w:pPr>
                </w:p>
              </w:tc>
              <w:tc>
                <w:tcPr>
                  <w:tcW w:w="1228"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rPr>
                      <w:rFonts w:hint="eastAsia"/>
                    </w:rPr>
                    <w:t>柴油储罐呼吸损失</w:t>
                  </w:r>
                </w:p>
              </w:tc>
              <w:tc>
                <w:tcPr>
                  <w:tcW w:w="987"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rPr>
                      <w:rFonts w:hint="eastAsia"/>
                    </w:rPr>
                    <w:t>/</w:t>
                  </w:r>
                </w:p>
              </w:tc>
              <w:tc>
                <w:tcPr>
                  <w:tcW w:w="547"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rPr>
                      <w:rFonts w:hint="eastAsia"/>
                      <w:lang w:val="en-US" w:eastAsia="zh-CN"/>
                    </w:rPr>
                    <w:t>300</w:t>
                  </w:r>
                  <w:r>
                    <w:t>t</w:t>
                  </w:r>
                </w:p>
              </w:tc>
              <w:tc>
                <w:tcPr>
                  <w:tcW w:w="536"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rPr>
                      <w:rFonts w:hint="eastAsia"/>
                    </w:rPr>
                    <w:t>/</w:t>
                  </w:r>
                </w:p>
              </w:tc>
              <w:tc>
                <w:tcPr>
                  <w:tcW w:w="666"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t>/</w:t>
                  </w:r>
                </w:p>
              </w:tc>
              <w:tc>
                <w:tcPr>
                  <w:tcW w:w="589"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44" w:type="pct"/>
                  <w:vMerge w:val="restar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rPr>
                      <w:rFonts w:hint="eastAsia"/>
                    </w:rPr>
                    <w:t>油罐车</w:t>
                  </w:r>
                </w:p>
              </w:tc>
              <w:tc>
                <w:tcPr>
                  <w:tcW w:w="1228"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rPr>
                      <w:rFonts w:hint="eastAsia"/>
                    </w:rPr>
                    <w:t>汽油卸油损失</w:t>
                  </w:r>
                </w:p>
              </w:tc>
              <w:tc>
                <w:tcPr>
                  <w:tcW w:w="987"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t>2.3kg/t</w:t>
                  </w:r>
                </w:p>
              </w:tc>
              <w:tc>
                <w:tcPr>
                  <w:tcW w:w="547"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rPr>
                      <w:rFonts w:ascii="Times New Roman" w:hAnsi="Times New Roman" w:eastAsia="宋体" w:cs="Times New Roman"/>
                      <w:kern w:val="0"/>
                      <w:sz w:val="21"/>
                      <w:szCs w:val="21"/>
                      <w:lang w:val="en-US" w:eastAsia="zh-CN" w:bidi="ar-SA"/>
                    </w:rPr>
                  </w:pPr>
                  <w:r>
                    <w:rPr>
                      <w:rFonts w:hint="eastAsia"/>
                      <w:lang w:val="en-US" w:eastAsia="zh-CN"/>
                    </w:rPr>
                    <w:t>700</w:t>
                  </w:r>
                  <w:r>
                    <w:t>t</w:t>
                  </w:r>
                </w:p>
              </w:tc>
              <w:tc>
                <w:tcPr>
                  <w:tcW w:w="536"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rPr>
                      <w:rFonts w:hint="default" w:eastAsia="宋体"/>
                      <w:lang w:val="en-US" w:eastAsia="zh-CN"/>
                    </w:rPr>
                  </w:pPr>
                  <w:r>
                    <w:rPr>
                      <w:rFonts w:hint="eastAsia"/>
                      <w:lang w:val="en-US" w:eastAsia="zh-CN"/>
                    </w:rPr>
                    <w:t>1.61</w:t>
                  </w:r>
                </w:p>
              </w:tc>
              <w:tc>
                <w:tcPr>
                  <w:tcW w:w="666" w:type="pct"/>
                  <w:tcBorders>
                    <w:top w:val="single" w:color="auto" w:sz="4" w:space="0"/>
                    <w:left w:val="single" w:color="auto" w:sz="4" w:space="0"/>
                    <w:right w:val="single" w:color="auto" w:sz="4" w:space="0"/>
                  </w:tcBorders>
                  <w:vAlign w:val="center"/>
                </w:tcPr>
                <w:p>
                  <w:pPr>
                    <w:pStyle w:val="35"/>
                    <w:tabs>
                      <w:tab w:val="left" w:pos="1021"/>
                    </w:tabs>
                  </w:pPr>
                  <w:r>
                    <w:t>90%</w:t>
                  </w:r>
                </w:p>
              </w:tc>
              <w:tc>
                <w:tcPr>
                  <w:tcW w:w="589"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rPr>
                      <w:rFonts w:hint="default" w:eastAsia="宋体"/>
                      <w:lang w:val="en-US" w:eastAsia="zh-CN"/>
                    </w:rPr>
                  </w:pPr>
                  <w:r>
                    <w:rPr>
                      <w:rFonts w:hint="eastAsia"/>
                      <w:lang w:val="en-US" w:eastAsia="zh-CN"/>
                    </w:rPr>
                    <w:t>0.161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44" w:type="pct"/>
                  <w:vMerge w:val="continue"/>
                  <w:tcBorders>
                    <w:top w:val="single" w:color="auto" w:sz="4" w:space="0"/>
                    <w:left w:val="single" w:color="auto" w:sz="4" w:space="0"/>
                    <w:bottom w:val="single" w:color="auto" w:sz="4" w:space="0"/>
                    <w:right w:val="single" w:color="auto" w:sz="4" w:space="0"/>
                  </w:tcBorders>
                  <w:vAlign w:val="center"/>
                </w:tcPr>
                <w:p>
                  <w:pPr>
                    <w:pStyle w:val="35"/>
                    <w:tabs>
                      <w:tab w:val="left" w:pos="1021"/>
                    </w:tabs>
                  </w:pPr>
                </w:p>
              </w:tc>
              <w:tc>
                <w:tcPr>
                  <w:tcW w:w="1228"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rPr>
                      <w:rFonts w:hint="eastAsia"/>
                    </w:rPr>
                    <w:t>柴油卸油损失</w:t>
                  </w:r>
                </w:p>
              </w:tc>
              <w:tc>
                <w:tcPr>
                  <w:tcW w:w="987"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t>0.027kg/t</w:t>
                  </w:r>
                </w:p>
              </w:tc>
              <w:tc>
                <w:tcPr>
                  <w:tcW w:w="547"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rPr>
                      <w:rFonts w:ascii="Times New Roman" w:hAnsi="Times New Roman" w:eastAsia="宋体" w:cs="Times New Roman"/>
                      <w:kern w:val="0"/>
                      <w:sz w:val="21"/>
                      <w:szCs w:val="21"/>
                      <w:lang w:val="en-US" w:eastAsia="zh-CN" w:bidi="ar-SA"/>
                    </w:rPr>
                  </w:pPr>
                  <w:r>
                    <w:rPr>
                      <w:rFonts w:hint="eastAsia"/>
                      <w:lang w:val="en-US" w:eastAsia="zh-CN"/>
                    </w:rPr>
                    <w:t>300</w:t>
                  </w:r>
                  <w:r>
                    <w:t>t</w:t>
                  </w:r>
                </w:p>
              </w:tc>
              <w:tc>
                <w:tcPr>
                  <w:tcW w:w="536"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rPr>
                      <w:rFonts w:hint="default" w:eastAsia="宋体"/>
                      <w:lang w:val="en-US" w:eastAsia="zh-CN"/>
                    </w:rPr>
                  </w:pPr>
                  <w:r>
                    <w:rPr>
                      <w:rFonts w:hint="eastAsia"/>
                      <w:lang w:val="en-US" w:eastAsia="zh-CN"/>
                    </w:rPr>
                    <w:t>0.008</w:t>
                  </w:r>
                </w:p>
              </w:tc>
              <w:tc>
                <w:tcPr>
                  <w:tcW w:w="666" w:type="pct"/>
                  <w:tcBorders>
                    <w:left w:val="single" w:color="auto" w:sz="4" w:space="0"/>
                    <w:bottom w:val="single" w:color="auto" w:sz="4" w:space="0"/>
                    <w:right w:val="single" w:color="auto" w:sz="4" w:space="0"/>
                  </w:tcBorders>
                  <w:vAlign w:val="center"/>
                </w:tcPr>
                <w:p>
                  <w:pPr>
                    <w:pStyle w:val="35"/>
                    <w:tabs>
                      <w:tab w:val="left" w:pos="1021"/>
                    </w:tabs>
                  </w:pPr>
                  <w:r>
                    <w:rPr>
                      <w:rFonts w:hint="eastAsia"/>
                    </w:rPr>
                    <w:t>/</w:t>
                  </w:r>
                </w:p>
              </w:tc>
              <w:tc>
                <w:tcPr>
                  <w:tcW w:w="589"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rPr>
                      <w:rFonts w:hint="default" w:eastAsia="宋体"/>
                      <w:lang w:val="en-US" w:eastAsia="zh-CN"/>
                    </w:rPr>
                  </w:pPr>
                  <w:r>
                    <w:rPr>
                      <w:rFonts w:hint="eastAsia"/>
                      <w:lang w:val="en-US" w:eastAsia="zh-CN"/>
                    </w:rPr>
                    <w:t>0.008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44" w:type="pct"/>
                  <w:vMerge w:val="restar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rPr>
                      <w:rFonts w:hint="eastAsia"/>
                    </w:rPr>
                    <w:t>加油机</w:t>
                  </w:r>
                </w:p>
              </w:tc>
              <w:tc>
                <w:tcPr>
                  <w:tcW w:w="1228"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rPr>
                      <w:rFonts w:hint="eastAsia"/>
                    </w:rPr>
                    <w:t>汽油加油损失</w:t>
                  </w:r>
                </w:p>
              </w:tc>
              <w:tc>
                <w:tcPr>
                  <w:tcW w:w="987"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t>2.49kg/t</w:t>
                  </w:r>
                </w:p>
              </w:tc>
              <w:tc>
                <w:tcPr>
                  <w:tcW w:w="547"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rPr>
                      <w:rFonts w:ascii="Times New Roman" w:hAnsi="Times New Roman" w:eastAsia="宋体" w:cs="Times New Roman"/>
                      <w:kern w:val="0"/>
                      <w:sz w:val="21"/>
                      <w:szCs w:val="21"/>
                      <w:lang w:val="en-US" w:eastAsia="zh-CN" w:bidi="ar-SA"/>
                    </w:rPr>
                  </w:pPr>
                  <w:r>
                    <w:rPr>
                      <w:rFonts w:hint="eastAsia"/>
                      <w:lang w:val="en-US" w:eastAsia="zh-CN"/>
                    </w:rPr>
                    <w:t>700</w:t>
                  </w:r>
                  <w:r>
                    <w:t>t</w:t>
                  </w:r>
                </w:p>
              </w:tc>
              <w:tc>
                <w:tcPr>
                  <w:tcW w:w="536"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rPr>
                      <w:rFonts w:hint="default" w:eastAsia="宋体"/>
                      <w:lang w:val="en-US" w:eastAsia="zh-CN"/>
                    </w:rPr>
                  </w:pPr>
                  <w:r>
                    <w:rPr>
                      <w:rFonts w:hint="eastAsia"/>
                      <w:lang w:val="en-US" w:eastAsia="zh-CN"/>
                    </w:rPr>
                    <w:t>1.743</w:t>
                  </w:r>
                </w:p>
              </w:tc>
              <w:tc>
                <w:tcPr>
                  <w:tcW w:w="666"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t>90%</w:t>
                  </w:r>
                </w:p>
              </w:tc>
              <w:tc>
                <w:tcPr>
                  <w:tcW w:w="589"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rPr>
                      <w:rFonts w:hint="default" w:eastAsia="宋体"/>
                      <w:lang w:val="en-US" w:eastAsia="zh-CN"/>
                    </w:rPr>
                  </w:pPr>
                  <w:r>
                    <w:rPr>
                      <w:rFonts w:hint="eastAsia"/>
                      <w:lang w:val="en-US" w:eastAsia="zh-CN"/>
                    </w:rPr>
                    <w:t>0.174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44" w:type="pct"/>
                  <w:vMerge w:val="continue"/>
                  <w:tcBorders>
                    <w:top w:val="single" w:color="auto" w:sz="4" w:space="0"/>
                    <w:left w:val="single" w:color="auto" w:sz="4" w:space="0"/>
                    <w:bottom w:val="single" w:color="auto" w:sz="4" w:space="0"/>
                    <w:right w:val="single" w:color="auto" w:sz="4" w:space="0"/>
                  </w:tcBorders>
                  <w:vAlign w:val="center"/>
                </w:tcPr>
                <w:p>
                  <w:pPr>
                    <w:pStyle w:val="35"/>
                    <w:tabs>
                      <w:tab w:val="left" w:pos="1021"/>
                    </w:tabs>
                  </w:pPr>
                </w:p>
              </w:tc>
              <w:tc>
                <w:tcPr>
                  <w:tcW w:w="1228"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rPr>
                      <w:rFonts w:hint="eastAsia"/>
                    </w:rPr>
                    <w:t>柴油加油损失</w:t>
                  </w:r>
                </w:p>
              </w:tc>
              <w:tc>
                <w:tcPr>
                  <w:tcW w:w="987"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t>0.048kg/t</w:t>
                  </w:r>
                </w:p>
              </w:tc>
              <w:tc>
                <w:tcPr>
                  <w:tcW w:w="547"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rPr>
                      <w:rFonts w:ascii="Times New Roman" w:hAnsi="Times New Roman" w:eastAsia="宋体" w:cs="Times New Roman"/>
                      <w:kern w:val="0"/>
                      <w:sz w:val="21"/>
                      <w:szCs w:val="21"/>
                      <w:lang w:val="en-US" w:eastAsia="zh-CN" w:bidi="ar-SA"/>
                    </w:rPr>
                  </w:pPr>
                  <w:r>
                    <w:rPr>
                      <w:rFonts w:hint="eastAsia"/>
                      <w:lang w:val="en-US" w:eastAsia="zh-CN"/>
                    </w:rPr>
                    <w:t>300</w:t>
                  </w:r>
                  <w:r>
                    <w:t>t</w:t>
                  </w:r>
                </w:p>
              </w:tc>
              <w:tc>
                <w:tcPr>
                  <w:tcW w:w="536"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rPr>
                      <w:rFonts w:hint="default" w:eastAsia="宋体"/>
                      <w:lang w:val="en-US" w:eastAsia="zh-CN"/>
                    </w:rPr>
                  </w:pPr>
                  <w:r>
                    <w:rPr>
                      <w:rFonts w:hint="eastAsia"/>
                      <w:lang w:val="en-US" w:eastAsia="zh-CN"/>
                    </w:rPr>
                    <w:t>0.014</w:t>
                  </w:r>
                </w:p>
              </w:tc>
              <w:tc>
                <w:tcPr>
                  <w:tcW w:w="666"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t>/</w:t>
                  </w:r>
                </w:p>
              </w:tc>
              <w:tc>
                <w:tcPr>
                  <w:tcW w:w="589"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rPr>
                      <w:rFonts w:hint="default" w:eastAsia="宋体"/>
                      <w:lang w:val="en-US" w:eastAsia="zh-CN"/>
                    </w:rPr>
                  </w:pPr>
                  <w:r>
                    <w:rPr>
                      <w:rFonts w:hint="eastAsia"/>
                      <w:lang w:val="en-US" w:eastAsia="zh-CN"/>
                    </w:rPr>
                    <w:t>0.014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44" w:type="pct"/>
                  <w:vMerge w:val="restart"/>
                  <w:tcBorders>
                    <w:top w:val="single" w:color="auto" w:sz="4" w:space="0"/>
                    <w:left w:val="single" w:color="auto" w:sz="4" w:space="0"/>
                    <w:right w:val="single" w:color="auto" w:sz="4" w:space="0"/>
                  </w:tcBorders>
                  <w:vAlign w:val="center"/>
                </w:tcPr>
                <w:p>
                  <w:pPr>
                    <w:pStyle w:val="35"/>
                    <w:tabs>
                      <w:tab w:val="left" w:pos="1021"/>
                    </w:tabs>
                  </w:pPr>
                  <w:r>
                    <w:t>加油跑冒滴漏</w:t>
                  </w:r>
                </w:p>
              </w:tc>
              <w:tc>
                <w:tcPr>
                  <w:tcW w:w="1228"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t>汽油</w:t>
                  </w:r>
                </w:p>
              </w:tc>
              <w:tc>
                <w:tcPr>
                  <w:tcW w:w="987"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t>0.084kg/m³·通过量</w:t>
                  </w:r>
                </w:p>
              </w:tc>
              <w:tc>
                <w:tcPr>
                  <w:tcW w:w="547"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rPr>
                      <w:rFonts w:hint="eastAsia"/>
                      <w:lang w:val="en-US" w:eastAsia="zh-CN"/>
                    </w:rPr>
                    <w:t>965</w:t>
                  </w:r>
                  <w:r>
                    <w:t>m³</w:t>
                  </w:r>
                </w:p>
              </w:tc>
              <w:tc>
                <w:tcPr>
                  <w:tcW w:w="536"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rPr>
                      <w:rFonts w:hint="default" w:eastAsia="宋体"/>
                      <w:lang w:val="en-US" w:eastAsia="zh-CN"/>
                    </w:rPr>
                  </w:pPr>
                  <w:r>
                    <w:rPr>
                      <w:rFonts w:hint="eastAsia"/>
                      <w:lang w:val="en-US" w:eastAsia="zh-CN"/>
                    </w:rPr>
                    <w:t>0.081</w:t>
                  </w:r>
                </w:p>
              </w:tc>
              <w:tc>
                <w:tcPr>
                  <w:tcW w:w="666"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rPr>
                      <w:rFonts w:hint="eastAsia"/>
                    </w:rPr>
                    <w:t>/</w:t>
                  </w:r>
                </w:p>
              </w:tc>
              <w:tc>
                <w:tcPr>
                  <w:tcW w:w="589"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rPr>
                      <w:rFonts w:hint="default" w:eastAsia="宋体"/>
                      <w:lang w:val="en-US" w:eastAsia="zh-CN"/>
                    </w:rPr>
                  </w:pPr>
                  <w:r>
                    <w:rPr>
                      <w:rFonts w:hint="eastAsia"/>
                      <w:lang w:val="en-US" w:eastAsia="zh-CN"/>
                    </w:rPr>
                    <w:t>0.081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44" w:type="pct"/>
                  <w:vMerge w:val="continue"/>
                  <w:tcBorders>
                    <w:left w:val="single" w:color="auto" w:sz="4" w:space="0"/>
                    <w:bottom w:val="single" w:color="auto" w:sz="4" w:space="0"/>
                    <w:right w:val="single" w:color="auto" w:sz="4" w:space="0"/>
                  </w:tcBorders>
                  <w:vAlign w:val="center"/>
                </w:tcPr>
                <w:p>
                  <w:pPr>
                    <w:pStyle w:val="35"/>
                    <w:tabs>
                      <w:tab w:val="left" w:pos="1021"/>
                    </w:tabs>
                  </w:pPr>
                </w:p>
              </w:tc>
              <w:tc>
                <w:tcPr>
                  <w:tcW w:w="1228"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t>柴油</w:t>
                  </w:r>
                </w:p>
              </w:tc>
              <w:tc>
                <w:tcPr>
                  <w:tcW w:w="987"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t>0.017kg/m³·通过量</w:t>
                  </w:r>
                </w:p>
              </w:tc>
              <w:tc>
                <w:tcPr>
                  <w:tcW w:w="547"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rPr>
                      <w:rFonts w:hint="eastAsia"/>
                      <w:lang w:val="en-US" w:eastAsia="zh-CN"/>
                    </w:rPr>
                    <w:t>359</w:t>
                  </w:r>
                  <w:r>
                    <w:t>m³</w:t>
                  </w:r>
                </w:p>
              </w:tc>
              <w:tc>
                <w:tcPr>
                  <w:tcW w:w="536"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rPr>
                      <w:rFonts w:hint="default" w:eastAsia="宋体"/>
                      <w:lang w:val="en-US" w:eastAsia="zh-CN"/>
                    </w:rPr>
                  </w:pPr>
                  <w:r>
                    <w:rPr>
                      <w:rFonts w:hint="eastAsia"/>
                      <w:lang w:val="en-US" w:eastAsia="zh-CN"/>
                    </w:rPr>
                    <w:t>0.006</w:t>
                  </w:r>
                </w:p>
              </w:tc>
              <w:tc>
                <w:tcPr>
                  <w:tcW w:w="666"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rPr>
                      <w:rFonts w:hint="eastAsia"/>
                    </w:rPr>
                    <w:t>/</w:t>
                  </w:r>
                </w:p>
              </w:tc>
              <w:tc>
                <w:tcPr>
                  <w:tcW w:w="589"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rPr>
                      <w:rFonts w:hint="default" w:eastAsia="宋体"/>
                      <w:lang w:val="en-US" w:eastAsia="zh-CN"/>
                    </w:rPr>
                  </w:pPr>
                  <w:r>
                    <w:rPr>
                      <w:rFonts w:hint="eastAsia"/>
                      <w:lang w:val="en-US" w:eastAsia="zh-CN"/>
                    </w:rPr>
                    <w:t>0.006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60" w:type="pct"/>
                  <w:gridSpan w:val="3"/>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rPr>
                      <w:rFonts w:hint="eastAsia"/>
                    </w:rPr>
                    <w:t>合计</w:t>
                  </w:r>
                </w:p>
              </w:tc>
              <w:tc>
                <w:tcPr>
                  <w:tcW w:w="547"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rPr>
                      <w:rFonts w:hint="eastAsia"/>
                      <w:lang w:val="en-US" w:eastAsia="zh-CN"/>
                    </w:rPr>
                    <w:t>/</w:t>
                  </w:r>
                </w:p>
              </w:tc>
              <w:tc>
                <w:tcPr>
                  <w:tcW w:w="536"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rPr>
                      <w:rFonts w:hint="default" w:eastAsia="宋体"/>
                      <w:lang w:val="en-US" w:eastAsia="zh-CN"/>
                    </w:rPr>
                  </w:pPr>
                  <w:r>
                    <w:rPr>
                      <w:rFonts w:hint="eastAsia"/>
                      <w:lang w:val="en-US" w:eastAsia="zh-CN"/>
                    </w:rPr>
                    <w:t>3.574</w:t>
                  </w:r>
                </w:p>
              </w:tc>
              <w:tc>
                <w:tcPr>
                  <w:tcW w:w="666"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t>/</w:t>
                  </w:r>
                </w:p>
              </w:tc>
              <w:tc>
                <w:tcPr>
                  <w:tcW w:w="589"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rPr>
                      <w:rFonts w:hint="default" w:eastAsia="宋体"/>
                      <w:lang w:val="en-US" w:eastAsia="zh-CN"/>
                    </w:rPr>
                  </w:pPr>
                  <w:r>
                    <w:rPr>
                      <w:rFonts w:hint="eastAsia"/>
                      <w:lang w:val="en-US" w:eastAsia="zh-CN"/>
                    </w:rPr>
                    <w:t>0.556</w:t>
                  </w:r>
                </w:p>
              </w:tc>
            </w:tr>
          </w:tbl>
          <w:p>
            <w:pPr>
              <w:pStyle w:val="14"/>
              <w:ind w:firstLine="480"/>
              <w:rPr>
                <w:rFonts w:eastAsiaTheme="minorEastAsia"/>
              </w:rPr>
            </w:pPr>
            <w:r>
              <w:rPr>
                <w:rFonts w:hint="eastAsia"/>
              </w:rPr>
              <w:t>（</w:t>
            </w:r>
            <w:r>
              <w:t>2</w:t>
            </w:r>
            <w:r>
              <w:rPr>
                <w:rFonts w:hint="eastAsia"/>
              </w:rPr>
              <w:t>）备用柴油发电机废气</w:t>
            </w:r>
          </w:p>
          <w:p>
            <w:pPr>
              <w:pStyle w:val="14"/>
              <w:bidi w:val="0"/>
              <w:rPr>
                <w:rFonts w:hint="eastAsia"/>
                <w:lang w:val="en-US" w:eastAsia="zh-CN"/>
              </w:rPr>
            </w:pPr>
            <w:r>
              <w:rPr>
                <w:rFonts w:hint="eastAsia"/>
              </w:rPr>
              <w:t>项目在配电室内设</w:t>
            </w:r>
            <w:r>
              <w:t>1</w:t>
            </w:r>
            <w:r>
              <w:rPr>
                <w:rFonts w:hint="eastAsia"/>
              </w:rPr>
              <w:t>台备用柴油发电机（功率为30</w:t>
            </w:r>
            <w:r>
              <w:t>kw</w:t>
            </w:r>
            <w:r>
              <w:rPr>
                <w:rFonts w:hint="eastAsia"/>
              </w:rPr>
              <w:t>），放置在单独密闭房间内，</w:t>
            </w:r>
            <w:r>
              <w:rPr>
                <w:rFonts w:hint="eastAsia"/>
                <w:lang w:val="en-US" w:eastAsia="zh-CN"/>
              </w:rPr>
              <w:t>本项目的柴油发电机仅在停电时临时使用，在发电机运行过程中由于柴油的燃烧会产生一定量的废气，该类废气中的主要污染物为CO、SO</w:t>
            </w:r>
            <w:r>
              <w:rPr>
                <w:rFonts w:hint="eastAsia"/>
                <w:vertAlign w:val="subscript"/>
                <w:lang w:val="en-US" w:eastAsia="zh-CN"/>
              </w:rPr>
              <w:t>2</w:t>
            </w:r>
            <w:r>
              <w:rPr>
                <w:rFonts w:hint="eastAsia"/>
                <w:lang w:val="en-US" w:eastAsia="zh-CN"/>
              </w:rPr>
              <w:t>、NOx、烟尘等。备用柴油发电机的使用频率较低，发电机运行产生的废气经专用烟道引至屋顶高空排放。由于备用柴油发电机使用时间短，废气排放量少，对环境影响较小。</w:t>
            </w:r>
          </w:p>
          <w:p>
            <w:pPr>
              <w:pStyle w:val="14"/>
              <w:ind w:firstLine="480"/>
            </w:pPr>
            <w:r>
              <w:rPr>
                <w:rFonts w:hint="eastAsia"/>
              </w:rPr>
              <w:t>（</w:t>
            </w:r>
            <w:r>
              <w:t>3</w:t>
            </w:r>
            <w:r>
              <w:rPr>
                <w:rFonts w:hint="eastAsia"/>
              </w:rPr>
              <w:t>）汽车尾气</w:t>
            </w:r>
          </w:p>
          <w:p>
            <w:pPr>
              <w:pStyle w:val="14"/>
              <w:bidi w:val="0"/>
            </w:pPr>
            <w:r>
              <w:rPr>
                <w:rFonts w:hint="default"/>
                <w:lang w:val="en-US" w:eastAsia="zh-CN"/>
              </w:rPr>
              <w:t>项目</w:t>
            </w:r>
            <w:r>
              <w:rPr>
                <w:rFonts w:hint="eastAsia"/>
                <w:lang w:val="en-US" w:eastAsia="zh-CN"/>
              </w:rPr>
              <w:t>加油车辆进出加油站时会排放一定量的汽车尾气，同时项目在室外地面设置多个普通车辆停车位，也会产生少量汽车尾气，汽车尾气主要污染物为CO、NOx和 THC。由于车辆进出耗时行驶时间较短，进出汽车产生的尾气源强较小，加之汽车进出加油站的时间不确定，汽车尾气排放时间较为分散，且均为露天排放，扩散较快。因此，汽车尾气对周围环境影响不大</w:t>
            </w:r>
            <w:r>
              <w:rPr>
                <w:rFonts w:hint="eastAsia"/>
              </w:rPr>
              <w:t>。</w:t>
            </w:r>
          </w:p>
          <w:p>
            <w:pPr>
              <w:pStyle w:val="14"/>
              <w:bidi w:val="0"/>
            </w:pPr>
            <w:r>
              <w:rPr>
                <w:rFonts w:hint="eastAsia"/>
                <w:lang w:val="zh-CN" w:eastAsia="zh-CN"/>
              </w:rPr>
              <w:t>（</w:t>
            </w:r>
            <w:r>
              <w:rPr>
                <w:rFonts w:hint="eastAsia"/>
                <w:lang w:val="en-US" w:eastAsia="zh-CN"/>
              </w:rPr>
              <w:t>4）</w:t>
            </w:r>
            <w:r>
              <w:rPr>
                <w:lang w:val="zh-CN" w:eastAsia="zh-CN"/>
              </w:rPr>
              <w:tab/>
            </w:r>
            <w:r>
              <w:t>食堂油烟</w:t>
            </w:r>
          </w:p>
          <w:p>
            <w:pPr>
              <w:pStyle w:val="14"/>
              <w:bidi w:val="0"/>
              <w:rPr>
                <w:lang w:val="en-US"/>
              </w:rPr>
            </w:pPr>
            <w:r>
              <w:t>项目预计劳动定员</w:t>
            </w:r>
            <w:r>
              <w:rPr>
                <w:rFonts w:hint="eastAsia"/>
                <w:lang w:val="en-US" w:eastAsia="zh-CN"/>
              </w:rPr>
              <w:t>10</w:t>
            </w:r>
            <w:r>
              <w:t>人，年工作</w:t>
            </w:r>
            <w:r>
              <w:rPr>
                <w:rFonts w:hint="eastAsia"/>
                <w:lang w:val="en-US" w:eastAsia="zh-CN"/>
              </w:rPr>
              <w:t>365</w:t>
            </w:r>
            <w:r>
              <w:t>天，根据饮食行业统计资料，目前人均食用油日用量约</w:t>
            </w:r>
            <w:r>
              <w:rPr>
                <w:rFonts w:hint="eastAsia"/>
              </w:rPr>
              <w:t>30</w:t>
            </w:r>
            <w:r>
              <w:t>g/人·d，一般油烟挥发量占总耗油量的2～4%，平均为2.83%</w:t>
            </w:r>
            <w:r>
              <w:rPr>
                <w:lang w:val="en-US"/>
              </w:rPr>
              <w:t>，年运营时间为</w:t>
            </w:r>
            <w:r>
              <w:rPr>
                <w:rFonts w:hint="eastAsia"/>
                <w:lang w:val="en-US" w:eastAsia="zh-CN"/>
              </w:rPr>
              <w:t>365</w:t>
            </w:r>
            <w:r>
              <w:rPr>
                <w:lang w:val="en-US"/>
              </w:rPr>
              <w:t>d，则厨房年油烟产生量为0.0</w:t>
            </w:r>
            <w:r>
              <w:rPr>
                <w:rFonts w:hint="eastAsia"/>
                <w:lang w:val="en-US" w:eastAsia="zh-CN"/>
              </w:rPr>
              <w:t>03</w:t>
            </w:r>
            <w:r>
              <w:rPr>
                <w:lang w:val="en-US"/>
              </w:rPr>
              <w:t>t</w:t>
            </w:r>
            <w:r>
              <w:rPr>
                <w:rFonts w:hint="eastAsia"/>
                <w:lang w:val="en-US" w:eastAsia="zh-CN"/>
              </w:rPr>
              <w:t>/</w:t>
            </w:r>
            <w:r>
              <w:rPr>
                <w:lang w:val="en-US"/>
              </w:rPr>
              <w:t>a。每个灶头排风量以2000m</w:t>
            </w:r>
            <w:r>
              <w:rPr>
                <w:rFonts w:hint="default"/>
                <w:lang w:val="en-US"/>
              </w:rPr>
              <w:t>³</w:t>
            </w:r>
            <w:r>
              <w:rPr>
                <w:lang w:val="en-US"/>
              </w:rPr>
              <w:t>/</w:t>
            </w:r>
            <w:r>
              <w:rPr>
                <w:rFonts w:hint="default"/>
                <w:lang w:val="en-US"/>
              </w:rPr>
              <w:t>h</w:t>
            </w:r>
            <w:r>
              <w:rPr>
                <w:lang w:val="en-US"/>
              </w:rPr>
              <w:t>计，使用时间以4h/d计，油烟产生浓度为</w:t>
            </w:r>
            <w:r>
              <w:rPr>
                <w:rFonts w:hint="eastAsia"/>
                <w:lang w:val="en-US" w:eastAsia="zh-CN"/>
              </w:rPr>
              <w:t>1.03</w:t>
            </w:r>
            <w:r>
              <w:rPr>
                <w:lang w:val="en-US"/>
              </w:rPr>
              <w:t>mg/m³。厨房将安装油烟净化器系统处理油烟废气，该系统油烟处理效率</w:t>
            </w:r>
            <w:r>
              <w:rPr>
                <w:rFonts w:hint="eastAsia"/>
                <w:lang w:val="en-US" w:eastAsia="zh-CN"/>
              </w:rPr>
              <w:t>60</w:t>
            </w:r>
            <w:r>
              <w:rPr>
                <w:lang w:val="en-US"/>
              </w:rPr>
              <w:t>%以上，处理后的烟气油烟通过内置的专用排烟道在屋顶排放，计算得出油烟废气污染物的排污量及排放浓度见下表。</w:t>
            </w:r>
          </w:p>
          <w:p>
            <w:pPr>
              <w:pStyle w:val="36"/>
              <w:bidi w:val="0"/>
              <w:rPr>
                <w:lang w:val="en-US"/>
              </w:rPr>
            </w:pPr>
            <w:r>
              <w:rPr>
                <w:lang w:val="en-US"/>
              </w:rPr>
              <w:t>表</w:t>
            </w:r>
            <w:r>
              <w:rPr>
                <w:rFonts w:hint="eastAsia"/>
                <w:lang w:val="en-US" w:eastAsia="zh-CN"/>
              </w:rPr>
              <w:t>4.2-2</w:t>
            </w:r>
            <w:r>
              <w:rPr>
                <w:lang w:val="en-US"/>
              </w:rPr>
              <w:t xml:space="preserve"> 厨房油烟废气污染物排放量及排放浓度</w:t>
            </w:r>
          </w:p>
          <w:tbl>
            <w:tblPr>
              <w:tblStyle w:val="3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99"/>
              <w:gridCol w:w="1532"/>
              <w:gridCol w:w="1511"/>
              <w:gridCol w:w="1366"/>
              <w:gridCol w:w="1407"/>
              <w:gridCol w:w="9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6" w:type="pct"/>
                  <w:noWrap w:val="0"/>
                  <w:vAlign w:val="center"/>
                </w:tcPr>
                <w:p>
                  <w:pPr>
                    <w:pStyle w:val="35"/>
                    <w:bidi w:val="0"/>
                    <w:rPr>
                      <w:lang w:val="en-US"/>
                    </w:rPr>
                  </w:pPr>
                  <w:r>
                    <w:rPr>
                      <w:lang w:val="en-US"/>
                    </w:rPr>
                    <w:t>污染物</w:t>
                  </w:r>
                </w:p>
              </w:tc>
              <w:tc>
                <w:tcPr>
                  <w:tcW w:w="970" w:type="pct"/>
                  <w:noWrap w:val="0"/>
                  <w:vAlign w:val="center"/>
                </w:tcPr>
                <w:p>
                  <w:pPr>
                    <w:pStyle w:val="35"/>
                    <w:bidi w:val="0"/>
                    <w:rPr>
                      <w:lang w:val="en-US"/>
                    </w:rPr>
                  </w:pPr>
                  <w:r>
                    <w:rPr>
                      <w:lang w:val="en-US"/>
                    </w:rPr>
                    <w:t>污染物产生量</w:t>
                  </w:r>
                </w:p>
              </w:tc>
              <w:tc>
                <w:tcPr>
                  <w:tcW w:w="957" w:type="pct"/>
                  <w:noWrap w:val="0"/>
                  <w:vAlign w:val="center"/>
                </w:tcPr>
                <w:p>
                  <w:pPr>
                    <w:pStyle w:val="35"/>
                    <w:bidi w:val="0"/>
                    <w:rPr>
                      <w:lang w:val="en-US"/>
                    </w:rPr>
                  </w:pPr>
                  <w:r>
                    <w:rPr>
                      <w:lang w:val="en-US"/>
                    </w:rPr>
                    <w:t>污染物产生浓度</w:t>
                  </w:r>
                </w:p>
              </w:tc>
              <w:tc>
                <w:tcPr>
                  <w:tcW w:w="865" w:type="pct"/>
                  <w:noWrap w:val="0"/>
                  <w:vAlign w:val="center"/>
                </w:tcPr>
                <w:p>
                  <w:pPr>
                    <w:pStyle w:val="35"/>
                    <w:bidi w:val="0"/>
                    <w:rPr>
                      <w:lang w:val="en-US"/>
                    </w:rPr>
                  </w:pPr>
                  <w:r>
                    <w:rPr>
                      <w:lang w:val="en-US"/>
                    </w:rPr>
                    <w:t>污染物排放量</w:t>
                  </w:r>
                </w:p>
              </w:tc>
              <w:tc>
                <w:tcPr>
                  <w:tcW w:w="891" w:type="pct"/>
                  <w:noWrap w:val="0"/>
                  <w:vAlign w:val="center"/>
                </w:tcPr>
                <w:p>
                  <w:pPr>
                    <w:pStyle w:val="35"/>
                    <w:bidi w:val="0"/>
                    <w:rPr>
                      <w:lang w:val="en-US"/>
                    </w:rPr>
                  </w:pPr>
                  <w:r>
                    <w:rPr>
                      <w:lang w:val="en-US"/>
                    </w:rPr>
                    <w:t>染物排放浓度</w:t>
                  </w:r>
                </w:p>
              </w:tc>
              <w:tc>
                <w:tcPr>
                  <w:tcW w:w="619" w:type="pct"/>
                  <w:noWrap w:val="0"/>
                  <w:vAlign w:val="center"/>
                </w:tcPr>
                <w:p>
                  <w:pPr>
                    <w:pStyle w:val="35"/>
                    <w:bidi w:val="0"/>
                    <w:rPr>
                      <w:lang w:val="en-US"/>
                    </w:rPr>
                  </w:pPr>
                  <w:r>
                    <w:rPr>
                      <w:lang w:val="en-US"/>
                    </w:rPr>
                    <w:t>排放标准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6" w:type="pct"/>
                  <w:noWrap w:val="0"/>
                  <w:vAlign w:val="center"/>
                </w:tcPr>
                <w:p>
                  <w:pPr>
                    <w:pStyle w:val="35"/>
                    <w:bidi w:val="0"/>
                    <w:rPr>
                      <w:lang w:val="en-US"/>
                    </w:rPr>
                  </w:pPr>
                  <w:r>
                    <w:rPr>
                      <w:lang w:val="en-US"/>
                    </w:rPr>
                    <w:t>油烟</w:t>
                  </w:r>
                </w:p>
              </w:tc>
              <w:tc>
                <w:tcPr>
                  <w:tcW w:w="970" w:type="pct"/>
                  <w:noWrap w:val="0"/>
                  <w:vAlign w:val="center"/>
                </w:tcPr>
                <w:p>
                  <w:pPr>
                    <w:pStyle w:val="35"/>
                    <w:bidi w:val="0"/>
                    <w:rPr>
                      <w:lang w:val="en-US"/>
                    </w:rPr>
                  </w:pPr>
                  <w:r>
                    <w:rPr>
                      <w:lang w:val="en-US"/>
                    </w:rPr>
                    <w:t>0.0</w:t>
                  </w:r>
                  <w:r>
                    <w:rPr>
                      <w:rFonts w:hint="eastAsia"/>
                      <w:lang w:val="en-US" w:eastAsia="zh-CN"/>
                    </w:rPr>
                    <w:t>03</w:t>
                  </w:r>
                  <w:r>
                    <w:rPr>
                      <w:lang w:val="en-US"/>
                    </w:rPr>
                    <w:t>t/a</w:t>
                  </w:r>
                </w:p>
              </w:tc>
              <w:tc>
                <w:tcPr>
                  <w:tcW w:w="957" w:type="pct"/>
                  <w:noWrap w:val="0"/>
                  <w:vAlign w:val="center"/>
                </w:tcPr>
                <w:p>
                  <w:pPr>
                    <w:pStyle w:val="35"/>
                    <w:bidi w:val="0"/>
                    <w:rPr>
                      <w:lang w:val="en-US"/>
                    </w:rPr>
                  </w:pPr>
                  <w:r>
                    <w:rPr>
                      <w:rFonts w:hint="eastAsia"/>
                      <w:lang w:val="en-US" w:eastAsia="zh-CN"/>
                    </w:rPr>
                    <w:t>1.03</w:t>
                  </w:r>
                  <w:r>
                    <w:rPr>
                      <w:lang w:val="en-US"/>
                    </w:rPr>
                    <w:t>mg/m³</w:t>
                  </w:r>
                </w:p>
              </w:tc>
              <w:tc>
                <w:tcPr>
                  <w:tcW w:w="865" w:type="pct"/>
                  <w:noWrap w:val="0"/>
                  <w:vAlign w:val="center"/>
                </w:tcPr>
                <w:p>
                  <w:pPr>
                    <w:pStyle w:val="35"/>
                    <w:bidi w:val="0"/>
                    <w:rPr>
                      <w:lang w:val="en-US"/>
                    </w:rPr>
                  </w:pPr>
                  <w:r>
                    <w:rPr>
                      <w:rFonts w:hint="eastAsia"/>
                      <w:lang w:val="en-US" w:eastAsia="zh-CN"/>
                    </w:rPr>
                    <w:t>0.001</w:t>
                  </w:r>
                  <w:r>
                    <w:rPr>
                      <w:lang w:val="en-US"/>
                    </w:rPr>
                    <w:t>t/a</w:t>
                  </w:r>
                </w:p>
              </w:tc>
              <w:tc>
                <w:tcPr>
                  <w:tcW w:w="891" w:type="pct"/>
                  <w:noWrap w:val="0"/>
                  <w:vAlign w:val="center"/>
                </w:tcPr>
                <w:p>
                  <w:pPr>
                    <w:pStyle w:val="35"/>
                    <w:bidi w:val="0"/>
                    <w:rPr>
                      <w:lang w:val="en-US"/>
                    </w:rPr>
                  </w:pPr>
                  <w:r>
                    <w:rPr>
                      <w:rFonts w:hint="eastAsia"/>
                      <w:lang w:val="en-US" w:eastAsia="zh-CN"/>
                    </w:rPr>
                    <w:t>0.34</w:t>
                  </w:r>
                  <w:r>
                    <w:rPr>
                      <w:lang w:val="en-US"/>
                    </w:rPr>
                    <w:t>mg/m³</w:t>
                  </w:r>
                </w:p>
              </w:tc>
              <w:tc>
                <w:tcPr>
                  <w:tcW w:w="619" w:type="pct"/>
                  <w:noWrap w:val="0"/>
                  <w:vAlign w:val="center"/>
                </w:tcPr>
                <w:p>
                  <w:pPr>
                    <w:pStyle w:val="35"/>
                    <w:bidi w:val="0"/>
                    <w:rPr>
                      <w:lang w:val="en-US"/>
                    </w:rPr>
                  </w:pPr>
                  <w:r>
                    <w:rPr>
                      <w:lang w:val="en-US"/>
                    </w:rPr>
                    <w:t>2mg/m³</w:t>
                  </w:r>
                </w:p>
              </w:tc>
            </w:tr>
          </w:tbl>
          <w:p>
            <w:pPr>
              <w:pStyle w:val="14"/>
              <w:bidi w:val="0"/>
            </w:pPr>
            <w:r>
              <w:t>油烟通过油烟净化器处理后由高于屋顶排气筒外排，则有组织排放量为</w:t>
            </w:r>
            <w:r>
              <w:rPr>
                <w:rFonts w:hint="eastAsia"/>
                <w:lang w:val="en-US" w:eastAsia="zh-CN"/>
              </w:rPr>
              <w:t>1</w:t>
            </w:r>
            <w:r>
              <w:rPr>
                <w:lang w:val="en-US" w:eastAsia="en-US"/>
              </w:rPr>
              <w:t>kg</w:t>
            </w:r>
            <w:r>
              <w:rPr>
                <w:rFonts w:hint="eastAsia"/>
                <w:lang w:val="en-US" w:eastAsia="zh-CN"/>
              </w:rPr>
              <w:t>/</w:t>
            </w:r>
            <w:r>
              <w:rPr>
                <w:lang w:val="en-US" w:eastAsia="en-US"/>
              </w:rPr>
              <w:t xml:space="preserve"> a</w:t>
            </w:r>
            <w:r>
              <w:rPr>
                <w:rFonts w:hint="eastAsia"/>
                <w:lang w:val="en-US" w:eastAsia="zh-CN"/>
              </w:rPr>
              <w:t>，</w:t>
            </w:r>
            <w:r>
              <w:t>排放浓度为</w:t>
            </w:r>
            <w:r>
              <w:rPr>
                <w:rFonts w:hint="eastAsia"/>
                <w:lang w:val="en-US" w:eastAsia="zh-CN"/>
              </w:rPr>
              <w:t>0.34</w:t>
            </w:r>
            <w:r>
              <w:rPr>
                <w:lang w:val="en-US"/>
              </w:rPr>
              <w:t>mg/m³</w:t>
            </w:r>
            <w:r>
              <w:t>，能够达到《饮食业油烟排放标准（试行</w:t>
            </w:r>
            <w:r>
              <w:rPr>
                <w:lang w:val="en-US" w:eastAsia="en-US"/>
              </w:rPr>
              <w:t>）</w:t>
            </w:r>
            <w:r>
              <w:rPr>
                <w:rFonts w:hint="eastAsia"/>
                <w:lang w:val="en-US" w:eastAsia="zh-CN"/>
              </w:rPr>
              <w:t>（</w:t>
            </w:r>
            <w:r>
              <w:rPr>
                <w:lang w:val="en-US" w:eastAsia="en-US"/>
              </w:rPr>
              <w:t>GB18483-2001</w:t>
            </w:r>
            <w:r>
              <w:rPr>
                <w:rFonts w:hint="eastAsia"/>
                <w:lang w:val="en-US" w:eastAsia="zh-CN"/>
              </w:rPr>
              <w:t>）》</w:t>
            </w:r>
            <w:r>
              <w:t>排放浓度限值</w:t>
            </w:r>
            <w:r>
              <w:rPr>
                <w:lang w:val="en-US" w:eastAsia="en-US"/>
              </w:rPr>
              <w:t>2.0</w:t>
            </w:r>
            <w:r>
              <w:rPr>
                <w:lang w:val="en-US"/>
              </w:rPr>
              <w:t>mg/m³</w:t>
            </w:r>
            <w:r>
              <w:rPr>
                <w:rFonts w:hint="eastAsia"/>
                <w:lang w:eastAsia="zh-CN"/>
              </w:rPr>
              <w:t>，</w:t>
            </w:r>
            <w:r>
              <w:rPr>
                <w:lang w:val="en-US" w:eastAsia="en-US"/>
              </w:rPr>
              <w:t xml:space="preserve"> </w:t>
            </w:r>
            <w:r>
              <w:t>对周边环境影响不大。</w:t>
            </w:r>
          </w:p>
          <w:p>
            <w:pPr>
              <w:pStyle w:val="14"/>
              <w:bidi w:val="0"/>
              <w:rPr>
                <w:rFonts w:hint="eastAsia"/>
                <w:lang w:val="en-US" w:eastAsia="zh-CN"/>
              </w:rPr>
            </w:pPr>
            <w:r>
              <w:rPr>
                <w:rFonts w:hint="eastAsia"/>
                <w:lang w:val="en-US" w:eastAsia="zh-CN"/>
              </w:rPr>
              <w:t>1.2废气产排情况</w:t>
            </w:r>
          </w:p>
          <w:p>
            <w:pPr>
              <w:pStyle w:val="36"/>
              <w:bidi w:val="0"/>
              <w:rPr>
                <w:rFonts w:hint="eastAsia"/>
                <w:lang w:val="en-US" w:eastAsia="zh-CN"/>
              </w:rPr>
            </w:pPr>
            <w:r>
              <w:rPr>
                <w:rFonts w:hint="eastAsia"/>
                <w:lang w:val="en-US" w:eastAsia="zh-CN"/>
              </w:rPr>
              <w:t>表4.2-3 废气污染物产排情况</w:t>
            </w:r>
          </w:p>
          <w:tbl>
            <w:tblPr>
              <w:tblStyle w:val="31"/>
              <w:tblW w:w="499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243"/>
              <w:gridCol w:w="355"/>
              <w:gridCol w:w="521"/>
              <w:gridCol w:w="563"/>
              <w:gridCol w:w="547"/>
              <w:gridCol w:w="574"/>
              <w:gridCol w:w="991"/>
              <w:gridCol w:w="563"/>
              <w:gridCol w:w="547"/>
              <w:gridCol w:w="677"/>
              <w:gridCol w:w="1737"/>
              <w:gridCol w:w="5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54" w:type="pct"/>
                  <w:vMerge w:val="restart"/>
                  <w:noWrap w:val="0"/>
                  <w:vAlign w:val="center"/>
                </w:tcPr>
                <w:p>
                  <w:pPr>
                    <w:pStyle w:val="35"/>
                    <w:bidi w:val="0"/>
                    <w:jc w:val="center"/>
                    <w:rPr>
                      <w:rFonts w:hint="eastAsia"/>
                      <w:lang w:eastAsia="zh-CN"/>
                    </w:rPr>
                  </w:pPr>
                  <w:r>
                    <w:rPr>
                      <w:rFonts w:hint="eastAsia"/>
                      <w:lang w:eastAsia="zh-CN"/>
                    </w:rPr>
                    <w:t>废气</w:t>
                  </w:r>
                </w:p>
              </w:tc>
              <w:tc>
                <w:tcPr>
                  <w:tcW w:w="555" w:type="pct"/>
                  <w:gridSpan w:val="2"/>
                  <w:vMerge w:val="restart"/>
                  <w:noWrap w:val="0"/>
                  <w:vAlign w:val="center"/>
                </w:tcPr>
                <w:p>
                  <w:pPr>
                    <w:pStyle w:val="35"/>
                    <w:bidi w:val="0"/>
                    <w:jc w:val="center"/>
                  </w:pPr>
                </w:p>
                <w:p>
                  <w:pPr>
                    <w:pStyle w:val="35"/>
                    <w:bidi w:val="0"/>
                    <w:jc w:val="center"/>
                    <w:rPr>
                      <w:rFonts w:hint="eastAsia"/>
                    </w:rPr>
                  </w:pPr>
                  <w:r>
                    <w:rPr>
                      <w:rFonts w:hint="eastAsia"/>
                    </w:rPr>
                    <w:t>污染物名称</w:t>
                  </w:r>
                </w:p>
              </w:tc>
              <w:tc>
                <w:tcPr>
                  <w:tcW w:w="1068" w:type="pct"/>
                  <w:gridSpan w:val="3"/>
                  <w:noWrap w:val="0"/>
                  <w:vAlign w:val="center"/>
                </w:tcPr>
                <w:p>
                  <w:pPr>
                    <w:pStyle w:val="35"/>
                    <w:bidi w:val="0"/>
                    <w:jc w:val="center"/>
                    <w:rPr>
                      <w:rFonts w:hint="eastAsia"/>
                    </w:rPr>
                  </w:pPr>
                  <w:r>
                    <w:rPr>
                      <w:rFonts w:hint="eastAsia"/>
                    </w:rPr>
                    <w:t>产生情况</w:t>
                  </w:r>
                </w:p>
              </w:tc>
              <w:tc>
                <w:tcPr>
                  <w:tcW w:w="628" w:type="pct"/>
                  <w:vMerge w:val="restart"/>
                  <w:noWrap w:val="0"/>
                  <w:vAlign w:val="center"/>
                </w:tcPr>
                <w:p>
                  <w:pPr>
                    <w:pStyle w:val="35"/>
                    <w:bidi w:val="0"/>
                    <w:jc w:val="center"/>
                  </w:pPr>
                </w:p>
                <w:p>
                  <w:pPr>
                    <w:pStyle w:val="35"/>
                    <w:bidi w:val="0"/>
                    <w:jc w:val="center"/>
                    <w:rPr>
                      <w:rFonts w:hint="eastAsia"/>
                    </w:rPr>
                  </w:pPr>
                  <w:r>
                    <w:rPr>
                      <w:rFonts w:hint="eastAsia"/>
                      <w:lang w:val="en-US" w:eastAsia="zh-CN"/>
                    </w:rPr>
                    <w:t>治理措施</w:t>
                  </w:r>
                </w:p>
              </w:tc>
              <w:tc>
                <w:tcPr>
                  <w:tcW w:w="1133" w:type="pct"/>
                  <w:gridSpan w:val="3"/>
                  <w:noWrap w:val="0"/>
                  <w:vAlign w:val="center"/>
                </w:tcPr>
                <w:p>
                  <w:pPr>
                    <w:pStyle w:val="35"/>
                    <w:bidi w:val="0"/>
                    <w:jc w:val="center"/>
                    <w:rPr>
                      <w:rFonts w:hint="eastAsia"/>
                    </w:rPr>
                  </w:pPr>
                  <w:r>
                    <w:rPr>
                      <w:rFonts w:hint="eastAsia"/>
                    </w:rPr>
                    <w:t>排放情况</w:t>
                  </w:r>
                </w:p>
              </w:tc>
              <w:tc>
                <w:tcPr>
                  <w:tcW w:w="1101" w:type="pct"/>
                  <w:vMerge w:val="restart"/>
                  <w:noWrap w:val="0"/>
                  <w:vAlign w:val="center"/>
                </w:tcPr>
                <w:p>
                  <w:pPr>
                    <w:pStyle w:val="35"/>
                    <w:bidi w:val="0"/>
                    <w:jc w:val="center"/>
                    <w:rPr>
                      <w:rFonts w:hint="eastAsia"/>
                    </w:rPr>
                  </w:pPr>
                  <w:r>
                    <w:rPr>
                      <w:rFonts w:hint="eastAsia"/>
                      <w:lang w:val="en-US" w:eastAsia="zh-CN"/>
                    </w:rPr>
                    <w:t>排放执行标准</w:t>
                  </w:r>
                </w:p>
              </w:tc>
              <w:tc>
                <w:tcPr>
                  <w:tcW w:w="357" w:type="pct"/>
                  <w:vMerge w:val="restart"/>
                  <w:noWrap w:val="0"/>
                  <w:vAlign w:val="center"/>
                </w:tcPr>
                <w:p>
                  <w:pPr>
                    <w:pStyle w:val="35"/>
                    <w:bidi w:val="0"/>
                    <w:jc w:val="center"/>
                    <w:rPr>
                      <w:rFonts w:hint="eastAsia"/>
                    </w:rPr>
                  </w:pPr>
                  <w:r>
                    <w:rPr>
                      <w:rFonts w:hint="eastAsia"/>
                      <w:lang w:val="en-US" w:eastAsia="zh-CN"/>
                    </w:rPr>
                    <w:t>是否为可行技术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54" w:type="pct"/>
                  <w:vMerge w:val="continue"/>
                  <w:noWrap w:val="0"/>
                  <w:vAlign w:val="center"/>
                </w:tcPr>
                <w:p>
                  <w:pPr>
                    <w:pStyle w:val="35"/>
                    <w:bidi w:val="0"/>
                    <w:jc w:val="center"/>
                  </w:pPr>
                </w:p>
              </w:tc>
              <w:tc>
                <w:tcPr>
                  <w:tcW w:w="555" w:type="pct"/>
                  <w:gridSpan w:val="2"/>
                  <w:vMerge w:val="continue"/>
                  <w:noWrap w:val="0"/>
                  <w:vAlign w:val="center"/>
                </w:tcPr>
                <w:p>
                  <w:pPr>
                    <w:pStyle w:val="35"/>
                    <w:bidi w:val="0"/>
                    <w:jc w:val="center"/>
                  </w:pPr>
                </w:p>
              </w:tc>
              <w:tc>
                <w:tcPr>
                  <w:tcW w:w="357" w:type="pct"/>
                  <w:noWrap w:val="0"/>
                  <w:vAlign w:val="center"/>
                </w:tcPr>
                <w:p>
                  <w:pPr>
                    <w:pStyle w:val="35"/>
                    <w:bidi w:val="0"/>
                    <w:jc w:val="center"/>
                    <w:rPr>
                      <w:rFonts w:hint="eastAsia"/>
                    </w:rPr>
                  </w:pPr>
                  <w:r>
                    <w:rPr>
                      <w:rFonts w:hint="eastAsia"/>
                    </w:rPr>
                    <w:t>产生浓度</w:t>
                  </w:r>
                </w:p>
                <w:p>
                  <w:pPr>
                    <w:pStyle w:val="35"/>
                    <w:bidi w:val="0"/>
                    <w:jc w:val="center"/>
                  </w:pPr>
                  <w:r>
                    <w:t>mg/m</w:t>
                  </w:r>
                  <w:r>
                    <w:rPr>
                      <w:rFonts w:hint="default"/>
                    </w:rPr>
                    <w:t>³</w:t>
                  </w:r>
                </w:p>
              </w:tc>
              <w:tc>
                <w:tcPr>
                  <w:tcW w:w="347" w:type="pct"/>
                  <w:noWrap w:val="0"/>
                  <w:vAlign w:val="center"/>
                </w:tcPr>
                <w:p>
                  <w:pPr>
                    <w:pStyle w:val="35"/>
                    <w:bidi w:val="0"/>
                    <w:jc w:val="center"/>
                  </w:pPr>
                  <w:r>
                    <w:rPr>
                      <w:rFonts w:hint="eastAsia"/>
                    </w:rPr>
                    <w:t>产生速率</w:t>
                  </w:r>
                  <w:r>
                    <w:t>kg/h</w:t>
                  </w:r>
                </w:p>
              </w:tc>
              <w:tc>
                <w:tcPr>
                  <w:tcW w:w="363" w:type="pct"/>
                  <w:noWrap w:val="0"/>
                  <w:vAlign w:val="center"/>
                </w:tcPr>
                <w:p>
                  <w:pPr>
                    <w:pStyle w:val="35"/>
                    <w:bidi w:val="0"/>
                    <w:jc w:val="center"/>
                    <w:rPr>
                      <w:rFonts w:hint="eastAsia"/>
                    </w:rPr>
                  </w:pPr>
                  <w:r>
                    <w:rPr>
                      <w:rFonts w:hint="eastAsia"/>
                    </w:rPr>
                    <w:t>产生量</w:t>
                  </w:r>
                </w:p>
                <w:p>
                  <w:pPr>
                    <w:pStyle w:val="35"/>
                    <w:bidi w:val="0"/>
                    <w:jc w:val="center"/>
                  </w:pPr>
                  <w:r>
                    <w:t>t/a</w:t>
                  </w:r>
                </w:p>
              </w:tc>
              <w:tc>
                <w:tcPr>
                  <w:tcW w:w="628" w:type="pct"/>
                  <w:vMerge w:val="continue"/>
                  <w:noWrap w:val="0"/>
                  <w:vAlign w:val="center"/>
                </w:tcPr>
                <w:p>
                  <w:pPr>
                    <w:pStyle w:val="35"/>
                    <w:bidi w:val="0"/>
                    <w:jc w:val="center"/>
                  </w:pPr>
                </w:p>
              </w:tc>
              <w:tc>
                <w:tcPr>
                  <w:tcW w:w="357" w:type="pct"/>
                  <w:noWrap w:val="0"/>
                  <w:vAlign w:val="center"/>
                </w:tcPr>
                <w:p>
                  <w:pPr>
                    <w:pStyle w:val="35"/>
                    <w:bidi w:val="0"/>
                    <w:jc w:val="center"/>
                    <w:rPr>
                      <w:rFonts w:hint="eastAsia"/>
                    </w:rPr>
                  </w:pPr>
                  <w:r>
                    <w:rPr>
                      <w:rFonts w:hint="eastAsia"/>
                    </w:rPr>
                    <w:t>排放浓度</w:t>
                  </w:r>
                </w:p>
                <w:p>
                  <w:pPr>
                    <w:pStyle w:val="35"/>
                    <w:bidi w:val="0"/>
                    <w:jc w:val="center"/>
                  </w:pPr>
                  <w:r>
                    <w:t>mg/m</w:t>
                  </w:r>
                  <w:r>
                    <w:rPr>
                      <w:rFonts w:hint="default"/>
                    </w:rPr>
                    <w:t>³</w:t>
                  </w:r>
                </w:p>
              </w:tc>
              <w:tc>
                <w:tcPr>
                  <w:tcW w:w="347" w:type="pct"/>
                  <w:noWrap w:val="0"/>
                  <w:vAlign w:val="center"/>
                </w:tcPr>
                <w:p>
                  <w:pPr>
                    <w:pStyle w:val="35"/>
                    <w:bidi w:val="0"/>
                    <w:jc w:val="center"/>
                  </w:pPr>
                  <w:r>
                    <w:rPr>
                      <w:rFonts w:hint="eastAsia"/>
                    </w:rPr>
                    <w:t xml:space="preserve">排放速率 </w:t>
                  </w:r>
                  <w:r>
                    <w:t>kg/h</w:t>
                  </w:r>
                </w:p>
              </w:tc>
              <w:tc>
                <w:tcPr>
                  <w:tcW w:w="428" w:type="pct"/>
                  <w:noWrap w:val="0"/>
                  <w:vAlign w:val="center"/>
                </w:tcPr>
                <w:p>
                  <w:pPr>
                    <w:pStyle w:val="35"/>
                    <w:bidi w:val="0"/>
                    <w:jc w:val="center"/>
                    <w:rPr>
                      <w:rFonts w:hint="eastAsia"/>
                    </w:rPr>
                  </w:pPr>
                  <w:r>
                    <w:rPr>
                      <w:rFonts w:hint="eastAsia"/>
                    </w:rPr>
                    <w:t>排放量</w:t>
                  </w:r>
                </w:p>
                <w:p>
                  <w:pPr>
                    <w:pStyle w:val="35"/>
                    <w:bidi w:val="0"/>
                    <w:jc w:val="center"/>
                  </w:pPr>
                  <w:r>
                    <w:t>t/a</w:t>
                  </w:r>
                </w:p>
              </w:tc>
              <w:tc>
                <w:tcPr>
                  <w:tcW w:w="1101" w:type="pct"/>
                  <w:vMerge w:val="continue"/>
                  <w:noWrap w:val="0"/>
                  <w:vAlign w:val="center"/>
                </w:tcPr>
                <w:p>
                  <w:pPr>
                    <w:pStyle w:val="35"/>
                    <w:bidi w:val="0"/>
                    <w:jc w:val="center"/>
                  </w:pPr>
                </w:p>
              </w:tc>
              <w:tc>
                <w:tcPr>
                  <w:tcW w:w="357" w:type="pct"/>
                  <w:vMerge w:val="continue"/>
                  <w:noWrap w:val="0"/>
                  <w:vAlign w:val="center"/>
                </w:tcPr>
                <w:p>
                  <w:pPr>
                    <w:pStyle w:val="35"/>
                    <w:bidi w:val="0"/>
                    <w:jc w:val="cente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54" w:type="pct"/>
                  <w:vMerge w:val="continue"/>
                  <w:noWrap w:val="0"/>
                  <w:vAlign w:val="center"/>
                </w:tcPr>
                <w:p>
                  <w:pPr>
                    <w:pStyle w:val="35"/>
                    <w:bidi w:val="0"/>
                    <w:jc w:val="center"/>
                  </w:pPr>
                </w:p>
              </w:tc>
              <w:tc>
                <w:tcPr>
                  <w:tcW w:w="225" w:type="pct"/>
                  <w:noWrap w:val="0"/>
                  <w:vAlign w:val="center"/>
                </w:tcPr>
                <w:p>
                  <w:pPr>
                    <w:pStyle w:val="35"/>
                    <w:bidi w:val="0"/>
                    <w:jc w:val="center"/>
                    <w:rPr>
                      <w:rFonts w:hint="eastAsia" w:eastAsia="宋体"/>
                      <w:lang w:eastAsia="zh-CN"/>
                    </w:rPr>
                  </w:pPr>
                  <w:r>
                    <w:rPr>
                      <w:rFonts w:hint="eastAsia"/>
                    </w:rPr>
                    <w:t>油气</w:t>
                  </w:r>
                </w:p>
              </w:tc>
              <w:tc>
                <w:tcPr>
                  <w:tcW w:w="329" w:type="pct"/>
                  <w:noWrap w:val="0"/>
                  <w:vAlign w:val="center"/>
                </w:tcPr>
                <w:p>
                  <w:pPr>
                    <w:pStyle w:val="35"/>
                    <w:bidi w:val="0"/>
                    <w:jc w:val="center"/>
                    <w:rPr>
                      <w:rFonts w:hint="default" w:ascii="Times New Roman" w:hAnsi="Times New Roman" w:eastAsia="宋体" w:cs="Times New Roman"/>
                      <w:kern w:val="2"/>
                      <w:sz w:val="21"/>
                      <w:szCs w:val="21"/>
                      <w:lang w:val="en-US" w:eastAsia="zh-CN" w:bidi="ar-SA"/>
                    </w:rPr>
                  </w:pPr>
                  <w:r>
                    <w:rPr>
                      <w:rFonts w:hint="eastAsia" w:cs="Times New Roman"/>
                      <w:kern w:val="2"/>
                      <w:sz w:val="21"/>
                      <w:szCs w:val="21"/>
                      <w:lang w:val="en-US" w:eastAsia="zh-CN" w:bidi="ar-SA"/>
                    </w:rPr>
                    <w:t>非甲烷总烃</w:t>
                  </w:r>
                </w:p>
              </w:tc>
              <w:tc>
                <w:tcPr>
                  <w:tcW w:w="357" w:type="pct"/>
                  <w:noWrap w:val="0"/>
                  <w:vAlign w:val="center"/>
                </w:tcPr>
                <w:p>
                  <w:pPr>
                    <w:pStyle w:val="35"/>
                    <w:bidi w:val="0"/>
                    <w:jc w:val="center"/>
                    <w:rPr>
                      <w:rFonts w:hint="default" w:eastAsia="宋体"/>
                      <w:lang w:val="en-US" w:eastAsia="zh-CN"/>
                    </w:rPr>
                  </w:pPr>
                  <w:r>
                    <w:rPr>
                      <w:rFonts w:hint="eastAsia"/>
                      <w:lang w:val="en-US" w:eastAsia="zh-CN"/>
                    </w:rPr>
                    <w:t>/</w:t>
                  </w:r>
                </w:p>
              </w:tc>
              <w:tc>
                <w:tcPr>
                  <w:tcW w:w="347" w:type="pct"/>
                  <w:noWrap w:val="0"/>
                  <w:vAlign w:val="center"/>
                </w:tcPr>
                <w:p>
                  <w:pPr>
                    <w:pStyle w:val="35"/>
                    <w:bidi w:val="0"/>
                    <w:jc w:val="center"/>
                    <w:rPr>
                      <w:rFonts w:hint="default" w:eastAsia="宋体"/>
                      <w:lang w:val="en-US" w:eastAsia="zh-CN"/>
                    </w:rPr>
                  </w:pPr>
                  <w:r>
                    <w:rPr>
                      <w:rFonts w:hint="eastAsia"/>
                      <w:lang w:val="en-US" w:eastAsia="zh-CN"/>
                    </w:rPr>
                    <w:t>0.408</w:t>
                  </w:r>
                </w:p>
              </w:tc>
              <w:tc>
                <w:tcPr>
                  <w:tcW w:w="363" w:type="pct"/>
                  <w:noWrap w:val="0"/>
                  <w:vAlign w:val="center"/>
                </w:tcPr>
                <w:p>
                  <w:pPr>
                    <w:pStyle w:val="35"/>
                    <w:bidi w:val="0"/>
                    <w:jc w:val="center"/>
                    <w:rPr>
                      <w:rFonts w:hint="default"/>
                      <w:lang w:val="en-US"/>
                    </w:rPr>
                  </w:pPr>
                  <w:r>
                    <w:rPr>
                      <w:rFonts w:hint="eastAsia"/>
                      <w:lang w:val="en-US" w:eastAsia="zh-CN"/>
                    </w:rPr>
                    <w:t>3.574</w:t>
                  </w:r>
                </w:p>
              </w:tc>
              <w:tc>
                <w:tcPr>
                  <w:tcW w:w="628" w:type="pct"/>
                  <w:noWrap w:val="0"/>
                  <w:vAlign w:val="center"/>
                </w:tcPr>
                <w:p>
                  <w:pPr>
                    <w:pStyle w:val="35"/>
                    <w:bidi w:val="0"/>
                    <w:jc w:val="center"/>
                    <w:rPr>
                      <w:rFonts w:hint="eastAsia" w:eastAsia="宋体"/>
                      <w:lang w:eastAsia="zh-CN"/>
                    </w:rPr>
                  </w:pPr>
                  <w:r>
                    <w:t>油气回收</w:t>
                  </w:r>
                  <w:r>
                    <w:rPr>
                      <w:rFonts w:hint="eastAsia"/>
                      <w:lang w:eastAsia="zh-CN"/>
                    </w:rPr>
                    <w:t>装置</w:t>
                  </w:r>
                </w:p>
              </w:tc>
              <w:tc>
                <w:tcPr>
                  <w:tcW w:w="357" w:type="pct"/>
                  <w:noWrap w:val="0"/>
                  <w:vAlign w:val="center"/>
                </w:tcPr>
                <w:p>
                  <w:pPr>
                    <w:pStyle w:val="35"/>
                    <w:bidi w:val="0"/>
                    <w:jc w:val="center"/>
                    <w:rPr>
                      <w:rFonts w:hint="default"/>
                      <w:lang w:val="en-US" w:eastAsia="zh-CN"/>
                    </w:rPr>
                  </w:pPr>
                  <w:r>
                    <w:rPr>
                      <w:rFonts w:hint="eastAsia"/>
                      <w:lang w:val="en-US" w:eastAsia="zh-CN"/>
                    </w:rPr>
                    <w:t>/</w:t>
                  </w:r>
                </w:p>
              </w:tc>
              <w:tc>
                <w:tcPr>
                  <w:tcW w:w="347" w:type="pct"/>
                  <w:noWrap w:val="0"/>
                  <w:vAlign w:val="center"/>
                </w:tcPr>
                <w:p>
                  <w:pPr>
                    <w:pStyle w:val="35"/>
                    <w:bidi w:val="0"/>
                    <w:jc w:val="center"/>
                    <w:rPr>
                      <w:rFonts w:hint="default" w:eastAsia="宋体"/>
                      <w:lang w:val="en-US" w:eastAsia="zh-CN"/>
                    </w:rPr>
                  </w:pPr>
                  <w:r>
                    <w:rPr>
                      <w:rFonts w:hint="eastAsia"/>
                      <w:lang w:val="en-US" w:eastAsia="zh-CN"/>
                    </w:rPr>
                    <w:t>0.063</w:t>
                  </w:r>
                </w:p>
              </w:tc>
              <w:tc>
                <w:tcPr>
                  <w:tcW w:w="428" w:type="pct"/>
                  <w:noWrap w:val="0"/>
                  <w:vAlign w:val="center"/>
                </w:tcPr>
                <w:p>
                  <w:pPr>
                    <w:pStyle w:val="35"/>
                    <w:bidi w:val="0"/>
                    <w:jc w:val="center"/>
                    <w:rPr>
                      <w:rFonts w:hint="default"/>
                      <w:lang w:val="en-US" w:eastAsia="zh-CN"/>
                    </w:rPr>
                  </w:pPr>
                  <w:r>
                    <w:rPr>
                      <w:rFonts w:hint="eastAsia"/>
                      <w:lang w:val="en-US" w:eastAsia="zh-CN"/>
                    </w:rPr>
                    <w:t>0.556</w:t>
                  </w:r>
                </w:p>
              </w:tc>
              <w:tc>
                <w:tcPr>
                  <w:tcW w:w="1101" w:type="pct"/>
                  <w:noWrap w:val="0"/>
                  <w:vAlign w:val="center"/>
                </w:tcPr>
                <w:p>
                  <w:pPr>
                    <w:pStyle w:val="35"/>
                    <w:bidi w:val="0"/>
                    <w:jc w:val="center"/>
                    <w:rPr>
                      <w:rFonts w:hint="eastAsia"/>
                      <w:lang w:val="en-US" w:eastAsia="zh-CN"/>
                    </w:rPr>
                  </w:pPr>
                  <w:r>
                    <w:rPr>
                      <w:rFonts w:hint="eastAsia"/>
                      <w:lang w:eastAsia="zh-CN"/>
                    </w:rPr>
                    <w:t>《加油站大气污染物排放标准》（GB20952-2020）</w:t>
                  </w:r>
                  <w:r>
                    <w:t>无组织排放浓度限</w:t>
                  </w:r>
                  <w:r>
                    <w:rPr>
                      <w:rFonts w:hint="eastAsia"/>
                      <w:lang w:eastAsia="zh-CN"/>
                    </w:rPr>
                    <w:t>值</w:t>
                  </w:r>
                </w:p>
              </w:tc>
              <w:tc>
                <w:tcPr>
                  <w:tcW w:w="357" w:type="pct"/>
                  <w:vMerge w:val="restart"/>
                  <w:noWrap w:val="0"/>
                  <w:vAlign w:val="center"/>
                </w:tcPr>
                <w:p>
                  <w:pPr>
                    <w:pStyle w:val="35"/>
                    <w:bidi w:val="0"/>
                    <w:jc w:val="center"/>
                    <w:rPr>
                      <w:rFonts w:hint="eastAsia" w:eastAsia="宋体"/>
                      <w:lang w:eastAsia="zh-CN"/>
                    </w:rPr>
                  </w:pPr>
                  <w:r>
                    <w:rPr>
                      <w:rFonts w:hint="eastAsia"/>
                      <w:lang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7" w:hRule="atLeast"/>
                <w:jc w:val="center"/>
              </w:trPr>
              <w:tc>
                <w:tcPr>
                  <w:tcW w:w="154" w:type="pct"/>
                  <w:vMerge w:val="continue"/>
                  <w:noWrap w:val="0"/>
                  <w:vAlign w:val="center"/>
                </w:tcPr>
                <w:p>
                  <w:pPr>
                    <w:pStyle w:val="35"/>
                    <w:bidi w:val="0"/>
                    <w:jc w:val="center"/>
                  </w:pPr>
                </w:p>
              </w:tc>
              <w:tc>
                <w:tcPr>
                  <w:tcW w:w="225" w:type="pct"/>
                  <w:noWrap w:val="0"/>
                  <w:vAlign w:val="center"/>
                </w:tcPr>
                <w:p>
                  <w:pPr>
                    <w:pStyle w:val="35"/>
                    <w:bidi w:val="0"/>
                    <w:jc w:val="center"/>
                    <w:rPr>
                      <w:rFonts w:hint="eastAsia"/>
                    </w:rPr>
                  </w:pPr>
                  <w:r>
                    <w:rPr>
                      <w:rFonts w:hint="eastAsia"/>
                      <w:lang w:val="en-US" w:eastAsia="zh-CN"/>
                    </w:rPr>
                    <w:t>食堂</w:t>
                  </w:r>
                  <w:r>
                    <w:rPr>
                      <w:lang w:val="en-US"/>
                    </w:rPr>
                    <w:t>油烟</w:t>
                  </w:r>
                </w:p>
              </w:tc>
              <w:tc>
                <w:tcPr>
                  <w:tcW w:w="329" w:type="pct"/>
                  <w:noWrap w:val="0"/>
                  <w:vAlign w:val="center"/>
                </w:tcPr>
                <w:p>
                  <w:pPr>
                    <w:pStyle w:val="35"/>
                    <w:bidi w:val="0"/>
                    <w:jc w:val="center"/>
                  </w:pPr>
                  <w:r>
                    <w:rPr>
                      <w:lang w:val="en-US"/>
                    </w:rPr>
                    <w:t>油烟</w:t>
                  </w:r>
                </w:p>
              </w:tc>
              <w:tc>
                <w:tcPr>
                  <w:tcW w:w="357" w:type="pct"/>
                  <w:noWrap w:val="0"/>
                  <w:vAlign w:val="center"/>
                </w:tcPr>
                <w:p>
                  <w:pPr>
                    <w:pStyle w:val="35"/>
                    <w:bidi w:val="0"/>
                    <w:jc w:val="center"/>
                    <w:rPr>
                      <w:rFonts w:hint="eastAsia" w:eastAsia="宋体"/>
                      <w:lang w:val="en-US" w:eastAsia="zh-CN"/>
                    </w:rPr>
                  </w:pPr>
                  <w:r>
                    <w:rPr>
                      <w:rFonts w:hint="eastAsia"/>
                      <w:lang w:val="en-US" w:eastAsia="zh-CN"/>
                    </w:rPr>
                    <w:t>1.03</w:t>
                  </w:r>
                </w:p>
              </w:tc>
              <w:tc>
                <w:tcPr>
                  <w:tcW w:w="347" w:type="pct"/>
                  <w:noWrap w:val="0"/>
                  <w:vAlign w:val="center"/>
                </w:tcPr>
                <w:p>
                  <w:pPr>
                    <w:pStyle w:val="35"/>
                    <w:bidi w:val="0"/>
                    <w:jc w:val="center"/>
                    <w:rPr>
                      <w:rFonts w:hint="eastAsia" w:eastAsia="宋体"/>
                      <w:lang w:val="en-US" w:eastAsia="zh-CN"/>
                    </w:rPr>
                  </w:pPr>
                  <w:r>
                    <w:rPr>
                      <w:rFonts w:hint="eastAsia"/>
                      <w:lang w:val="en-US" w:eastAsia="zh-CN"/>
                    </w:rPr>
                    <w:t>/</w:t>
                  </w:r>
                </w:p>
              </w:tc>
              <w:tc>
                <w:tcPr>
                  <w:tcW w:w="363" w:type="pct"/>
                  <w:noWrap w:val="0"/>
                  <w:vAlign w:val="center"/>
                </w:tcPr>
                <w:p>
                  <w:pPr>
                    <w:pStyle w:val="35"/>
                    <w:bidi w:val="0"/>
                    <w:jc w:val="center"/>
                    <w:rPr>
                      <w:rFonts w:hint="default"/>
                      <w:lang w:val="en-US" w:eastAsia="zh-CN"/>
                    </w:rPr>
                  </w:pPr>
                  <w:r>
                    <w:rPr>
                      <w:rFonts w:hint="eastAsia"/>
                      <w:lang w:val="en-US" w:eastAsia="zh-CN"/>
                    </w:rPr>
                    <w:t>0.003</w:t>
                  </w:r>
                </w:p>
              </w:tc>
              <w:tc>
                <w:tcPr>
                  <w:tcW w:w="628" w:type="pct"/>
                  <w:noWrap w:val="0"/>
                  <w:vAlign w:val="center"/>
                </w:tcPr>
                <w:p>
                  <w:pPr>
                    <w:pStyle w:val="35"/>
                    <w:bidi w:val="0"/>
                    <w:jc w:val="center"/>
                  </w:pPr>
                  <w:r>
                    <w:rPr>
                      <w:lang w:val="en-US"/>
                    </w:rPr>
                    <w:t>油烟净化器</w:t>
                  </w:r>
                </w:p>
              </w:tc>
              <w:tc>
                <w:tcPr>
                  <w:tcW w:w="357" w:type="pct"/>
                  <w:noWrap w:val="0"/>
                  <w:vAlign w:val="center"/>
                </w:tcPr>
                <w:p>
                  <w:pPr>
                    <w:pStyle w:val="35"/>
                    <w:bidi w:val="0"/>
                    <w:jc w:val="center"/>
                    <w:rPr>
                      <w:rFonts w:hint="default"/>
                      <w:lang w:val="en-US" w:eastAsia="zh-CN"/>
                    </w:rPr>
                  </w:pPr>
                  <w:r>
                    <w:rPr>
                      <w:rFonts w:hint="eastAsia"/>
                      <w:lang w:val="en-US" w:eastAsia="zh-CN"/>
                    </w:rPr>
                    <w:t>0.34</w:t>
                  </w:r>
                </w:p>
              </w:tc>
              <w:tc>
                <w:tcPr>
                  <w:tcW w:w="347" w:type="pct"/>
                  <w:noWrap w:val="0"/>
                  <w:vAlign w:val="center"/>
                </w:tcPr>
                <w:p>
                  <w:pPr>
                    <w:pStyle w:val="35"/>
                    <w:bidi w:val="0"/>
                    <w:jc w:val="center"/>
                    <w:rPr>
                      <w:rFonts w:hint="eastAsia" w:eastAsia="宋体"/>
                      <w:lang w:val="en-US" w:eastAsia="zh-CN"/>
                    </w:rPr>
                  </w:pPr>
                  <w:r>
                    <w:rPr>
                      <w:rFonts w:hint="eastAsia"/>
                      <w:lang w:val="en-US" w:eastAsia="zh-CN"/>
                    </w:rPr>
                    <w:t>/</w:t>
                  </w:r>
                </w:p>
              </w:tc>
              <w:tc>
                <w:tcPr>
                  <w:tcW w:w="428" w:type="pct"/>
                  <w:noWrap w:val="0"/>
                  <w:vAlign w:val="center"/>
                </w:tcPr>
                <w:p>
                  <w:pPr>
                    <w:pStyle w:val="35"/>
                    <w:bidi w:val="0"/>
                    <w:jc w:val="center"/>
                    <w:rPr>
                      <w:rFonts w:hint="default"/>
                      <w:lang w:val="en-US" w:eastAsia="zh-CN"/>
                    </w:rPr>
                  </w:pPr>
                  <w:r>
                    <w:rPr>
                      <w:rFonts w:hint="eastAsia"/>
                      <w:lang w:val="en-US" w:eastAsia="zh-CN"/>
                    </w:rPr>
                    <w:t>0.001</w:t>
                  </w:r>
                </w:p>
              </w:tc>
              <w:tc>
                <w:tcPr>
                  <w:tcW w:w="1101" w:type="pct"/>
                  <w:noWrap w:val="0"/>
                  <w:vAlign w:val="center"/>
                </w:tcPr>
                <w:p>
                  <w:pPr>
                    <w:pStyle w:val="35"/>
                    <w:bidi w:val="0"/>
                    <w:jc w:val="center"/>
                    <w:rPr>
                      <w:rFonts w:hint="eastAsia"/>
                      <w:lang w:eastAsia="zh-CN"/>
                    </w:rPr>
                  </w:pPr>
                  <w:r>
                    <w:rPr>
                      <w:rFonts w:hint="eastAsia"/>
                    </w:rPr>
                    <w:t>《饮食业油烟排放标准》</w:t>
                  </w:r>
                  <w:r>
                    <w:t>(GB 18483-2001)</w:t>
                  </w:r>
                </w:p>
              </w:tc>
              <w:tc>
                <w:tcPr>
                  <w:tcW w:w="357" w:type="pct"/>
                  <w:vMerge w:val="continue"/>
                  <w:noWrap w:val="0"/>
                  <w:vAlign w:val="center"/>
                </w:tcPr>
                <w:p>
                  <w:pPr>
                    <w:pStyle w:val="35"/>
                    <w:bidi w:val="0"/>
                    <w:jc w:val="center"/>
                    <w:rPr>
                      <w:rFonts w:hint="eastAsia"/>
                    </w:rPr>
                  </w:pPr>
                </w:p>
              </w:tc>
            </w:tr>
          </w:tbl>
          <w:p>
            <w:pPr>
              <w:pStyle w:val="14"/>
              <w:ind w:firstLine="480"/>
            </w:pPr>
            <w:r>
              <w:t>本项目污染物排放量核算见下表。</w:t>
            </w:r>
          </w:p>
          <w:p>
            <w:pPr>
              <w:pStyle w:val="14"/>
              <w:ind w:firstLine="480"/>
            </w:pPr>
            <w:r>
              <w:t>（1）废气排放量核算</w:t>
            </w:r>
          </w:p>
          <w:p>
            <w:pPr>
              <w:pStyle w:val="36"/>
              <w:tabs>
                <w:tab w:val="left" w:pos="1021"/>
              </w:tabs>
            </w:pPr>
            <w:r>
              <w:t>表</w:t>
            </w:r>
            <w:r>
              <w:rPr>
                <w:rFonts w:hint="eastAsia"/>
                <w:lang w:val="en-US" w:eastAsia="zh-CN"/>
              </w:rPr>
              <w:t>4.2-4</w:t>
            </w:r>
            <w:r>
              <w:t xml:space="preserve">  大气污染物无组织排放量核算表</w:t>
            </w:r>
          </w:p>
          <w:tbl>
            <w:tblPr>
              <w:tblStyle w:val="32"/>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48"/>
              <w:gridCol w:w="752"/>
              <w:gridCol w:w="639"/>
              <w:gridCol w:w="806"/>
              <w:gridCol w:w="1118"/>
              <w:gridCol w:w="1989"/>
              <w:gridCol w:w="1091"/>
              <w:gridCol w:w="8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12" w:type="pct"/>
                  <w:vMerge w:val="restart"/>
                  <w:vAlign w:val="center"/>
                </w:tcPr>
                <w:p>
                  <w:pPr>
                    <w:pStyle w:val="35"/>
                    <w:bidi w:val="0"/>
                  </w:pPr>
                  <w:r>
                    <w:t>序号</w:t>
                  </w:r>
                </w:p>
              </w:tc>
              <w:tc>
                <w:tcPr>
                  <w:tcW w:w="477" w:type="pct"/>
                  <w:vMerge w:val="restart"/>
                  <w:vAlign w:val="center"/>
                </w:tcPr>
                <w:p>
                  <w:pPr>
                    <w:pStyle w:val="35"/>
                    <w:bidi w:val="0"/>
                  </w:pPr>
                  <w:r>
                    <w:t>排放口编号</w:t>
                  </w:r>
                </w:p>
              </w:tc>
              <w:tc>
                <w:tcPr>
                  <w:tcW w:w="406" w:type="pct"/>
                  <w:vMerge w:val="restart"/>
                  <w:vAlign w:val="center"/>
                </w:tcPr>
                <w:p>
                  <w:pPr>
                    <w:pStyle w:val="35"/>
                    <w:bidi w:val="0"/>
                  </w:pPr>
                  <w:r>
                    <w:t>产污环节</w:t>
                  </w:r>
                </w:p>
              </w:tc>
              <w:tc>
                <w:tcPr>
                  <w:tcW w:w="512" w:type="pct"/>
                  <w:vMerge w:val="restart"/>
                  <w:vAlign w:val="center"/>
                </w:tcPr>
                <w:p>
                  <w:pPr>
                    <w:pStyle w:val="35"/>
                    <w:bidi w:val="0"/>
                  </w:pPr>
                  <w:r>
                    <w:t>污染物</w:t>
                  </w:r>
                </w:p>
              </w:tc>
              <w:tc>
                <w:tcPr>
                  <w:tcW w:w="709" w:type="pct"/>
                  <w:vMerge w:val="restart"/>
                  <w:vAlign w:val="center"/>
                </w:tcPr>
                <w:p>
                  <w:pPr>
                    <w:pStyle w:val="35"/>
                    <w:bidi w:val="0"/>
                  </w:pPr>
                  <w:r>
                    <w:t>主要污染防治措施</w:t>
                  </w:r>
                </w:p>
              </w:tc>
              <w:tc>
                <w:tcPr>
                  <w:tcW w:w="1953" w:type="pct"/>
                  <w:gridSpan w:val="2"/>
                  <w:vAlign w:val="center"/>
                </w:tcPr>
                <w:p>
                  <w:pPr>
                    <w:pStyle w:val="35"/>
                    <w:bidi w:val="0"/>
                  </w:pPr>
                  <w:r>
                    <w:t>国家或地方污染物排放标准</w:t>
                  </w:r>
                </w:p>
              </w:tc>
              <w:tc>
                <w:tcPr>
                  <w:tcW w:w="527" w:type="pct"/>
                  <w:vMerge w:val="restart"/>
                  <w:vAlign w:val="center"/>
                </w:tcPr>
                <w:p>
                  <w:pPr>
                    <w:pStyle w:val="35"/>
                    <w:bidi w:val="0"/>
                  </w:pPr>
                  <w:r>
                    <w:t>年排放量（t/a）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12" w:type="pct"/>
                  <w:vMerge w:val="continue"/>
                  <w:vAlign w:val="center"/>
                </w:tcPr>
                <w:p>
                  <w:pPr>
                    <w:pStyle w:val="35"/>
                    <w:bidi w:val="0"/>
                  </w:pPr>
                </w:p>
              </w:tc>
              <w:tc>
                <w:tcPr>
                  <w:tcW w:w="477" w:type="pct"/>
                  <w:vMerge w:val="continue"/>
                  <w:vAlign w:val="center"/>
                </w:tcPr>
                <w:p>
                  <w:pPr>
                    <w:pStyle w:val="35"/>
                    <w:bidi w:val="0"/>
                  </w:pPr>
                </w:p>
              </w:tc>
              <w:tc>
                <w:tcPr>
                  <w:tcW w:w="406" w:type="pct"/>
                  <w:vMerge w:val="continue"/>
                  <w:vAlign w:val="center"/>
                </w:tcPr>
                <w:p>
                  <w:pPr>
                    <w:pStyle w:val="35"/>
                    <w:bidi w:val="0"/>
                  </w:pPr>
                </w:p>
              </w:tc>
              <w:tc>
                <w:tcPr>
                  <w:tcW w:w="512" w:type="pct"/>
                  <w:vMerge w:val="continue"/>
                  <w:vAlign w:val="center"/>
                </w:tcPr>
                <w:p>
                  <w:pPr>
                    <w:pStyle w:val="35"/>
                    <w:bidi w:val="0"/>
                  </w:pPr>
                </w:p>
              </w:tc>
              <w:tc>
                <w:tcPr>
                  <w:tcW w:w="709" w:type="pct"/>
                  <w:vMerge w:val="continue"/>
                  <w:vAlign w:val="center"/>
                </w:tcPr>
                <w:p>
                  <w:pPr>
                    <w:pStyle w:val="35"/>
                    <w:bidi w:val="0"/>
                  </w:pPr>
                </w:p>
              </w:tc>
              <w:tc>
                <w:tcPr>
                  <w:tcW w:w="1261" w:type="pct"/>
                  <w:vAlign w:val="center"/>
                </w:tcPr>
                <w:p>
                  <w:pPr>
                    <w:pStyle w:val="35"/>
                    <w:bidi w:val="0"/>
                  </w:pPr>
                  <w:r>
                    <w:t>标准名称</w:t>
                  </w:r>
                </w:p>
              </w:tc>
              <w:tc>
                <w:tcPr>
                  <w:tcW w:w="692" w:type="pct"/>
                  <w:vAlign w:val="center"/>
                </w:tcPr>
                <w:p>
                  <w:pPr>
                    <w:pStyle w:val="35"/>
                    <w:bidi w:val="0"/>
                  </w:pPr>
                  <w:r>
                    <w:t>浓度限值mg/m³</w:t>
                  </w:r>
                </w:p>
              </w:tc>
              <w:tc>
                <w:tcPr>
                  <w:tcW w:w="527" w:type="pct"/>
                  <w:vMerge w:val="continue"/>
                  <w:vAlign w:val="center"/>
                </w:tcPr>
                <w:p>
                  <w:pPr>
                    <w:pStyle w:val="35"/>
                    <w:bidi w:val="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12" w:type="pct"/>
                  <w:vAlign w:val="center"/>
                </w:tcPr>
                <w:p>
                  <w:pPr>
                    <w:pStyle w:val="35"/>
                    <w:bidi w:val="0"/>
                  </w:pPr>
                  <w:r>
                    <w:t>1</w:t>
                  </w:r>
                </w:p>
              </w:tc>
              <w:tc>
                <w:tcPr>
                  <w:tcW w:w="477" w:type="pct"/>
                  <w:vAlign w:val="center"/>
                </w:tcPr>
                <w:p>
                  <w:pPr>
                    <w:pStyle w:val="35"/>
                    <w:bidi w:val="0"/>
                    <w:rPr>
                      <w:rFonts w:hint="eastAsia"/>
                      <w:lang w:eastAsia="zh-CN"/>
                    </w:rPr>
                  </w:pPr>
                  <w:r>
                    <w:rPr>
                      <w:rFonts w:hint="eastAsia"/>
                      <w:lang w:val="en-US" w:eastAsia="zh-CN"/>
                    </w:rPr>
                    <w:t>/</w:t>
                  </w:r>
                </w:p>
              </w:tc>
              <w:tc>
                <w:tcPr>
                  <w:tcW w:w="406" w:type="pct"/>
                  <w:vAlign w:val="center"/>
                </w:tcPr>
                <w:p>
                  <w:pPr>
                    <w:pStyle w:val="35"/>
                    <w:bidi w:val="0"/>
                  </w:pPr>
                  <w:r>
                    <w:rPr>
                      <w:rFonts w:hint="eastAsia"/>
                      <w:lang w:val="en-US" w:eastAsia="zh-CN"/>
                    </w:rPr>
                    <w:t>储罐大小呼吸、加油作业</w:t>
                  </w:r>
                  <w:r>
                    <w:t xml:space="preserve"> </w:t>
                  </w:r>
                </w:p>
              </w:tc>
              <w:tc>
                <w:tcPr>
                  <w:tcW w:w="512" w:type="pct"/>
                  <w:vAlign w:val="center"/>
                </w:tcPr>
                <w:p>
                  <w:pPr>
                    <w:pStyle w:val="35"/>
                    <w:bidi w:val="0"/>
                  </w:pPr>
                  <w:r>
                    <w:rPr>
                      <w:rFonts w:hint="eastAsia"/>
                      <w:i w:val="0"/>
                      <w:iCs w:val="0"/>
                      <w:szCs w:val="21"/>
                      <w:u w:val="none" w:color="auto"/>
                      <w:lang w:val="en-US" w:eastAsia="zh-CN"/>
                    </w:rPr>
                    <w:t>非甲烷总烃</w:t>
                  </w:r>
                </w:p>
              </w:tc>
              <w:tc>
                <w:tcPr>
                  <w:tcW w:w="709" w:type="pct"/>
                  <w:vAlign w:val="center"/>
                </w:tcPr>
                <w:p>
                  <w:pPr>
                    <w:pStyle w:val="35"/>
                    <w:bidi w:val="0"/>
                    <w:rPr>
                      <w:rFonts w:hint="eastAsia"/>
                      <w:lang w:eastAsia="zh-CN"/>
                    </w:rPr>
                  </w:pPr>
                  <w:r>
                    <w:rPr>
                      <w:rFonts w:hint="eastAsia"/>
                      <w:lang w:val="en-US" w:eastAsia="zh-CN"/>
                    </w:rPr>
                    <w:t>汽油大呼吸、加油作业油气回收</w:t>
                  </w:r>
                </w:p>
              </w:tc>
              <w:tc>
                <w:tcPr>
                  <w:tcW w:w="1261" w:type="pct"/>
                  <w:vAlign w:val="center"/>
                </w:tcPr>
                <w:p>
                  <w:pPr>
                    <w:pStyle w:val="35"/>
                    <w:bidi w:val="0"/>
                    <w:rPr>
                      <w:rFonts w:hint="eastAsia"/>
                      <w:lang w:eastAsia="zh-CN"/>
                    </w:rPr>
                  </w:pPr>
                  <w:r>
                    <w:rPr>
                      <w:rFonts w:hint="eastAsia"/>
                    </w:rPr>
                    <w:t>《加油站大气污染物排放标准》（GB20952-20</w:t>
                  </w:r>
                  <w:r>
                    <w:rPr>
                      <w:rFonts w:hint="eastAsia"/>
                      <w:lang w:val="en-US" w:eastAsia="zh-CN"/>
                    </w:rPr>
                    <w:t>20</w:t>
                  </w:r>
                  <w:r>
                    <w:rPr>
                      <w:rFonts w:hint="eastAsia"/>
                    </w:rPr>
                    <w:t>）</w:t>
                  </w:r>
                  <w:r>
                    <w:rPr>
                      <w:rFonts w:hint="eastAsia"/>
                      <w:lang w:val="en-US" w:eastAsia="zh-CN"/>
                    </w:rPr>
                    <w:t>标准限值</w:t>
                  </w:r>
                </w:p>
              </w:tc>
              <w:tc>
                <w:tcPr>
                  <w:tcW w:w="692" w:type="pct"/>
                  <w:vAlign w:val="center"/>
                </w:tcPr>
                <w:p>
                  <w:pPr>
                    <w:pStyle w:val="35"/>
                    <w:bidi w:val="0"/>
                  </w:pPr>
                  <w:r>
                    <w:rPr>
                      <w:rFonts w:hint="eastAsia"/>
                    </w:rPr>
                    <w:t>4</w:t>
                  </w:r>
                  <w:r>
                    <w:t>.0</w:t>
                  </w:r>
                </w:p>
              </w:tc>
              <w:tc>
                <w:tcPr>
                  <w:tcW w:w="527" w:type="pct"/>
                  <w:vAlign w:val="center"/>
                </w:tcPr>
                <w:p>
                  <w:pPr>
                    <w:pStyle w:val="35"/>
                    <w:bidi w:val="0"/>
                    <w:rPr>
                      <w:rFonts w:hint="default"/>
                      <w:lang w:val="en-US" w:eastAsia="zh-CN"/>
                    </w:rPr>
                  </w:pPr>
                  <w:r>
                    <w:rPr>
                      <w:rFonts w:hint="eastAsia"/>
                      <w:lang w:val="en-US" w:eastAsia="zh-CN"/>
                    </w:rPr>
                    <w:t>0.556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412" w:type="pct"/>
                  <w:vAlign w:val="center"/>
                </w:tcPr>
                <w:p>
                  <w:pPr>
                    <w:pStyle w:val="35"/>
                    <w:bidi w:val="0"/>
                  </w:pPr>
                </w:p>
              </w:tc>
              <w:tc>
                <w:tcPr>
                  <w:tcW w:w="4587" w:type="pct"/>
                  <w:gridSpan w:val="7"/>
                  <w:vAlign w:val="center"/>
                </w:tcPr>
                <w:p>
                  <w:pPr>
                    <w:pStyle w:val="35"/>
                    <w:bidi w:val="0"/>
                  </w:pPr>
                  <w:r>
                    <w:t>无组织排放总计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90" w:type="pct"/>
                  <w:gridSpan w:val="2"/>
                  <w:vAlign w:val="center"/>
                </w:tcPr>
                <w:p>
                  <w:pPr>
                    <w:pStyle w:val="35"/>
                    <w:bidi w:val="0"/>
                  </w:pPr>
                  <w:r>
                    <w:t>无组织排放总计</w:t>
                  </w:r>
                </w:p>
              </w:tc>
              <w:tc>
                <w:tcPr>
                  <w:tcW w:w="1628" w:type="pct"/>
                  <w:gridSpan w:val="3"/>
                  <w:vAlign w:val="center"/>
                </w:tcPr>
                <w:p>
                  <w:pPr>
                    <w:pStyle w:val="35"/>
                    <w:bidi w:val="0"/>
                  </w:pPr>
                  <w:r>
                    <w:rPr>
                      <w:rFonts w:hint="eastAsia"/>
                      <w:i w:val="0"/>
                      <w:iCs w:val="0"/>
                      <w:szCs w:val="21"/>
                      <w:u w:val="none" w:color="auto"/>
                      <w:lang w:val="en-US" w:eastAsia="zh-CN"/>
                    </w:rPr>
                    <w:t>非甲烷总烃</w:t>
                  </w:r>
                </w:p>
              </w:tc>
              <w:tc>
                <w:tcPr>
                  <w:tcW w:w="2481" w:type="pct"/>
                  <w:gridSpan w:val="3"/>
                  <w:vAlign w:val="center"/>
                </w:tcPr>
                <w:p>
                  <w:pPr>
                    <w:pStyle w:val="35"/>
                    <w:bidi w:val="0"/>
                    <w:rPr>
                      <w:rFonts w:hint="eastAsia"/>
                      <w:lang w:eastAsia="zh-CN"/>
                    </w:rPr>
                  </w:pPr>
                  <w:r>
                    <w:rPr>
                      <w:rFonts w:hint="eastAsia"/>
                      <w:lang w:val="en-US" w:eastAsia="zh-CN"/>
                    </w:rPr>
                    <w:t>0.556</w:t>
                  </w:r>
                </w:p>
              </w:tc>
            </w:tr>
          </w:tbl>
          <w:p>
            <w:pPr>
              <w:pStyle w:val="14"/>
              <w:bidi w:val="0"/>
            </w:pPr>
            <w:r>
              <w:t>（2）大气污染物年排放量核算</w:t>
            </w:r>
          </w:p>
          <w:p>
            <w:pPr>
              <w:pStyle w:val="36"/>
              <w:bidi w:val="0"/>
            </w:pPr>
            <w:r>
              <w:t>表</w:t>
            </w:r>
            <w:r>
              <w:rPr>
                <w:rFonts w:hint="eastAsia"/>
                <w:lang w:val="en-US" w:eastAsia="zh-CN"/>
              </w:rPr>
              <w:t>4.2-5</w:t>
            </w:r>
            <w:r>
              <w:t xml:space="preserve"> 大气污染物年排放量核算表</w:t>
            </w:r>
          </w:p>
          <w:tbl>
            <w:tblPr>
              <w:tblStyle w:val="31"/>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36"/>
              <w:gridCol w:w="3424"/>
              <w:gridCol w:w="26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64" w:type="pct"/>
                  <w:vAlign w:val="center"/>
                </w:tcPr>
                <w:p>
                  <w:pPr>
                    <w:pStyle w:val="35"/>
                    <w:tabs>
                      <w:tab w:val="left" w:pos="1021"/>
                    </w:tabs>
                  </w:pPr>
                  <w:r>
                    <w:t>序号</w:t>
                  </w:r>
                </w:p>
              </w:tc>
              <w:tc>
                <w:tcPr>
                  <w:tcW w:w="2169" w:type="pct"/>
                  <w:vAlign w:val="center"/>
                </w:tcPr>
                <w:p>
                  <w:pPr>
                    <w:pStyle w:val="35"/>
                    <w:tabs>
                      <w:tab w:val="left" w:pos="1021"/>
                    </w:tabs>
                  </w:pPr>
                  <w:r>
                    <w:t>污染物</w:t>
                  </w:r>
                </w:p>
              </w:tc>
              <w:tc>
                <w:tcPr>
                  <w:tcW w:w="1666" w:type="pct"/>
                  <w:vAlign w:val="center"/>
                </w:tcPr>
                <w:p>
                  <w:pPr>
                    <w:pStyle w:val="35"/>
                    <w:tabs>
                      <w:tab w:val="left" w:pos="1021"/>
                    </w:tabs>
                  </w:pPr>
                  <w:r>
                    <w:t>年排放量/(t/a)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64" w:type="pct"/>
                  <w:vAlign w:val="center"/>
                </w:tcPr>
                <w:p>
                  <w:pPr>
                    <w:pStyle w:val="35"/>
                    <w:tabs>
                      <w:tab w:val="left" w:pos="1021"/>
                    </w:tabs>
                  </w:pPr>
                  <w:r>
                    <w:t>1</w:t>
                  </w:r>
                </w:p>
              </w:tc>
              <w:tc>
                <w:tcPr>
                  <w:tcW w:w="2169" w:type="pct"/>
                  <w:vAlign w:val="center"/>
                </w:tcPr>
                <w:p>
                  <w:pPr>
                    <w:pStyle w:val="35"/>
                    <w:tabs>
                      <w:tab w:val="left" w:pos="1021"/>
                    </w:tabs>
                  </w:pPr>
                  <w:r>
                    <w:rPr>
                      <w:rFonts w:hint="eastAsia"/>
                      <w:i w:val="0"/>
                      <w:iCs w:val="0"/>
                      <w:szCs w:val="21"/>
                      <w:u w:val="none" w:color="auto"/>
                      <w:lang w:val="en-US" w:eastAsia="zh-CN"/>
                    </w:rPr>
                    <w:t>非甲烷总烃</w:t>
                  </w:r>
                </w:p>
              </w:tc>
              <w:tc>
                <w:tcPr>
                  <w:tcW w:w="1666" w:type="pct"/>
                  <w:vAlign w:val="center"/>
                </w:tcPr>
                <w:p>
                  <w:pPr>
                    <w:pStyle w:val="35"/>
                    <w:tabs>
                      <w:tab w:val="left" w:pos="1021"/>
                    </w:tabs>
                    <w:rPr>
                      <w:rFonts w:hint="default" w:eastAsia="宋体"/>
                      <w:lang w:val="en-US" w:eastAsia="zh-CN"/>
                    </w:rPr>
                  </w:pPr>
                  <w:r>
                    <w:rPr>
                      <w:rFonts w:hint="eastAsia"/>
                      <w:lang w:val="en-US" w:eastAsia="zh-CN"/>
                    </w:rPr>
                    <w:t>0.556</w:t>
                  </w:r>
                </w:p>
              </w:tc>
            </w:tr>
          </w:tbl>
          <w:p>
            <w:pPr>
              <w:pStyle w:val="14"/>
              <w:bidi w:val="0"/>
              <w:rPr>
                <w:rFonts w:hint="eastAsia"/>
                <w:lang w:eastAsia="zh-CN"/>
              </w:rPr>
            </w:pPr>
            <w:r>
              <w:rPr>
                <w:rFonts w:hint="eastAsia"/>
                <w:lang w:val="en-US" w:eastAsia="zh-CN"/>
              </w:rPr>
              <w:t>1.3</w:t>
            </w:r>
            <w:r>
              <w:rPr>
                <w:rFonts w:hint="eastAsia"/>
                <w:lang w:eastAsia="zh-CN"/>
              </w:rPr>
              <w:t>废气影响分析</w:t>
            </w:r>
          </w:p>
          <w:p>
            <w:pPr>
              <w:pStyle w:val="14"/>
              <w:bidi w:val="0"/>
            </w:pPr>
            <w:r>
              <w:t>本项目营运期废气主要为卸油、储油、加油等过程挥发到大气环境中的油品废气（非甲烷总烃）、汽车尾气及备用柴油发电机废气。排放方式有有组织排放和无组织排放。</w:t>
            </w:r>
          </w:p>
          <w:p>
            <w:pPr>
              <w:pStyle w:val="14"/>
              <w:ind w:firstLine="480"/>
            </w:pPr>
            <w:r>
              <w:t>（1）油气（非甲烷总烃）</w:t>
            </w:r>
          </w:p>
          <w:p>
            <w:pPr>
              <w:pStyle w:val="14"/>
              <w:ind w:firstLine="480"/>
            </w:pPr>
            <w:r>
              <w:t>油品挥发气体主要成分为非甲烷总烃，根据《湖南省落实《大气污染防治行动计划》实施细则》（2013.12.23），重点任务中第一条</w:t>
            </w:r>
            <w:r>
              <w:rPr>
                <w:rFonts w:hint="eastAsia"/>
              </w:rPr>
              <w:t>“</w:t>
            </w:r>
            <w:r>
              <w:t>实施综合治理，强化多污染物协同减排</w:t>
            </w:r>
            <w:r>
              <w:rPr>
                <w:rFonts w:hint="eastAsia"/>
              </w:rPr>
              <w:t>”</w:t>
            </w:r>
            <w:r>
              <w:t>中明确</w:t>
            </w:r>
            <w:r>
              <w:rPr>
                <w:rFonts w:hint="eastAsia"/>
              </w:rPr>
              <w:t>“</w:t>
            </w:r>
            <w:r>
              <w:t>实施挥发性有机物污染综合治理工程。到2014年底，长株潭三市完成加油站、储油库、油罐车油气回收治理，到2015年底，其它城市完成治理任务</w:t>
            </w:r>
            <w:r>
              <w:rPr>
                <w:rFonts w:hint="eastAsia"/>
              </w:rPr>
              <w:t>”</w:t>
            </w:r>
            <w:r>
              <w:t>。因此，本项目必须安装油气回收系统。</w:t>
            </w:r>
          </w:p>
          <w:p>
            <w:pPr>
              <w:pStyle w:val="14"/>
              <w:ind w:firstLine="480"/>
            </w:pPr>
            <w:r>
              <w:t>建设单位应按照《油气回收系统工程技术导则》（Q/SH 0117.1-2007）的要求配套建设缷油及加油油气回收系统。密闭性符合《加油站大气污染排放标准》（GB20952-</w:t>
            </w:r>
            <w:r>
              <w:rPr>
                <w:rFonts w:hint="eastAsia"/>
              </w:rPr>
              <w:t>2020</w:t>
            </w:r>
            <w:r>
              <w:t>）中表2的要求；液阻符合《加油站大气污染排放标准》（GB20952-</w:t>
            </w:r>
            <w:r>
              <w:rPr>
                <w:rFonts w:hint="eastAsia"/>
              </w:rPr>
              <w:t>2020</w:t>
            </w:r>
            <w:r>
              <w:t>）中表1的要求；气液比符合《加油站大气污染排放标准》（GB20952-</w:t>
            </w:r>
            <w:r>
              <w:rPr>
                <w:rFonts w:hint="eastAsia"/>
              </w:rPr>
              <w:t>2020</w:t>
            </w:r>
            <w:r>
              <w:t>）中4.3.3的要求；油气回收效率达95%以上。</w:t>
            </w:r>
          </w:p>
          <w:p>
            <w:pPr>
              <w:pStyle w:val="14"/>
              <w:ind w:firstLine="480"/>
            </w:pPr>
            <w:r>
              <w:t>加油站油气回收系统分为两个阶段的油气回收，基本原理是：第一阶段油气回收是指油罐车卸油时采用密封式卸油，油罐车卸下一定数量的油品，就需吸入大致相等的气体补气，而加油站内的埋地油罐也因注入油品而向外排出相当数量的油气，此油气经过导管重新输回油罐车内，完成油气循环的卸油过程。第二阶段油气回收是指汽车加油时，利用加油枪上的特殊装置，将原本会由汽车油箱溢散于空气中的油气，经加油枪、抽气马达、回收入油罐内。</w:t>
            </w:r>
          </w:p>
          <w:p>
            <w:pPr>
              <w:pStyle w:val="14"/>
              <w:ind w:firstLine="480"/>
            </w:pPr>
            <w:r>
              <w:t>为了保证油气回收系统正常运行，持有较好的回收处置效率，在施工设计和营运过程中应严格按照《加油站大气污染物排放标准》（GB20952-</w:t>
            </w:r>
            <w:r>
              <w:rPr>
                <w:rFonts w:hint="eastAsia"/>
              </w:rPr>
              <w:t>2020</w:t>
            </w:r>
            <w:r>
              <w:t>）标准做到以下要求。</w:t>
            </w:r>
          </w:p>
          <w:p>
            <w:pPr>
              <w:pStyle w:val="14"/>
              <w:ind w:firstLine="480"/>
            </w:pPr>
            <w:r>
              <w:t>①保证加油油气回收系统的气液比在≥1.0和≤1.2范围内，应每年至少检测1次。</w:t>
            </w:r>
          </w:p>
          <w:p>
            <w:pPr>
              <w:pStyle w:val="14"/>
              <w:ind w:firstLine="480"/>
            </w:pPr>
            <w:r>
              <w:t>②处理装置的油气排放口距地平面高度应≥4m，排放浓度应≤25g/m³，排放浓度每年至少检测1次。</w:t>
            </w:r>
          </w:p>
          <w:p>
            <w:pPr>
              <w:pStyle w:val="14"/>
              <w:ind w:firstLine="480"/>
            </w:pPr>
            <w:r>
              <w:t>③卸油和油气回收接口应安装DN100mm的截流阀、密封式快速接头和帽盖，卸油管出油口距罐底高度应＜200mm，防止加油过程中跑、冒、滴、漏的现象，降低漏油或冒油产生量。</w:t>
            </w:r>
          </w:p>
          <w:p>
            <w:pPr>
              <w:pStyle w:val="14"/>
              <w:ind w:firstLine="480"/>
            </w:pPr>
            <w:r>
              <w:t>④连接排气管的地下管线应坡向油罐，坡度不应＜1%，管线直径≥DN50mm。</w:t>
            </w:r>
          </w:p>
          <w:p>
            <w:pPr>
              <w:pStyle w:val="14"/>
              <w:ind w:firstLine="480"/>
            </w:pPr>
            <w:r>
              <w:t>⑤所有影响储油油气密闭性的部件都应保证在＜750Pa时不漏气。</w:t>
            </w:r>
          </w:p>
          <w:p>
            <w:pPr>
              <w:pStyle w:val="14"/>
              <w:ind w:firstLine="480"/>
            </w:pPr>
            <w:r>
              <w:t>⑥在线监控系统和处理装置压力感应值宜设定在超过+150Pa时启动，低于-150Pa时停止。</w:t>
            </w:r>
          </w:p>
          <w:p>
            <w:pPr>
              <w:pStyle w:val="14"/>
              <w:ind w:firstLine="480"/>
            </w:pPr>
            <w:r>
              <w:t>以上6点中所提及的检测方式及方法应委托相关监测部门严格按《加油站大气污染物排放标准》（GB20952-</w:t>
            </w:r>
            <w:r>
              <w:rPr>
                <w:rFonts w:hint="eastAsia"/>
              </w:rPr>
              <w:t>2020</w:t>
            </w:r>
            <w:r>
              <w:t>）中相应规范要求执行。</w:t>
            </w:r>
          </w:p>
          <w:p>
            <w:pPr>
              <w:pStyle w:val="14"/>
              <w:ind w:firstLine="480"/>
            </w:pPr>
            <w:r>
              <w:t>综上所述，项目在采用相应油气回收系统装置及严格按标准执行操作的基础上，营运期产生的废气对周边大气环境影响较小。</w:t>
            </w:r>
          </w:p>
          <w:p>
            <w:pPr>
              <w:pStyle w:val="14"/>
              <w:ind w:firstLine="480"/>
            </w:pPr>
            <w:r>
              <w:t>（2） 汽车尾气</w:t>
            </w:r>
          </w:p>
          <w:p>
            <w:pPr>
              <w:pStyle w:val="14"/>
              <w:ind w:firstLine="480"/>
            </w:pPr>
            <w:r>
              <w:t>加油站进出车辆较多，会排放一定量的汽车尾气，主要污染物为CO、NOx、TCH等。由于车辆废气排放量较小，在站内行程较短，且所在地较为空旷，自然通风条件良好，一般对环境影响不大。</w:t>
            </w:r>
          </w:p>
          <w:p>
            <w:pPr>
              <w:pStyle w:val="14"/>
              <w:ind w:firstLine="480"/>
            </w:pPr>
            <w:r>
              <w:t>（3）备用燃油发电机</w:t>
            </w:r>
          </w:p>
          <w:p>
            <w:pPr>
              <w:pStyle w:val="14"/>
              <w:ind w:firstLine="480"/>
            </w:pPr>
            <w:r>
              <w:t>建设单位拟设置备用燃油发电机约为</w:t>
            </w:r>
            <w:r>
              <w:rPr>
                <w:rFonts w:hint="eastAsia"/>
              </w:rPr>
              <w:t>30</w:t>
            </w:r>
            <w:r>
              <w:t>kW，仅作为应急供电，选用均为符合国家标准机器，污染物排放量较小且污染物排放浓度符合要求，对环境空气影响较小。</w:t>
            </w:r>
          </w:p>
          <w:p>
            <w:pPr>
              <w:pStyle w:val="14"/>
              <w:numPr>
                <w:ilvl w:val="0"/>
                <w:numId w:val="8"/>
              </w:numPr>
              <w:bidi w:val="0"/>
              <w:rPr>
                <w:rFonts w:hint="eastAsia"/>
                <w:lang w:val="en-US" w:eastAsia="zh-CN"/>
              </w:rPr>
            </w:pPr>
            <w:r>
              <w:rPr>
                <w:rFonts w:hint="eastAsia"/>
                <w:lang w:val="en-US" w:eastAsia="zh-CN"/>
              </w:rPr>
              <w:t>食堂油烟</w:t>
            </w:r>
          </w:p>
          <w:p>
            <w:pPr>
              <w:pStyle w:val="14"/>
              <w:bidi w:val="0"/>
            </w:pPr>
            <w:r>
              <w:t>本项目采用油烟净化器对食堂油烟进行处理后由高于屋顶排气筒外排，净化效率为</w:t>
            </w:r>
            <w:r>
              <w:rPr>
                <w:rFonts w:hint="eastAsia"/>
                <w:lang w:val="en-US" w:eastAsia="zh-CN"/>
              </w:rPr>
              <w:t>60</w:t>
            </w:r>
            <w:r>
              <w:t>%，排放量为</w:t>
            </w:r>
            <w:r>
              <w:rPr>
                <w:rFonts w:hint="eastAsia"/>
              </w:rPr>
              <w:t>0.0</w:t>
            </w:r>
            <w:r>
              <w:rPr>
                <w:rFonts w:hint="eastAsia"/>
                <w:lang w:val="en-US" w:eastAsia="zh-CN"/>
              </w:rPr>
              <w:t>01</w:t>
            </w:r>
            <w:r>
              <w:t>t</w:t>
            </w:r>
            <w:r>
              <w:rPr>
                <w:rFonts w:hint="eastAsia"/>
              </w:rPr>
              <w:t>/</w:t>
            </w:r>
            <w:r>
              <w:t>a，</w:t>
            </w:r>
            <w:r>
              <w:rPr>
                <w:rFonts w:hint="eastAsia"/>
              </w:rPr>
              <w:t>排放</w:t>
            </w:r>
            <w:r>
              <w:t>浓度为</w:t>
            </w:r>
            <w:r>
              <w:rPr>
                <w:rFonts w:hint="eastAsia"/>
              </w:rPr>
              <w:t>0.</w:t>
            </w:r>
            <w:r>
              <w:rPr>
                <w:rFonts w:hint="eastAsia"/>
                <w:lang w:val="en-US" w:eastAsia="zh-CN"/>
              </w:rPr>
              <w:t>34</w:t>
            </w:r>
            <w:r>
              <w:t>mg/m³</w:t>
            </w:r>
            <w:r>
              <w:rPr>
                <w:rFonts w:hint="eastAsia"/>
              </w:rPr>
              <w:t>，</w:t>
            </w:r>
            <w:r>
              <w:t>排放浓度小于2.0mg/m³，能够满足《饮食业油烟排放标准（试行）》（GB18483-2001）的相关标准（最高允许排放浓度≤2.0mg/m³</w:t>
            </w:r>
            <w:r>
              <w:rPr>
                <w:color w:val="auto"/>
              </w:rPr>
              <w:t>）</w:t>
            </w:r>
            <w:r>
              <w:t>。对环境空气影响有限。</w:t>
            </w:r>
          </w:p>
          <w:p>
            <w:pPr>
              <w:pStyle w:val="14"/>
              <w:bidi w:val="0"/>
              <w:rPr>
                <w:rFonts w:hint="eastAsia"/>
                <w:lang w:val="en-US" w:eastAsia="zh-CN"/>
              </w:rPr>
            </w:pPr>
            <w:r>
              <w:rPr>
                <w:rFonts w:hint="eastAsia"/>
                <w:lang w:val="en-US" w:eastAsia="zh-CN"/>
              </w:rPr>
              <w:t>1.4监测要求</w:t>
            </w:r>
          </w:p>
          <w:p>
            <w:pPr>
              <w:pStyle w:val="14"/>
              <w:bidi w:val="0"/>
              <w:rPr>
                <w:rFonts w:hint="eastAsia"/>
                <w:lang w:val="en-US" w:eastAsia="zh-CN"/>
              </w:rPr>
            </w:pPr>
            <w:r>
              <w:rPr>
                <w:rFonts w:hint="eastAsia"/>
                <w:lang w:val="en-US" w:eastAsia="zh-CN"/>
              </w:rPr>
              <w:t>根据《排污许可证申请与核发技术规范 储油库、加油站》（HJ1118-2020），本项目废气监测内容及频次见下表。</w:t>
            </w:r>
          </w:p>
          <w:p>
            <w:pPr>
              <w:pStyle w:val="36"/>
              <w:bidi w:val="0"/>
              <w:rPr>
                <w:rFonts w:hint="eastAsia"/>
                <w:lang w:val="en-US" w:eastAsia="zh-CN"/>
              </w:rPr>
            </w:pPr>
            <w:r>
              <w:rPr>
                <w:rFonts w:hint="eastAsia"/>
                <w:lang w:val="en-US" w:eastAsia="zh-CN"/>
              </w:rPr>
              <w:t>表4.2-6 建设项目废气监测要求</w:t>
            </w:r>
          </w:p>
          <w:tbl>
            <w:tblPr>
              <w:tblStyle w:val="3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021"/>
              <w:gridCol w:w="884"/>
              <w:gridCol w:w="1352"/>
              <w:gridCol w:w="976"/>
              <w:gridCol w:w="36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47" w:type="pct"/>
                  <w:tcBorders>
                    <w:tl2br w:val="nil"/>
                    <w:tr2bl w:val="nil"/>
                  </w:tcBorders>
                  <w:noWrap w:val="0"/>
                  <w:vAlign w:val="center"/>
                </w:tcPr>
                <w:p>
                  <w:pPr>
                    <w:pStyle w:val="35"/>
                    <w:bidi w:val="0"/>
                    <w:rPr>
                      <w:rFonts w:hint="default"/>
                    </w:rPr>
                  </w:pPr>
                  <w:r>
                    <w:rPr>
                      <w:rFonts w:hint="default"/>
                    </w:rPr>
                    <w:t>项目</w:t>
                  </w:r>
                </w:p>
              </w:tc>
              <w:tc>
                <w:tcPr>
                  <w:tcW w:w="560" w:type="pct"/>
                  <w:tcBorders>
                    <w:tl2br w:val="nil"/>
                    <w:tr2bl w:val="nil"/>
                  </w:tcBorders>
                  <w:noWrap w:val="0"/>
                  <w:vAlign w:val="center"/>
                </w:tcPr>
                <w:p>
                  <w:pPr>
                    <w:pStyle w:val="35"/>
                    <w:bidi w:val="0"/>
                    <w:rPr>
                      <w:rFonts w:hint="default"/>
                    </w:rPr>
                  </w:pPr>
                  <w:r>
                    <w:rPr>
                      <w:rFonts w:hint="default"/>
                    </w:rPr>
                    <w:t>监测位置</w:t>
                  </w:r>
                </w:p>
              </w:tc>
              <w:tc>
                <w:tcPr>
                  <w:tcW w:w="856" w:type="pct"/>
                  <w:tcBorders>
                    <w:tl2br w:val="nil"/>
                    <w:tr2bl w:val="nil"/>
                  </w:tcBorders>
                  <w:noWrap w:val="0"/>
                  <w:vAlign w:val="center"/>
                </w:tcPr>
                <w:p>
                  <w:pPr>
                    <w:pStyle w:val="35"/>
                    <w:bidi w:val="0"/>
                    <w:rPr>
                      <w:rFonts w:hint="default"/>
                    </w:rPr>
                  </w:pPr>
                  <w:r>
                    <w:rPr>
                      <w:rFonts w:hint="default"/>
                    </w:rPr>
                    <w:t>监测因子</w:t>
                  </w:r>
                </w:p>
              </w:tc>
              <w:tc>
                <w:tcPr>
                  <w:tcW w:w="618" w:type="pct"/>
                  <w:tcBorders>
                    <w:tl2br w:val="nil"/>
                    <w:tr2bl w:val="nil"/>
                  </w:tcBorders>
                  <w:noWrap w:val="0"/>
                  <w:vAlign w:val="center"/>
                </w:tcPr>
                <w:p>
                  <w:pPr>
                    <w:pStyle w:val="35"/>
                    <w:bidi w:val="0"/>
                    <w:rPr>
                      <w:rFonts w:hint="default"/>
                    </w:rPr>
                  </w:pPr>
                  <w:r>
                    <w:rPr>
                      <w:rFonts w:hint="default"/>
                    </w:rPr>
                    <w:t>监测频次</w:t>
                  </w:r>
                </w:p>
              </w:tc>
              <w:tc>
                <w:tcPr>
                  <w:tcW w:w="2316" w:type="pct"/>
                  <w:tcBorders>
                    <w:tl2br w:val="nil"/>
                    <w:tr2bl w:val="nil"/>
                  </w:tcBorders>
                  <w:noWrap w:val="0"/>
                  <w:vAlign w:val="center"/>
                </w:tcPr>
                <w:p>
                  <w:pPr>
                    <w:pStyle w:val="35"/>
                    <w:bidi w:val="0"/>
                    <w:rPr>
                      <w:rFonts w:hint="default"/>
                    </w:rPr>
                  </w:pPr>
                  <w:r>
                    <w:rPr>
                      <w:rFonts w:hint="default"/>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47" w:type="pct"/>
                  <w:tcBorders>
                    <w:tl2br w:val="nil"/>
                    <w:tr2bl w:val="nil"/>
                  </w:tcBorders>
                  <w:noWrap w:val="0"/>
                  <w:vAlign w:val="center"/>
                </w:tcPr>
                <w:p>
                  <w:pPr>
                    <w:pStyle w:val="35"/>
                    <w:bidi w:val="0"/>
                    <w:rPr>
                      <w:rFonts w:hint="default"/>
                      <w:lang w:val="en-US" w:eastAsia="zh-CN"/>
                    </w:rPr>
                  </w:pPr>
                  <w:r>
                    <w:rPr>
                      <w:rFonts w:hint="eastAsia"/>
                      <w:lang w:val="en-US" w:eastAsia="zh-CN"/>
                    </w:rPr>
                    <w:t>无组织废气</w:t>
                  </w:r>
                </w:p>
              </w:tc>
              <w:tc>
                <w:tcPr>
                  <w:tcW w:w="560" w:type="pct"/>
                  <w:tcBorders>
                    <w:tl2br w:val="nil"/>
                    <w:tr2bl w:val="nil"/>
                  </w:tcBorders>
                  <w:noWrap w:val="0"/>
                  <w:vAlign w:val="center"/>
                </w:tcPr>
                <w:p>
                  <w:pPr>
                    <w:pStyle w:val="35"/>
                    <w:bidi w:val="0"/>
                    <w:rPr>
                      <w:rFonts w:hint="default"/>
                      <w:lang w:val="en-US" w:eastAsia="zh-CN"/>
                    </w:rPr>
                  </w:pPr>
                  <w:r>
                    <w:rPr>
                      <w:rFonts w:hint="eastAsia"/>
                      <w:lang w:val="en-US" w:eastAsia="zh-CN"/>
                    </w:rPr>
                    <w:t>厂界四周</w:t>
                  </w:r>
                </w:p>
              </w:tc>
              <w:tc>
                <w:tcPr>
                  <w:tcW w:w="856" w:type="pct"/>
                  <w:tcBorders>
                    <w:tl2br w:val="nil"/>
                    <w:tr2bl w:val="nil"/>
                  </w:tcBorders>
                  <w:noWrap w:val="0"/>
                  <w:vAlign w:val="center"/>
                </w:tcPr>
                <w:p>
                  <w:pPr>
                    <w:pStyle w:val="35"/>
                    <w:bidi w:val="0"/>
                    <w:rPr>
                      <w:rFonts w:hint="eastAsia"/>
                      <w:lang w:val="en-US" w:eastAsia="zh-CN"/>
                    </w:rPr>
                  </w:pPr>
                  <w:r>
                    <w:rPr>
                      <w:rFonts w:hint="eastAsia"/>
                      <w:lang w:val="en-US" w:eastAsia="zh-CN"/>
                    </w:rPr>
                    <w:t>非甲烷总烃</w:t>
                  </w:r>
                </w:p>
              </w:tc>
              <w:tc>
                <w:tcPr>
                  <w:tcW w:w="618" w:type="pct"/>
                  <w:tcBorders>
                    <w:tl2br w:val="nil"/>
                    <w:tr2bl w:val="nil"/>
                  </w:tcBorders>
                  <w:noWrap w:val="0"/>
                  <w:vAlign w:val="center"/>
                </w:tcPr>
                <w:p>
                  <w:pPr>
                    <w:pStyle w:val="35"/>
                    <w:bidi w:val="0"/>
                    <w:rPr>
                      <w:rFonts w:hint="default"/>
                    </w:rPr>
                  </w:pPr>
                  <w:r>
                    <w:rPr>
                      <w:rFonts w:hint="eastAsia"/>
                      <w:lang w:val="en-US" w:eastAsia="zh-CN"/>
                    </w:rPr>
                    <w:t>1次/年</w:t>
                  </w:r>
                </w:p>
              </w:tc>
              <w:tc>
                <w:tcPr>
                  <w:tcW w:w="2316" w:type="pct"/>
                  <w:vMerge w:val="restart"/>
                  <w:tcBorders>
                    <w:tl2br w:val="nil"/>
                    <w:tr2bl w:val="nil"/>
                  </w:tcBorders>
                  <w:noWrap w:val="0"/>
                  <w:vAlign w:val="center"/>
                </w:tcPr>
                <w:p>
                  <w:pPr>
                    <w:pStyle w:val="35"/>
                    <w:bidi w:val="0"/>
                    <w:rPr>
                      <w:rFonts w:hint="default"/>
                    </w:rPr>
                  </w:pPr>
                  <w:r>
                    <w:rPr>
                      <w:rFonts w:hint="default"/>
                    </w:rPr>
                    <w:t>《加油站大气污染物排放标准》（GB20952-20</w:t>
                  </w:r>
                  <w:r>
                    <w:rPr>
                      <w:rFonts w:hint="default"/>
                      <w:lang w:val="en-US" w:eastAsia="zh-CN"/>
                    </w:rPr>
                    <w:t>20</w:t>
                  </w:r>
                  <w:r>
                    <w:rPr>
                      <w:rFonts w:hint="default"/>
                    </w:rPr>
                    <w:t>）</w:t>
                  </w:r>
                  <w:r>
                    <w:rPr>
                      <w:rFonts w:hint="eastAsia"/>
                      <w:lang w:val="en-US" w:eastAsia="zh-CN"/>
                    </w:rPr>
                    <w:t>无组织排放</w:t>
                  </w:r>
                  <w:r>
                    <w:rPr>
                      <w:rFonts w:hint="default"/>
                      <w:lang w:val="en-US" w:eastAsia="zh-CN"/>
                    </w:rPr>
                    <w:t>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47" w:type="pct"/>
                  <w:tcBorders>
                    <w:tl2br w:val="nil"/>
                    <w:tr2bl w:val="nil"/>
                  </w:tcBorders>
                  <w:noWrap w:val="0"/>
                  <w:vAlign w:val="center"/>
                </w:tcPr>
                <w:p>
                  <w:pPr>
                    <w:pStyle w:val="35"/>
                    <w:bidi w:val="0"/>
                    <w:rPr>
                      <w:rFonts w:hint="default"/>
                      <w:lang w:val="en-US" w:eastAsia="zh-CN"/>
                    </w:rPr>
                  </w:pPr>
                  <w:r>
                    <w:rPr>
                      <w:rFonts w:hint="eastAsia"/>
                      <w:lang w:val="en-US" w:eastAsia="zh-CN"/>
                    </w:rPr>
                    <w:t>/</w:t>
                  </w:r>
                </w:p>
              </w:tc>
              <w:tc>
                <w:tcPr>
                  <w:tcW w:w="560" w:type="pct"/>
                  <w:tcBorders>
                    <w:tl2br w:val="nil"/>
                    <w:tr2bl w:val="nil"/>
                  </w:tcBorders>
                  <w:noWrap w:val="0"/>
                  <w:vAlign w:val="center"/>
                </w:tcPr>
                <w:p>
                  <w:pPr>
                    <w:pStyle w:val="35"/>
                    <w:bidi w:val="0"/>
                    <w:rPr>
                      <w:rFonts w:hint="eastAsia"/>
                      <w:lang w:val="en-US" w:eastAsia="zh-CN"/>
                    </w:rPr>
                  </w:pPr>
                  <w:r>
                    <w:rPr>
                      <w:rFonts w:hint="eastAsia"/>
                      <w:lang w:val="en-US" w:eastAsia="zh-CN"/>
                    </w:rPr>
                    <w:t>油气回收系统</w:t>
                  </w:r>
                </w:p>
              </w:tc>
              <w:tc>
                <w:tcPr>
                  <w:tcW w:w="856" w:type="pct"/>
                  <w:tcBorders>
                    <w:tl2br w:val="nil"/>
                    <w:tr2bl w:val="nil"/>
                  </w:tcBorders>
                  <w:noWrap w:val="0"/>
                  <w:vAlign w:val="center"/>
                </w:tcPr>
                <w:p>
                  <w:pPr>
                    <w:pStyle w:val="35"/>
                    <w:bidi w:val="0"/>
                    <w:rPr>
                      <w:rFonts w:hint="eastAsia"/>
                      <w:lang w:val="en-US" w:eastAsia="zh-CN"/>
                    </w:rPr>
                  </w:pPr>
                  <w:r>
                    <w:rPr>
                      <w:rFonts w:hint="eastAsia"/>
                      <w:lang w:val="en-US" w:eastAsia="zh-CN"/>
                    </w:rPr>
                    <w:t>气液比、液阻、密闭性</w:t>
                  </w:r>
                </w:p>
              </w:tc>
              <w:tc>
                <w:tcPr>
                  <w:tcW w:w="618" w:type="pct"/>
                  <w:tcBorders>
                    <w:tl2br w:val="nil"/>
                    <w:tr2bl w:val="nil"/>
                  </w:tcBorders>
                  <w:noWrap w:val="0"/>
                  <w:vAlign w:val="center"/>
                </w:tcPr>
                <w:p>
                  <w:pPr>
                    <w:pStyle w:val="35"/>
                    <w:bidi w:val="0"/>
                    <w:rPr>
                      <w:rFonts w:hint="eastAsia"/>
                      <w:lang w:val="en-US" w:eastAsia="zh-CN"/>
                    </w:rPr>
                  </w:pPr>
                  <w:r>
                    <w:rPr>
                      <w:rFonts w:hint="eastAsia"/>
                      <w:lang w:val="en-US" w:eastAsia="zh-CN"/>
                    </w:rPr>
                    <w:t>1 次/年</w:t>
                  </w:r>
                </w:p>
              </w:tc>
              <w:tc>
                <w:tcPr>
                  <w:tcW w:w="2316" w:type="pct"/>
                  <w:vMerge w:val="continue"/>
                  <w:tcBorders>
                    <w:tl2br w:val="nil"/>
                    <w:tr2bl w:val="nil"/>
                  </w:tcBorders>
                  <w:noWrap w:val="0"/>
                  <w:vAlign w:val="center"/>
                </w:tcPr>
                <w:p>
                  <w:pPr>
                    <w:pStyle w:val="35"/>
                    <w:bidi w:val="0"/>
                    <w:rPr>
                      <w:rFonts w:hint="default"/>
                    </w:rPr>
                  </w:pPr>
                </w:p>
              </w:tc>
            </w:tr>
          </w:tbl>
          <w:p>
            <w:pPr>
              <w:pStyle w:val="14"/>
              <w:bidi w:val="0"/>
            </w:pPr>
            <w:r>
              <w:rPr>
                <w:rFonts w:hint="eastAsia"/>
                <w:lang w:val="en-US" w:eastAsia="zh-CN"/>
              </w:rPr>
              <w:t>1.5</w:t>
            </w:r>
            <w:r>
              <w:rPr>
                <w:rFonts w:hint="eastAsia"/>
              </w:rPr>
              <w:t xml:space="preserve"> 非正常工况下污染物排放源项及源强</w:t>
            </w:r>
          </w:p>
          <w:p>
            <w:pPr>
              <w:pStyle w:val="14"/>
            </w:pPr>
            <w:r>
              <w:rPr>
                <w:rFonts w:hint="eastAsia"/>
              </w:rPr>
              <w:t>（1） 非正常事故情形及源强</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lang w:eastAsia="zh-CN"/>
              </w:rPr>
            </w:pPr>
            <w:r>
              <w:rPr>
                <w:rFonts w:hint="default" w:ascii="Times New Roman" w:hAnsi="Times New Roman" w:cs="Times New Roman"/>
                <w:color w:val="auto"/>
                <w:szCs w:val="22"/>
                <w:lang w:val="en-US" w:eastAsia="zh-CN"/>
              </w:rPr>
              <w:t>本项目</w:t>
            </w:r>
            <w:r>
              <w:rPr>
                <w:rFonts w:hint="eastAsia"/>
                <w:lang w:eastAsia="zh-CN"/>
              </w:rPr>
              <w:t>设置油</w:t>
            </w:r>
            <w:r>
              <w:rPr>
                <w:rFonts w:hint="eastAsia"/>
                <w:lang w:val="en-US" w:eastAsia="zh-CN"/>
              </w:rPr>
              <w:t>气回收装置</w:t>
            </w:r>
            <w:r>
              <w:rPr>
                <w:rFonts w:hint="default" w:ascii="Times New Roman" w:hAnsi="Times New Roman" w:cs="Times New Roman"/>
                <w:color w:val="auto"/>
                <w:szCs w:val="22"/>
                <w:lang w:val="en-US" w:eastAsia="zh-CN"/>
              </w:rPr>
              <w:t>，因此，本评价非正常工况排放情况主要考虑</w:t>
            </w:r>
            <w:r>
              <w:rPr>
                <w:rFonts w:hint="eastAsia"/>
                <w:lang w:eastAsia="zh-CN"/>
              </w:rPr>
              <w:t>油</w:t>
            </w:r>
            <w:r>
              <w:rPr>
                <w:rFonts w:hint="eastAsia"/>
                <w:lang w:val="en-US" w:eastAsia="zh-CN"/>
              </w:rPr>
              <w:t>气回收装置</w:t>
            </w:r>
            <w:r>
              <w:rPr>
                <w:rFonts w:hint="default" w:ascii="Times New Roman" w:hAnsi="Times New Roman" w:cs="Times New Roman"/>
                <w:color w:val="auto"/>
                <w:szCs w:val="22"/>
                <w:lang w:val="en-US" w:eastAsia="zh-CN"/>
              </w:rPr>
              <w:t>的处理设施失效情况：</w:t>
            </w:r>
            <w:r>
              <w:rPr>
                <w:rFonts w:hint="default"/>
                <w:lang w:eastAsia="zh-CN"/>
              </w:rPr>
              <w:t>项</w:t>
            </w:r>
            <w:r>
              <w:rPr>
                <w:rFonts w:hint="default"/>
                <w:lang w:val="en-US" w:eastAsia="zh-CN"/>
              </w:rPr>
              <w:t>当</w:t>
            </w:r>
            <w:r>
              <w:rPr>
                <w:rFonts w:hint="eastAsia"/>
                <w:lang w:eastAsia="zh-CN"/>
              </w:rPr>
              <w:t>油</w:t>
            </w:r>
            <w:r>
              <w:rPr>
                <w:rFonts w:hint="eastAsia"/>
                <w:lang w:val="en-US" w:eastAsia="zh-CN"/>
              </w:rPr>
              <w:t>气回收装置</w:t>
            </w:r>
            <w:r>
              <w:rPr>
                <w:rFonts w:hint="default"/>
                <w:lang w:val="en-US" w:eastAsia="zh-CN"/>
              </w:rPr>
              <w:t>故障，</w:t>
            </w:r>
            <w:r>
              <w:rPr>
                <w:rFonts w:hint="eastAsia"/>
                <w:lang w:eastAsia="zh-CN"/>
              </w:rPr>
              <w:t>油</w:t>
            </w:r>
            <w:r>
              <w:rPr>
                <w:rFonts w:hint="eastAsia"/>
                <w:lang w:val="en-US" w:eastAsia="zh-CN"/>
              </w:rPr>
              <w:t>气直接排放</w:t>
            </w:r>
            <w:r>
              <w:rPr>
                <w:rFonts w:hint="default"/>
                <w:lang w:val="en-US" w:eastAsia="zh-CN"/>
              </w:rPr>
              <w:t>。</w:t>
            </w:r>
          </w:p>
          <w:p>
            <w:pPr>
              <w:pStyle w:val="14"/>
            </w:pPr>
            <w:r>
              <w:rPr>
                <w:rFonts w:hint="default" w:ascii="Times New Roman" w:hAnsi="Times New Roman" w:cs="Times New Roman"/>
                <w:color w:val="auto"/>
                <w:szCs w:val="22"/>
                <w:highlight w:val="none"/>
              </w:rPr>
              <w:t>非正常工况下，本项目营运期废气污染源强</w:t>
            </w:r>
            <w:r>
              <w:rPr>
                <w:rFonts w:hint="default" w:ascii="Times New Roman" w:hAnsi="Times New Roman" w:cs="Times New Roman"/>
                <w:color w:val="auto"/>
                <w:szCs w:val="22"/>
                <w:highlight w:val="none"/>
                <w:lang w:eastAsia="zh-CN"/>
              </w:rPr>
              <w:t>排放</w:t>
            </w:r>
            <w:r>
              <w:rPr>
                <w:rFonts w:hint="default" w:ascii="Times New Roman" w:hAnsi="Times New Roman" w:cs="Times New Roman"/>
                <w:color w:val="auto"/>
                <w:szCs w:val="22"/>
                <w:highlight w:val="none"/>
              </w:rPr>
              <w:t>情况</w:t>
            </w:r>
            <w:r>
              <w:rPr>
                <w:rFonts w:hint="default" w:ascii="Times New Roman" w:hAnsi="Times New Roman" w:cs="Times New Roman"/>
                <w:color w:val="auto"/>
                <w:szCs w:val="22"/>
                <w:highlight w:val="none"/>
                <w:lang w:eastAsia="zh-CN"/>
              </w:rPr>
              <w:t>详见下表</w:t>
            </w:r>
            <w:r>
              <w:rPr>
                <w:rFonts w:hint="eastAsia"/>
              </w:rPr>
              <w:t>。</w:t>
            </w:r>
          </w:p>
          <w:p>
            <w:pPr>
              <w:pStyle w:val="36"/>
              <w:bidi w:val="0"/>
              <w:rPr>
                <w:rFonts w:hint="eastAsia"/>
                <w:lang w:val="en-US"/>
              </w:rPr>
            </w:pPr>
            <w:r>
              <w:rPr>
                <w:rFonts w:hint="eastAsia"/>
                <w:lang w:val="en-US"/>
              </w:rPr>
              <w:t>表</w:t>
            </w:r>
            <w:r>
              <w:rPr>
                <w:rFonts w:hint="eastAsia"/>
                <w:lang w:val="en-US" w:eastAsia="zh-CN"/>
              </w:rPr>
              <w:t>4.2-7</w:t>
            </w:r>
            <w:r>
              <w:rPr>
                <w:rFonts w:hint="eastAsia"/>
                <w:lang w:val="en-US"/>
              </w:rPr>
              <w:t xml:space="preserve"> 非正常工况下大气污染物排放情况</w:t>
            </w:r>
          </w:p>
          <w:tbl>
            <w:tblPr>
              <w:tblStyle w:val="32"/>
              <w:tblW w:w="4998" w:type="pct"/>
              <w:tblInd w:w="1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93"/>
              <w:gridCol w:w="3500"/>
              <w:gridCol w:w="979"/>
              <w:gridCol w:w="1301"/>
              <w:gridCol w:w="13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3" w:type="pct"/>
                  <w:tcBorders>
                    <w:tl2br w:val="nil"/>
                    <w:tr2bl w:val="nil"/>
                  </w:tcBorders>
                  <w:noWrap w:val="0"/>
                  <w:vAlign w:val="center"/>
                </w:tcPr>
                <w:p>
                  <w:pPr>
                    <w:pStyle w:val="35"/>
                    <w:bidi w:val="0"/>
                    <w:rPr>
                      <w:rFonts w:hint="default"/>
                      <w:lang w:eastAsia="zh-CN"/>
                    </w:rPr>
                  </w:pPr>
                  <w:r>
                    <w:rPr>
                      <w:rFonts w:hint="default"/>
                      <w:lang w:eastAsia="zh-CN"/>
                    </w:rPr>
                    <w:t>序号</w:t>
                  </w:r>
                </w:p>
              </w:tc>
              <w:tc>
                <w:tcPr>
                  <w:tcW w:w="2217" w:type="pct"/>
                  <w:tcBorders>
                    <w:tl2br w:val="nil"/>
                    <w:tr2bl w:val="nil"/>
                  </w:tcBorders>
                  <w:noWrap w:val="0"/>
                  <w:vAlign w:val="center"/>
                </w:tcPr>
                <w:p>
                  <w:pPr>
                    <w:pStyle w:val="35"/>
                    <w:bidi w:val="0"/>
                    <w:rPr>
                      <w:rFonts w:hint="default"/>
                      <w:lang w:eastAsia="zh-CN"/>
                    </w:rPr>
                  </w:pPr>
                  <w:r>
                    <w:rPr>
                      <w:rFonts w:hint="default"/>
                      <w:lang w:eastAsia="zh-CN"/>
                    </w:rPr>
                    <w:t>非正常工况</w:t>
                  </w:r>
                </w:p>
              </w:tc>
              <w:tc>
                <w:tcPr>
                  <w:tcW w:w="620" w:type="pct"/>
                  <w:tcBorders>
                    <w:tl2br w:val="nil"/>
                    <w:tr2bl w:val="nil"/>
                  </w:tcBorders>
                  <w:noWrap w:val="0"/>
                  <w:vAlign w:val="center"/>
                </w:tcPr>
                <w:p>
                  <w:pPr>
                    <w:pStyle w:val="35"/>
                    <w:bidi w:val="0"/>
                    <w:rPr>
                      <w:rFonts w:hint="default"/>
                      <w:lang w:eastAsia="zh-CN"/>
                    </w:rPr>
                  </w:pPr>
                  <w:r>
                    <w:rPr>
                      <w:rFonts w:hint="default"/>
                      <w:lang w:eastAsia="zh-CN"/>
                    </w:rPr>
                    <w:t>污染物</w:t>
                  </w:r>
                </w:p>
              </w:tc>
              <w:tc>
                <w:tcPr>
                  <w:tcW w:w="824" w:type="pct"/>
                  <w:tcBorders>
                    <w:tl2br w:val="nil"/>
                    <w:tr2bl w:val="nil"/>
                  </w:tcBorders>
                  <w:noWrap w:val="0"/>
                  <w:vAlign w:val="center"/>
                </w:tcPr>
                <w:p>
                  <w:pPr>
                    <w:pStyle w:val="35"/>
                    <w:bidi w:val="0"/>
                    <w:rPr>
                      <w:rFonts w:hint="default"/>
                      <w:lang w:eastAsia="zh-CN"/>
                    </w:rPr>
                  </w:pPr>
                  <w:r>
                    <w:rPr>
                      <w:rFonts w:hint="default"/>
                      <w:lang w:eastAsia="zh-CN"/>
                    </w:rPr>
                    <w:t>排放</w:t>
                  </w:r>
                  <w:r>
                    <w:rPr>
                      <w:rFonts w:hint="eastAsia"/>
                      <w:lang w:eastAsia="zh-CN"/>
                    </w:rPr>
                    <w:t>量（</w:t>
                  </w:r>
                  <w:r>
                    <w:rPr>
                      <w:rFonts w:hint="eastAsia"/>
                      <w:lang w:val="en-US" w:eastAsia="zh-CN"/>
                    </w:rPr>
                    <w:t>t/a）</w:t>
                  </w:r>
                </w:p>
              </w:tc>
              <w:tc>
                <w:tcPr>
                  <w:tcW w:w="834" w:type="pct"/>
                  <w:tcBorders>
                    <w:tl2br w:val="nil"/>
                    <w:tr2bl w:val="nil"/>
                  </w:tcBorders>
                  <w:noWrap w:val="0"/>
                  <w:vAlign w:val="center"/>
                </w:tcPr>
                <w:p>
                  <w:pPr>
                    <w:pStyle w:val="35"/>
                    <w:bidi w:val="0"/>
                    <w:rPr>
                      <w:rFonts w:hint="default"/>
                      <w:lang w:eastAsia="zh-CN"/>
                    </w:rPr>
                  </w:pPr>
                  <w:r>
                    <w:rPr>
                      <w:rFonts w:hint="default"/>
                      <w:lang w:eastAsia="zh-CN"/>
                    </w:rPr>
                    <w:t>排放速率（</w:t>
                  </w:r>
                  <w:r>
                    <w:rPr>
                      <w:rFonts w:hint="default"/>
                      <w:lang w:val="en-US" w:eastAsia="zh-CN"/>
                    </w:rPr>
                    <w:t>kg/h</w:t>
                  </w:r>
                  <w:r>
                    <w:rPr>
                      <w:rFonts w:hint="default"/>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3" w:type="pct"/>
                  <w:tcBorders>
                    <w:tl2br w:val="nil"/>
                    <w:tr2bl w:val="nil"/>
                  </w:tcBorders>
                  <w:noWrap w:val="0"/>
                  <w:vAlign w:val="center"/>
                </w:tcPr>
                <w:p>
                  <w:pPr>
                    <w:pStyle w:val="35"/>
                    <w:bidi w:val="0"/>
                    <w:rPr>
                      <w:rFonts w:hint="default"/>
                      <w:lang w:val="en-US" w:eastAsia="zh-CN"/>
                    </w:rPr>
                  </w:pPr>
                  <w:r>
                    <w:rPr>
                      <w:rFonts w:hint="default"/>
                      <w:lang w:val="en-US" w:eastAsia="zh-CN"/>
                    </w:rPr>
                    <w:t>1</w:t>
                  </w:r>
                </w:p>
              </w:tc>
              <w:tc>
                <w:tcPr>
                  <w:tcW w:w="2217" w:type="pct"/>
                  <w:tcBorders>
                    <w:tl2br w:val="nil"/>
                    <w:tr2bl w:val="nil"/>
                  </w:tcBorders>
                  <w:noWrap w:val="0"/>
                  <w:vAlign w:val="center"/>
                </w:tcPr>
                <w:p>
                  <w:pPr>
                    <w:pStyle w:val="35"/>
                    <w:bidi w:val="0"/>
                    <w:rPr>
                      <w:rFonts w:hint="default"/>
                      <w:lang w:val="en-US" w:eastAsia="zh-CN"/>
                    </w:rPr>
                  </w:pPr>
                  <w:r>
                    <w:rPr>
                      <w:rFonts w:hint="default"/>
                      <w:lang w:val="en-US" w:eastAsia="zh-CN"/>
                    </w:rPr>
                    <w:t>当</w:t>
                  </w:r>
                  <w:r>
                    <w:rPr>
                      <w:rFonts w:hint="eastAsia"/>
                      <w:lang w:eastAsia="zh-CN"/>
                    </w:rPr>
                    <w:t>油</w:t>
                  </w:r>
                  <w:r>
                    <w:rPr>
                      <w:rFonts w:hint="eastAsia"/>
                      <w:lang w:val="en-US" w:eastAsia="zh-CN"/>
                    </w:rPr>
                    <w:t>气回收装置</w:t>
                  </w:r>
                  <w:r>
                    <w:rPr>
                      <w:rFonts w:hint="default"/>
                      <w:lang w:val="en-US" w:eastAsia="zh-CN"/>
                    </w:rPr>
                    <w:t>故障，</w:t>
                  </w:r>
                  <w:r>
                    <w:rPr>
                      <w:rFonts w:hint="eastAsia"/>
                      <w:lang w:eastAsia="zh-CN"/>
                    </w:rPr>
                    <w:t>油</w:t>
                  </w:r>
                  <w:r>
                    <w:rPr>
                      <w:rFonts w:hint="eastAsia"/>
                      <w:lang w:val="en-US" w:eastAsia="zh-CN"/>
                    </w:rPr>
                    <w:t>气直接排放</w:t>
                  </w:r>
                </w:p>
              </w:tc>
              <w:tc>
                <w:tcPr>
                  <w:tcW w:w="620" w:type="pct"/>
                  <w:tcBorders>
                    <w:tl2br w:val="nil"/>
                    <w:tr2bl w:val="nil"/>
                  </w:tcBorders>
                  <w:noWrap w:val="0"/>
                  <w:vAlign w:val="center"/>
                </w:tcPr>
                <w:p>
                  <w:pPr>
                    <w:pStyle w:val="35"/>
                    <w:bidi w:val="0"/>
                    <w:rPr>
                      <w:rFonts w:hint="default"/>
                      <w:lang w:val="en-US" w:eastAsia="zh-CN"/>
                    </w:rPr>
                  </w:pPr>
                  <w:r>
                    <w:rPr>
                      <w:rFonts w:hint="eastAsia"/>
                      <w:lang w:val="en-US" w:eastAsia="zh-CN"/>
                    </w:rPr>
                    <w:t>非甲烷总烃</w:t>
                  </w:r>
                </w:p>
              </w:tc>
              <w:tc>
                <w:tcPr>
                  <w:tcW w:w="824" w:type="pct"/>
                  <w:tcBorders>
                    <w:tl2br w:val="nil"/>
                    <w:tr2bl w:val="nil"/>
                  </w:tcBorders>
                  <w:noWrap w:val="0"/>
                  <w:vAlign w:val="center"/>
                </w:tcPr>
                <w:p>
                  <w:pPr>
                    <w:pStyle w:val="35"/>
                    <w:bidi w:val="0"/>
                    <w:rPr>
                      <w:rFonts w:hint="default"/>
                      <w:lang w:val="en-US" w:eastAsia="zh-CN"/>
                    </w:rPr>
                  </w:pPr>
                  <w:r>
                    <w:rPr>
                      <w:rFonts w:hint="eastAsia"/>
                      <w:lang w:val="en-US" w:eastAsia="zh-CN"/>
                    </w:rPr>
                    <w:t>3.574</w:t>
                  </w:r>
                </w:p>
              </w:tc>
              <w:tc>
                <w:tcPr>
                  <w:tcW w:w="834" w:type="pct"/>
                  <w:tcBorders>
                    <w:tl2br w:val="nil"/>
                    <w:tr2bl w:val="nil"/>
                  </w:tcBorders>
                  <w:noWrap w:val="0"/>
                  <w:vAlign w:val="center"/>
                </w:tcPr>
                <w:p>
                  <w:pPr>
                    <w:pStyle w:val="35"/>
                    <w:bidi w:val="0"/>
                    <w:rPr>
                      <w:rFonts w:hint="default"/>
                      <w:lang w:val="en-US" w:eastAsia="zh-CN"/>
                    </w:rPr>
                  </w:pPr>
                  <w:r>
                    <w:rPr>
                      <w:rFonts w:hint="eastAsia"/>
                      <w:lang w:val="en-US" w:eastAsia="zh-CN"/>
                    </w:rPr>
                    <w:t>0.408</w:t>
                  </w:r>
                </w:p>
              </w:tc>
            </w:tr>
          </w:tbl>
          <w:p>
            <w:pPr>
              <w:pStyle w:val="27"/>
              <w:ind w:left="480"/>
            </w:pPr>
            <w:r>
              <w:rPr>
                <w:rFonts w:hint="eastAsia"/>
              </w:rPr>
              <w:t>（2） 事故防范措施</w:t>
            </w:r>
          </w:p>
          <w:p>
            <w:pPr>
              <w:pStyle w:val="14"/>
            </w:pPr>
            <w:r>
              <w:rPr>
                <w:rFonts w:hint="eastAsia"/>
              </w:rPr>
              <w:t>①加强运行监控，严格按照操作规程对各项环保设施进行操作运行以及维护管理，提高环保设施的自动控制水平。</w:t>
            </w:r>
          </w:p>
          <w:p>
            <w:pPr>
              <w:pStyle w:val="14"/>
              <w:rPr>
                <w:rFonts w:hint="eastAsia"/>
                <w:lang w:val="en-US" w:eastAsia="zh-CN"/>
              </w:rPr>
            </w:pPr>
            <w:r>
              <w:rPr>
                <w:rFonts w:hint="eastAsia"/>
              </w:rPr>
              <w:t>②一旦事故发生，应立即查明原因，采取措施，使事故排放时间尽量缩短，避免污染物持续非正常排放。</w:t>
            </w:r>
          </w:p>
          <w:p>
            <w:pPr>
              <w:pStyle w:val="14"/>
              <w:bidi w:val="0"/>
              <w:rPr>
                <w:rFonts w:hint="default"/>
              </w:rPr>
            </w:pPr>
            <w:r>
              <w:rPr>
                <w:rFonts w:hint="eastAsia"/>
                <w:lang w:val="en-US" w:eastAsia="zh-CN"/>
              </w:rPr>
              <w:t>2、</w:t>
            </w:r>
            <w:r>
              <w:rPr>
                <w:rFonts w:hint="default"/>
              </w:rPr>
              <w:t>废水</w:t>
            </w:r>
          </w:p>
          <w:p>
            <w:pPr>
              <w:pStyle w:val="14"/>
              <w:bidi w:val="0"/>
              <w:rPr>
                <w:rFonts w:hint="eastAsia"/>
                <w:lang w:val="en-US" w:eastAsia="zh-CN"/>
              </w:rPr>
            </w:pPr>
            <w:r>
              <w:rPr>
                <w:rFonts w:hint="default"/>
              </w:rPr>
              <w:t>2</w:t>
            </w:r>
            <w:r>
              <w:rPr>
                <w:rFonts w:hint="eastAsia"/>
                <w:lang w:eastAsia="zh-CN"/>
              </w:rPr>
              <w:t>.</w:t>
            </w:r>
            <w:r>
              <w:rPr>
                <w:rFonts w:hint="eastAsia"/>
                <w:lang w:val="en-US" w:eastAsia="zh-CN"/>
              </w:rPr>
              <w:t>1</w:t>
            </w:r>
            <w:r>
              <w:rPr>
                <w:rFonts w:hint="default"/>
              </w:rPr>
              <w:t>、废水污染源强分析</w:t>
            </w:r>
          </w:p>
          <w:p>
            <w:pPr>
              <w:pStyle w:val="14"/>
              <w:ind w:firstLine="480"/>
            </w:pPr>
            <w:r>
              <w:t>项目废水主要包括初期雨水、场地清洁废水</w:t>
            </w:r>
            <w:r>
              <w:rPr>
                <w:rFonts w:hint="eastAsia"/>
                <w:lang w:eastAsia="zh-CN"/>
              </w:rPr>
              <w:t>、</w:t>
            </w:r>
            <w:r>
              <w:t>洗车废水</w:t>
            </w:r>
            <w:r>
              <w:rPr>
                <w:rFonts w:hint="eastAsia"/>
                <w:lang w:eastAsia="zh-CN"/>
              </w:rPr>
              <w:t>及</w:t>
            </w:r>
            <w:r>
              <w:t>生活污水。</w:t>
            </w:r>
          </w:p>
          <w:p>
            <w:pPr>
              <w:pStyle w:val="14"/>
              <w:ind w:firstLine="480"/>
            </w:pPr>
            <w:r>
              <w:fldChar w:fldCharType="begin"/>
            </w:r>
            <w:r>
              <w:instrText xml:space="preserve">= 1 \* GB3</w:instrText>
            </w:r>
            <w:r>
              <w:fldChar w:fldCharType="separate"/>
            </w:r>
            <w:r>
              <w:rPr>
                <w:rFonts w:hint="eastAsia"/>
              </w:rPr>
              <w:t>①</w:t>
            </w:r>
            <w:r>
              <w:fldChar w:fldCharType="end"/>
            </w:r>
            <w:r>
              <w:rPr>
                <w:rFonts w:hint="eastAsia"/>
              </w:rPr>
              <w:t>初期雨水：</w:t>
            </w:r>
            <w:r>
              <w:t>降雨形成地面径流后10~15min 的污染较大的雨水量。初期雨水与气象条件密切相关，具有间歇性、时间间隔变化大等特点，初期雨水中主要污染因子为石油类以及路面泥沙。考虑暴雨强度与降雨历时的关系，假设日平均降雨量集中在降雨初期3h（180min）内，进而估计初期（前15min）雨水的量</w:t>
            </w:r>
            <w:r>
              <w:rPr>
                <w:rFonts w:hint="eastAsia"/>
              </w:rPr>
              <w:t>。</w:t>
            </w:r>
          </w:p>
          <w:p>
            <w:pPr>
              <w:pStyle w:val="14"/>
              <w:bidi w:val="0"/>
              <w:rPr>
                <w:rFonts w:hint="eastAsia"/>
              </w:rPr>
            </w:pPr>
            <w:r>
              <w:t>暴雨强度可按下述公式进行计算</w:t>
            </w:r>
            <w:r>
              <w:rPr>
                <w:rFonts w:hint="eastAsia"/>
              </w:rPr>
              <w:t>：</w:t>
            </w:r>
          </w:p>
          <w:p>
            <w:pPr>
              <w:bidi w:val="0"/>
              <w:jc w:val="center"/>
            </w:pPr>
            <w:r>
              <w:rPr>
                <w:rFonts w:hint="default"/>
              </w:rPr>
              <w:drawing>
                <wp:inline distT="0" distB="0" distL="114300" distR="114300">
                  <wp:extent cx="1068070" cy="191770"/>
                  <wp:effectExtent l="0" t="0" r="17780" b="17780"/>
                  <wp:docPr id="2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
                          <pic:cNvPicPr>
                            <a:picLocks noChangeAspect="1"/>
                          </pic:cNvPicPr>
                        </pic:nvPicPr>
                        <pic:blipFill>
                          <a:blip r:embed="rId19"/>
                          <a:stretch>
                            <a:fillRect/>
                          </a:stretch>
                        </pic:blipFill>
                        <pic:spPr>
                          <a:xfrm>
                            <a:off x="0" y="0"/>
                            <a:ext cx="1068070" cy="191770"/>
                          </a:xfrm>
                          <a:prstGeom prst="rect">
                            <a:avLst/>
                          </a:prstGeom>
                          <a:noFill/>
                          <a:ln>
                            <a:noFill/>
                          </a:ln>
                        </pic:spPr>
                      </pic:pic>
                    </a:graphicData>
                  </a:graphic>
                </wp:inline>
              </w:drawing>
            </w:r>
          </w:p>
          <w:p>
            <w:pPr>
              <w:pStyle w:val="14"/>
              <w:bidi w:val="0"/>
              <w:rPr>
                <w:rFonts w:hint="default"/>
              </w:rPr>
            </w:pPr>
            <w:r>
              <w:rPr>
                <w:rFonts w:hint="default"/>
              </w:rPr>
              <w:t>式中</w:t>
            </w:r>
            <w:r>
              <w:rPr>
                <w:rFonts w:hint="default"/>
                <w:lang w:eastAsia="zh-CN"/>
              </w:rPr>
              <w:t>：</w:t>
            </w:r>
            <w:r>
              <w:rPr>
                <w:rFonts w:hint="default"/>
              </w:rPr>
              <w:t>Q：雨水流量，L/s；</w:t>
            </w:r>
          </w:p>
          <w:p>
            <w:pPr>
              <w:pStyle w:val="14"/>
              <w:bidi w:val="0"/>
              <w:rPr>
                <w:rFonts w:hint="default"/>
              </w:rPr>
            </w:pPr>
            <w:r>
              <w:rPr>
                <w:rFonts w:hint="default"/>
              </w:rPr>
              <w:t>Ψ：径流系数，取0.</w:t>
            </w:r>
            <w:r>
              <w:rPr>
                <w:rFonts w:hint="default"/>
                <w:lang w:val="en-US" w:eastAsia="zh-CN"/>
              </w:rPr>
              <w:t>8</w:t>
            </w:r>
            <w:r>
              <w:rPr>
                <w:rFonts w:hint="default"/>
              </w:rPr>
              <w:t>；</w:t>
            </w:r>
          </w:p>
          <w:p>
            <w:pPr>
              <w:pStyle w:val="14"/>
              <w:bidi w:val="0"/>
              <w:rPr>
                <w:rFonts w:hint="default"/>
              </w:rPr>
            </w:pPr>
            <w:r>
              <w:rPr>
                <w:rFonts w:hint="default"/>
              </w:rPr>
              <w:t>F：汇流面积（</w:t>
            </w:r>
            <w:r>
              <w:rPr>
                <w:rFonts w:hint="eastAsia"/>
              </w:rPr>
              <w:t>公顷</w:t>
            </w:r>
            <w:r>
              <w:rPr>
                <w:rFonts w:hint="default"/>
              </w:rPr>
              <w:t>），汇水面积</w:t>
            </w:r>
            <w:r>
              <w:rPr>
                <w:rFonts w:hint="default"/>
                <w:lang w:val="en-US" w:eastAsia="zh-CN"/>
              </w:rPr>
              <w:t>约</w:t>
            </w:r>
            <w:r>
              <w:rPr>
                <w:rFonts w:hint="eastAsia"/>
                <w:lang w:val="en-US" w:eastAsia="zh-CN"/>
              </w:rPr>
              <w:t>325</w:t>
            </w:r>
            <w:r>
              <w:rPr>
                <w:rFonts w:hint="default"/>
                <w:lang w:val="en-US" w:eastAsia="zh-CN"/>
              </w:rPr>
              <w:t>m²</w:t>
            </w:r>
            <w:r>
              <w:rPr>
                <w:rFonts w:hint="default"/>
              </w:rPr>
              <w:t>；</w:t>
            </w:r>
          </w:p>
          <w:p>
            <w:pPr>
              <w:pStyle w:val="14"/>
              <w:bidi w:val="0"/>
              <w:rPr>
                <w:rFonts w:hint="default" w:ascii="Times New Roman" w:hAnsi="Times New Roman" w:eastAsia="宋体" w:cs="Times New Roman"/>
                <w:b w:val="0"/>
                <w:bCs w:val="0"/>
                <w:szCs w:val="24"/>
                <w:u w:val="none" w:color="auto"/>
              </w:rPr>
            </w:pPr>
            <w:r>
              <w:rPr>
                <w:rFonts w:hint="default"/>
              </w:rPr>
              <w:t>q：暴雨量，L/s·ha，参考衡阳市暴雨强度公式计算</w:t>
            </w:r>
            <w:r>
              <w:rPr>
                <w:rFonts w:hint="default" w:ascii="Times New Roman" w:hAnsi="Times New Roman" w:eastAsia="宋体" w:cs="Times New Roman"/>
                <w:b w:val="0"/>
                <w:bCs w:val="0"/>
                <w:szCs w:val="24"/>
                <w:u w:val="none" w:color="auto"/>
              </w:rPr>
              <w:t>：</w:t>
            </w:r>
          </w:p>
          <w:p>
            <w:pPr>
              <w:bidi w:val="0"/>
              <w:jc w:val="center"/>
              <w:rPr>
                <w:rFonts w:hint="default"/>
              </w:rPr>
            </w:pPr>
            <w:r>
              <w:rPr>
                <w:rFonts w:hint="default"/>
              </w:rPr>
              <w:drawing>
                <wp:inline distT="0" distB="0" distL="114300" distR="114300">
                  <wp:extent cx="1753870" cy="296545"/>
                  <wp:effectExtent l="0" t="0" r="17780" b="8255"/>
                  <wp:docPr id="5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3"/>
                          <pic:cNvPicPr>
                            <a:picLocks noChangeAspect="1"/>
                          </pic:cNvPicPr>
                        </pic:nvPicPr>
                        <pic:blipFill>
                          <a:blip r:embed="rId20"/>
                          <a:stretch>
                            <a:fillRect/>
                          </a:stretch>
                        </pic:blipFill>
                        <pic:spPr>
                          <a:xfrm>
                            <a:off x="0" y="0"/>
                            <a:ext cx="1753870" cy="296545"/>
                          </a:xfrm>
                          <a:prstGeom prst="rect">
                            <a:avLst/>
                          </a:prstGeom>
                          <a:noFill/>
                          <a:ln>
                            <a:noFill/>
                          </a:ln>
                        </pic:spPr>
                      </pic:pic>
                    </a:graphicData>
                  </a:graphic>
                </wp:inline>
              </w:drawing>
            </w:r>
          </w:p>
          <w:p>
            <w:pPr>
              <w:pStyle w:val="14"/>
              <w:bidi w:val="0"/>
              <w:rPr>
                <w:rFonts w:hint="default"/>
              </w:rPr>
            </w:pPr>
            <w:r>
              <w:rPr>
                <w:rFonts w:hint="default"/>
              </w:rPr>
              <w:t>式中P：设计降雨重现期（a），取2年；</w:t>
            </w:r>
          </w:p>
          <w:p>
            <w:pPr>
              <w:pStyle w:val="14"/>
              <w:bidi w:val="0"/>
              <w:ind w:firstLine="960" w:firstLineChars="400"/>
            </w:pPr>
            <w:r>
              <w:rPr>
                <w:rFonts w:hint="default"/>
              </w:rPr>
              <w:t>t：暴雨降雨历时取60分钟</w:t>
            </w:r>
            <w:r>
              <w:rPr>
                <w:rFonts w:hint="eastAsia"/>
              </w:rPr>
              <w:t>。</w:t>
            </w:r>
            <w:r>
              <w:t> </w:t>
            </w:r>
          </w:p>
          <w:p>
            <w:pPr>
              <w:pStyle w:val="11"/>
              <w:pageBreakBefore w:val="0"/>
              <w:widowControl w:val="0"/>
              <w:kinsoku/>
              <w:wordWrap/>
              <w:overflowPunct/>
              <w:topLinePunct w:val="0"/>
              <w:bidi w:val="0"/>
              <w:adjustRightInd/>
              <w:spacing w:before="0" w:after="0" w:line="360" w:lineRule="auto"/>
              <w:ind w:left="0" w:firstLine="480" w:firstLineChars="200"/>
              <w:textAlignment w:val="auto"/>
            </w:pPr>
            <w:r>
              <w:rPr>
                <w:rFonts w:hint="default" w:ascii="Times New Roman" w:hAnsi="Times New Roman" w:eastAsia="宋体" w:cs="Times New Roman"/>
                <w:sz w:val="24"/>
                <w:szCs w:val="24"/>
                <w:u w:val="none" w:color="auto"/>
              </w:rPr>
              <w:t>计算得暴雨强度为103.9L/s·ha，初期雨水收集前</w:t>
            </w:r>
            <w:r>
              <w:rPr>
                <w:rFonts w:hint="default" w:ascii="Times New Roman" w:hAnsi="Times New Roman" w:eastAsia="宋体" w:cs="Times New Roman"/>
                <w:sz w:val="24"/>
                <w:szCs w:val="24"/>
                <w:u w:val="none" w:color="auto"/>
                <w:lang w:val="en-US" w:eastAsia="zh-CN"/>
              </w:rPr>
              <w:t>15</w:t>
            </w:r>
            <w:r>
              <w:rPr>
                <w:rFonts w:hint="default" w:ascii="Times New Roman" w:hAnsi="Times New Roman" w:eastAsia="宋体" w:cs="Times New Roman"/>
                <w:sz w:val="24"/>
                <w:szCs w:val="24"/>
                <w:u w:val="none" w:color="auto"/>
              </w:rPr>
              <w:t>分钟雨水。</w:t>
            </w:r>
            <w:r>
              <w:rPr>
                <w:rFonts w:hint="eastAsia" w:ascii="Times New Roman" w:hAnsi="Times New Roman" w:cs="Times New Roman"/>
                <w:sz w:val="24"/>
                <w:szCs w:val="24"/>
                <w:u w:val="none" w:color="auto"/>
                <w:lang w:val="en-US" w:eastAsia="zh-CN"/>
              </w:rPr>
              <w:t>本项目设计初期雨水收集面积为</w:t>
            </w:r>
            <w:r>
              <w:rPr>
                <w:rFonts w:hint="eastAsia" w:cs="Times New Roman"/>
                <w:sz w:val="24"/>
                <w:szCs w:val="24"/>
                <w:u w:val="none" w:color="auto"/>
                <w:lang w:val="en-US" w:eastAsia="zh-CN"/>
              </w:rPr>
              <w:t>325</w:t>
            </w:r>
            <w:r>
              <w:rPr>
                <w:rFonts w:hint="default" w:ascii="Times New Roman" w:hAnsi="Times New Roman" w:eastAsia="宋体" w:cs="Times New Roman"/>
                <w:sz w:val="24"/>
                <w:szCs w:val="24"/>
                <w:u w:val="none" w:color="auto"/>
                <w:lang w:val="en-US" w:eastAsia="zh-CN"/>
              </w:rPr>
              <w:t>m</w:t>
            </w:r>
            <w:r>
              <w:rPr>
                <w:rFonts w:hint="default" w:ascii="Times New Roman" w:hAnsi="Times New Roman" w:eastAsia="宋体" w:cs="Times New Roman"/>
                <w:sz w:val="24"/>
                <w:szCs w:val="24"/>
                <w:u w:val="none" w:color="auto"/>
                <w:vertAlign w:val="superscript"/>
                <w:lang w:val="en-US" w:eastAsia="zh-CN"/>
              </w:rPr>
              <w:t>2</w:t>
            </w:r>
            <w:r>
              <w:rPr>
                <w:rFonts w:hint="eastAsia" w:ascii="Times New Roman" w:hAnsi="Times New Roman" w:eastAsia="宋体" w:cs="Times New Roman"/>
                <w:sz w:val="24"/>
                <w:szCs w:val="24"/>
                <w:u w:val="none" w:color="auto"/>
                <w:lang w:val="en-US" w:eastAsia="zh-CN"/>
              </w:rPr>
              <w:t>，</w:t>
            </w:r>
            <w:r>
              <w:rPr>
                <w:rFonts w:hint="default" w:ascii="Times New Roman" w:hAnsi="Times New Roman" w:eastAsia="宋体" w:cs="Times New Roman"/>
                <w:sz w:val="24"/>
                <w:szCs w:val="24"/>
                <w:u w:val="none" w:color="auto"/>
              </w:rPr>
              <w:t>厂内初期雨水产生量为</w:t>
            </w:r>
            <w:r>
              <w:rPr>
                <w:rFonts w:hint="eastAsia" w:cs="Times New Roman"/>
                <w:sz w:val="24"/>
                <w:szCs w:val="24"/>
                <w:u w:val="none" w:color="auto"/>
                <w:lang w:val="en-US" w:eastAsia="zh-CN"/>
              </w:rPr>
              <w:t>3.04</w:t>
            </w:r>
            <w:r>
              <w:rPr>
                <w:rFonts w:hint="default" w:ascii="Times New Roman" w:hAnsi="Times New Roman" w:eastAsia="宋体" w:cs="Times New Roman"/>
                <w:sz w:val="24"/>
                <w:szCs w:val="24"/>
                <w:u w:val="none" w:color="auto"/>
              </w:rPr>
              <w:t>m</w:t>
            </w:r>
            <w:r>
              <w:rPr>
                <w:rFonts w:hint="default" w:ascii="Times New Roman" w:hAnsi="Times New Roman" w:eastAsia="宋体" w:cs="Times New Roman"/>
                <w:sz w:val="24"/>
                <w:szCs w:val="24"/>
                <w:u w:val="none" w:color="auto"/>
                <w:vertAlign w:val="superscript"/>
              </w:rPr>
              <w:t>3</w:t>
            </w:r>
            <w:r>
              <w:rPr>
                <w:rFonts w:hint="default" w:ascii="Times New Roman" w:hAnsi="Times New Roman" w:eastAsia="宋体" w:cs="Times New Roman"/>
                <w:sz w:val="24"/>
                <w:szCs w:val="24"/>
                <w:u w:val="none" w:color="auto"/>
              </w:rPr>
              <w:t>/次。</w:t>
            </w:r>
            <w:r>
              <w:rPr>
                <w:rFonts w:hint="eastAsia"/>
                <w:sz w:val="24"/>
                <w:szCs w:val="24"/>
                <w:u w:val="none" w:color="auto"/>
              </w:rPr>
              <w:t>年暴雨次数取</w:t>
            </w:r>
            <w:r>
              <w:rPr>
                <w:rFonts w:hint="eastAsia"/>
                <w:sz w:val="24"/>
                <w:szCs w:val="24"/>
                <w:u w:val="none" w:color="auto"/>
                <w:lang w:val="en-US" w:eastAsia="zh-CN"/>
              </w:rPr>
              <w:t>20次</w:t>
            </w:r>
            <w:r>
              <w:rPr>
                <w:rFonts w:hint="eastAsia"/>
                <w:sz w:val="24"/>
                <w:szCs w:val="24"/>
                <w:u w:val="none" w:color="auto"/>
              </w:rPr>
              <w:t>（不含连续雨天）</w:t>
            </w:r>
            <w:r>
              <w:rPr>
                <w:rFonts w:hint="eastAsia"/>
                <w:sz w:val="24"/>
                <w:szCs w:val="24"/>
                <w:u w:val="none" w:color="auto"/>
                <w:lang w:eastAsia="zh-CN"/>
              </w:rPr>
              <w:t>，</w:t>
            </w:r>
            <w:r>
              <w:rPr>
                <w:rFonts w:hint="eastAsia"/>
                <w:sz w:val="24"/>
                <w:szCs w:val="24"/>
                <w:u w:val="none" w:color="auto"/>
                <w:lang w:val="en-US" w:eastAsia="zh-CN"/>
              </w:rPr>
              <w:t>则初期雨水年产量为60.8</w:t>
            </w:r>
            <w:r>
              <w:rPr>
                <w:rFonts w:hint="default" w:ascii="Times New Roman" w:hAnsi="Times New Roman" w:eastAsia="宋体" w:cs="Times New Roman"/>
                <w:sz w:val="24"/>
                <w:szCs w:val="24"/>
                <w:u w:val="none" w:color="auto"/>
              </w:rPr>
              <w:t>m</w:t>
            </w:r>
            <w:r>
              <w:rPr>
                <w:rFonts w:hint="default" w:ascii="Times New Roman" w:hAnsi="Times New Roman" w:eastAsia="宋体" w:cs="Times New Roman"/>
                <w:sz w:val="24"/>
                <w:szCs w:val="24"/>
                <w:u w:val="none" w:color="auto"/>
                <w:vertAlign w:val="superscript"/>
              </w:rPr>
              <w:t>3</w:t>
            </w:r>
            <w:r>
              <w:rPr>
                <w:rFonts w:hint="eastAsia"/>
                <w:sz w:val="24"/>
                <w:szCs w:val="24"/>
                <w:u w:val="none" w:color="auto"/>
                <w:lang w:val="en-US" w:eastAsia="zh-CN"/>
              </w:rPr>
              <w:t>。</w:t>
            </w:r>
            <w:r>
              <w:rPr>
                <w:rFonts w:hint="eastAsia"/>
              </w:rPr>
              <w:t>环评要求设置</w:t>
            </w:r>
            <w:r>
              <w:t>初期雨水收集池、隔油沉淀池。</w:t>
            </w:r>
          </w:p>
          <w:p>
            <w:pPr>
              <w:pStyle w:val="14"/>
              <w:ind w:firstLine="480"/>
              <w:rPr>
                <w:rFonts w:hint="eastAsia" w:eastAsia="宋体"/>
                <w:lang w:eastAsia="zh-CN"/>
              </w:rPr>
            </w:pPr>
            <w:r>
              <w:t>初期雨水含石油类和悬浮物浓度较高，主要污染因子为SS</w:t>
            </w:r>
            <w:r>
              <w:rPr>
                <w:rFonts w:hint="eastAsia"/>
              </w:rPr>
              <w:t>、石油类</w:t>
            </w:r>
            <w:r>
              <w:t>，SS：500mg/L、</w:t>
            </w:r>
            <w:r>
              <w:rPr>
                <w:rFonts w:hint="eastAsia"/>
              </w:rPr>
              <w:t>0.</w:t>
            </w:r>
            <w:r>
              <w:rPr>
                <w:rFonts w:hint="eastAsia"/>
                <w:lang w:val="en-US" w:eastAsia="zh-CN"/>
              </w:rPr>
              <w:t>06</w:t>
            </w:r>
            <w:r>
              <w:t>t/a，石油类：80mg/L、</w:t>
            </w:r>
            <w:r>
              <w:rPr>
                <w:rFonts w:hint="eastAsia"/>
                <w:lang w:val="en-US" w:eastAsia="zh-CN"/>
              </w:rPr>
              <w:t>0.01</w:t>
            </w:r>
            <w:r>
              <w:t>t/a</w:t>
            </w:r>
            <w:r>
              <w:rPr>
                <w:rFonts w:hint="eastAsia"/>
                <w:lang w:eastAsia="zh-CN"/>
              </w:rPr>
              <w:t>。</w:t>
            </w:r>
          </w:p>
          <w:p>
            <w:pPr>
              <w:pStyle w:val="14"/>
              <w:ind w:firstLine="480"/>
            </w:pPr>
            <w:r>
              <w:t>项目设置</w:t>
            </w:r>
            <w:r>
              <w:rPr>
                <w:rFonts w:hint="eastAsia"/>
                <w:lang w:val="en-US" w:eastAsia="zh-CN"/>
              </w:rPr>
              <w:t>5</w:t>
            </w:r>
            <w:r>
              <w:t>m³</w:t>
            </w:r>
            <w:r>
              <w:rPr>
                <w:rFonts w:hint="eastAsia"/>
              </w:rPr>
              <w:t>隔油沉淀池</w:t>
            </w:r>
            <w:r>
              <w:rPr>
                <w:rFonts w:hint="eastAsia"/>
                <w:lang w:eastAsia="zh-CN"/>
              </w:rPr>
              <w:t>，</w:t>
            </w:r>
            <w:r>
              <w:t>对场区初期雨水进行收集</w:t>
            </w:r>
            <w:r>
              <w:rPr>
                <w:rFonts w:hint="eastAsia"/>
              </w:rPr>
              <w:t>，排污系数按</w:t>
            </w:r>
            <w:r>
              <w:t>0.8</w:t>
            </w:r>
            <w:r>
              <w:rPr>
                <w:rFonts w:hint="eastAsia"/>
              </w:rPr>
              <w:t>计，初期雨水排放量为</w:t>
            </w:r>
            <w:r>
              <w:rPr>
                <w:rFonts w:hint="eastAsia"/>
                <w:lang w:val="en-US" w:eastAsia="zh-CN"/>
              </w:rPr>
              <w:t>48.6</w:t>
            </w:r>
            <w:r>
              <w:t>m³/a</w:t>
            </w:r>
            <w:r>
              <w:rPr>
                <w:rFonts w:hint="eastAsia"/>
              </w:rPr>
              <w:t>沉淀处理后进入</w:t>
            </w:r>
            <w:r>
              <w:rPr>
                <w:rFonts w:hint="eastAsia"/>
                <w:lang w:eastAsia="zh-CN"/>
              </w:rPr>
              <w:t>城市污</w:t>
            </w:r>
            <w:r>
              <w:rPr>
                <w:rFonts w:hint="eastAsia"/>
              </w:rPr>
              <w:t>水管道，排放情况分别为</w:t>
            </w:r>
            <w:r>
              <w:t>SS</w:t>
            </w:r>
            <w:r>
              <w:rPr>
                <w:rFonts w:hint="eastAsia"/>
              </w:rPr>
              <w:t>：40</w:t>
            </w:r>
            <w:r>
              <w:t>0mg/L</w:t>
            </w:r>
            <w:r>
              <w:rPr>
                <w:rFonts w:hint="eastAsia"/>
              </w:rPr>
              <w:t>、</w:t>
            </w:r>
            <w:r>
              <w:rPr>
                <w:rFonts w:hint="eastAsia"/>
                <w:lang w:val="en-US" w:eastAsia="zh-CN"/>
              </w:rPr>
              <w:t>0.02</w:t>
            </w:r>
            <w:r>
              <w:t>t/a</w:t>
            </w:r>
            <w:r>
              <w:rPr>
                <w:rFonts w:hint="eastAsia"/>
              </w:rPr>
              <w:t>，石油类：1</w:t>
            </w:r>
            <w:r>
              <w:t>5mg/L</w:t>
            </w:r>
            <w:r>
              <w:rPr>
                <w:rFonts w:hint="eastAsia"/>
              </w:rPr>
              <w:t>、</w:t>
            </w:r>
            <w:r>
              <w:rPr>
                <w:rFonts w:hint="eastAsia"/>
                <w:lang w:val="en-US" w:eastAsia="zh-CN"/>
              </w:rPr>
              <w:t>0.0007</w:t>
            </w:r>
            <w:r>
              <w:t>t/a</w:t>
            </w:r>
            <w:r>
              <w:rPr>
                <w:rFonts w:hint="eastAsia"/>
              </w:rPr>
              <w:t>。</w:t>
            </w:r>
            <w:r>
              <w:t>初期雨水达到</w:t>
            </w:r>
            <w:r>
              <w:rPr>
                <w:rFonts w:hint="eastAsia"/>
              </w:rPr>
              <w:t>达到《污水综合排放标准》（GB8978-1996）三级标准后排入</w:t>
            </w:r>
            <w:r>
              <w:rPr>
                <w:rFonts w:hint="eastAsia"/>
                <w:lang w:eastAsia="zh-CN"/>
              </w:rPr>
              <w:t>市政污水管网</w:t>
            </w:r>
            <w:r>
              <w:rPr>
                <w:rFonts w:hint="eastAsia"/>
              </w:rPr>
              <w:t>。</w:t>
            </w:r>
          </w:p>
          <w:p>
            <w:pPr>
              <w:pStyle w:val="14"/>
              <w:ind w:firstLine="480"/>
            </w:pPr>
            <w:r>
              <w:fldChar w:fldCharType="begin"/>
            </w:r>
            <w:r>
              <w:instrText xml:space="preserve"> = 2 \* GB3 </w:instrText>
            </w:r>
            <w:r>
              <w:fldChar w:fldCharType="separate"/>
            </w:r>
            <w:r>
              <w:rPr>
                <w:rFonts w:hint="eastAsia"/>
              </w:rPr>
              <w:t>②</w:t>
            </w:r>
            <w:r>
              <w:fldChar w:fldCharType="end"/>
            </w:r>
            <w:r>
              <w:rPr>
                <w:rFonts w:hint="eastAsia"/>
              </w:rPr>
              <w:t>生活污水：本项目生活污水主要为工作人员生活污水及进站加油车辆司乘人员上洗手间产生的生活污水。</w:t>
            </w:r>
          </w:p>
          <w:p>
            <w:pPr>
              <w:pStyle w:val="14"/>
              <w:ind w:firstLine="480"/>
            </w:pPr>
            <w:r>
              <w:rPr>
                <w:rFonts w:hint="eastAsia"/>
              </w:rPr>
              <w:t>本项目工作人员共计10人，在场内食宿，年有效工作日</w:t>
            </w:r>
            <w:r>
              <w:t>365</w:t>
            </w:r>
            <w:r>
              <w:rPr>
                <w:rFonts w:hint="eastAsia"/>
              </w:rPr>
              <w:t>天，根据《湖南省地方标准用水定额》（DB43/T 388-2020），用水量定额按</w:t>
            </w:r>
            <w:r>
              <w:rPr>
                <w:rFonts w:hint="eastAsia"/>
                <w:lang w:val="en-US" w:eastAsia="zh-CN"/>
              </w:rPr>
              <w:t>90</w:t>
            </w:r>
            <w:r>
              <w:t>L/</w:t>
            </w:r>
            <w:r>
              <w:rPr>
                <w:rFonts w:hint="eastAsia"/>
              </w:rPr>
              <w:t>人</w:t>
            </w:r>
            <w:r>
              <w:t>·d</w:t>
            </w:r>
            <w:r>
              <w:rPr>
                <w:rFonts w:hint="eastAsia"/>
              </w:rPr>
              <w:t>计，则项目员工生活用水量为</w:t>
            </w:r>
            <w:r>
              <w:rPr>
                <w:rFonts w:hint="eastAsia"/>
                <w:lang w:val="en-US" w:eastAsia="zh-CN"/>
              </w:rPr>
              <w:t>0.9</w:t>
            </w:r>
            <w:r>
              <w:t>m³/d</w:t>
            </w:r>
            <w:r>
              <w:rPr>
                <w:rFonts w:hint="eastAsia"/>
              </w:rPr>
              <w:t>，</w:t>
            </w:r>
            <w:r>
              <w:rPr>
                <w:rFonts w:hint="eastAsia"/>
                <w:lang w:val="en-US" w:eastAsia="zh-CN"/>
              </w:rPr>
              <w:t>328.5</w:t>
            </w:r>
            <w:r>
              <w:t>m³/a</w:t>
            </w:r>
            <w:r>
              <w:rPr>
                <w:rFonts w:hint="eastAsia"/>
              </w:rPr>
              <w:t>，产污系数按</w:t>
            </w:r>
            <w:r>
              <w:t>80%</w:t>
            </w:r>
            <w:r>
              <w:rPr>
                <w:rFonts w:hint="eastAsia"/>
              </w:rPr>
              <w:t>计算，则生活污水产生量为0.</w:t>
            </w:r>
            <w:r>
              <w:rPr>
                <w:rFonts w:hint="eastAsia"/>
                <w:lang w:val="en-US" w:eastAsia="zh-CN"/>
              </w:rPr>
              <w:t>72</w:t>
            </w:r>
            <w:r>
              <w:t>m³/d</w:t>
            </w:r>
            <w:r>
              <w:rPr>
                <w:rFonts w:hint="eastAsia"/>
              </w:rPr>
              <w:t>，</w:t>
            </w:r>
            <w:r>
              <w:rPr>
                <w:rFonts w:hint="eastAsia"/>
                <w:lang w:val="en-US" w:eastAsia="zh-CN"/>
              </w:rPr>
              <w:t>262.8</w:t>
            </w:r>
            <w:r>
              <w:t>m³/a</w:t>
            </w:r>
            <w:r>
              <w:rPr>
                <w:rFonts w:hint="eastAsia"/>
              </w:rPr>
              <w:t>。</w:t>
            </w:r>
          </w:p>
          <w:p>
            <w:pPr>
              <w:pStyle w:val="14"/>
              <w:ind w:firstLine="480"/>
            </w:pPr>
            <w:r>
              <w:rPr>
                <w:rFonts w:hint="eastAsia"/>
              </w:rPr>
              <w:t>项目设有一公共卫生间，公共卫生间每天最大服务人数为</w:t>
            </w:r>
            <w:r>
              <w:t>60</w:t>
            </w:r>
            <w:r>
              <w:rPr>
                <w:rFonts w:hint="eastAsia"/>
              </w:rPr>
              <w:t>人次，用水量定额约为10</w:t>
            </w:r>
            <w:r>
              <w:t>L/</w:t>
            </w:r>
            <w:r>
              <w:rPr>
                <w:rFonts w:hint="eastAsia"/>
              </w:rPr>
              <w:t>人</w:t>
            </w:r>
            <w:r>
              <w:t>·d</w:t>
            </w:r>
            <w:r>
              <w:rPr>
                <w:rFonts w:hint="eastAsia"/>
              </w:rPr>
              <w:t>计，用水量为</w:t>
            </w:r>
            <w:r>
              <w:t xml:space="preserve"> 0.</w:t>
            </w:r>
            <w:r>
              <w:rPr>
                <w:rFonts w:hint="eastAsia"/>
              </w:rPr>
              <w:t>6</w:t>
            </w:r>
            <w:r>
              <w:t>m³ /d</w:t>
            </w:r>
            <w:r>
              <w:rPr>
                <w:rFonts w:hint="eastAsia"/>
              </w:rPr>
              <w:t>（219</w:t>
            </w:r>
            <w:r>
              <w:t>m³ /a</w:t>
            </w:r>
            <w:r>
              <w:rPr>
                <w:rFonts w:hint="eastAsia"/>
              </w:rPr>
              <w:t>），排水量按用水量的</w:t>
            </w:r>
            <w:r>
              <w:t xml:space="preserve">80% </w:t>
            </w:r>
            <w:r>
              <w:rPr>
                <w:rFonts w:hint="eastAsia"/>
              </w:rPr>
              <w:t>计算，产生的污水量为</w:t>
            </w:r>
            <w:r>
              <w:t xml:space="preserve"> 0.</w:t>
            </w:r>
            <w:r>
              <w:rPr>
                <w:rFonts w:hint="eastAsia"/>
              </w:rPr>
              <w:t>48</w:t>
            </w:r>
            <w:r>
              <w:t>m³ /d</w:t>
            </w:r>
            <w:r>
              <w:rPr>
                <w:rFonts w:hint="eastAsia"/>
              </w:rPr>
              <w:t>（175.2</w:t>
            </w:r>
            <w:r>
              <w:t>m³ /a</w:t>
            </w:r>
            <w:r>
              <w:rPr>
                <w:rFonts w:hint="eastAsia"/>
              </w:rPr>
              <w:t>）。</w:t>
            </w:r>
          </w:p>
          <w:p>
            <w:pPr>
              <w:pStyle w:val="14"/>
              <w:ind w:firstLine="480"/>
            </w:pPr>
            <w:r>
              <w:rPr>
                <w:rFonts w:hint="eastAsia"/>
              </w:rPr>
              <w:t>综上，本项目生活用水量为</w:t>
            </w:r>
            <w:r>
              <w:rPr>
                <w:rFonts w:hint="eastAsia"/>
                <w:lang w:val="en-US" w:eastAsia="zh-CN"/>
              </w:rPr>
              <w:t>1.5</w:t>
            </w:r>
            <w:r>
              <w:t>m³/d</w:t>
            </w:r>
            <w:r>
              <w:rPr>
                <w:rFonts w:hint="eastAsia"/>
              </w:rPr>
              <w:t>，</w:t>
            </w:r>
            <w:r>
              <w:rPr>
                <w:rFonts w:hint="eastAsia"/>
                <w:lang w:val="en-US" w:eastAsia="zh-CN"/>
              </w:rPr>
              <w:t>547.5</w:t>
            </w:r>
            <w:r>
              <w:t>m³/a</w:t>
            </w:r>
            <w:r>
              <w:rPr>
                <w:rFonts w:hint="eastAsia"/>
              </w:rPr>
              <w:t>，生活污水的产生量为</w:t>
            </w:r>
            <w:r>
              <w:rPr>
                <w:rFonts w:hint="eastAsia"/>
                <w:lang w:val="en-US" w:eastAsia="zh-CN"/>
              </w:rPr>
              <w:t>1.2</w:t>
            </w:r>
            <w:r>
              <w:t>m³/d</w:t>
            </w:r>
            <w:r>
              <w:rPr>
                <w:rFonts w:hint="eastAsia"/>
              </w:rPr>
              <w:t>，</w:t>
            </w:r>
            <w:r>
              <w:rPr>
                <w:rFonts w:hint="eastAsia"/>
                <w:lang w:val="en-US" w:eastAsia="zh-CN"/>
              </w:rPr>
              <w:t>438</w:t>
            </w:r>
            <w:r>
              <w:t>m³/a</w:t>
            </w:r>
            <w:r>
              <w:rPr>
                <w:rFonts w:hint="eastAsia"/>
              </w:rPr>
              <w:t>。</w:t>
            </w:r>
          </w:p>
          <w:p>
            <w:pPr>
              <w:pStyle w:val="14"/>
              <w:ind w:firstLine="480"/>
            </w:pPr>
            <w:r>
              <w:rPr>
                <w:rFonts w:hint="eastAsia"/>
              </w:rPr>
              <w:t>生活污水主要污染物因子为</w:t>
            </w:r>
            <w:r>
              <w:t>COD</w:t>
            </w:r>
            <w:r>
              <w:rPr>
                <w:rFonts w:hint="eastAsia"/>
              </w:rPr>
              <w:t>、</w:t>
            </w:r>
            <w:r>
              <w:t>SS</w:t>
            </w:r>
            <w:r>
              <w:rPr>
                <w:rFonts w:hint="eastAsia"/>
              </w:rPr>
              <w:t>、氨氮等，生活污水经化粪池处理后达到《污水综合排放标准》（GB8978-1996）三级标准后排入</w:t>
            </w:r>
            <w:r>
              <w:rPr>
                <w:rFonts w:hint="eastAsia"/>
                <w:lang w:eastAsia="zh-CN"/>
              </w:rPr>
              <w:t>市政污水管网</w:t>
            </w:r>
            <w:r>
              <w:rPr>
                <w:rFonts w:hint="eastAsia"/>
              </w:rPr>
              <w:t>。本项目生活污水产生及排放情况详见下表。</w:t>
            </w:r>
          </w:p>
          <w:p>
            <w:pPr>
              <w:pStyle w:val="36"/>
              <w:tabs>
                <w:tab w:val="left" w:pos="1021"/>
              </w:tabs>
            </w:pPr>
            <w:r>
              <w:rPr>
                <w:rFonts w:hint="eastAsia"/>
              </w:rPr>
              <w:t>表</w:t>
            </w:r>
            <w:r>
              <w:rPr>
                <w:rFonts w:hint="eastAsia"/>
                <w:lang w:val="en-US" w:eastAsia="zh-CN"/>
              </w:rPr>
              <w:t>4.2-8</w:t>
            </w:r>
            <w:r>
              <w:rPr>
                <w:rFonts w:hint="eastAsia"/>
              </w:rPr>
              <w:t>本项目生活污水产生及排放情况一览表</w:t>
            </w:r>
          </w:p>
          <w:tbl>
            <w:tblPr>
              <w:tblStyle w:val="31"/>
              <w:tblW w:w="4998"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autofit"/>
              <w:tblCellMar>
                <w:top w:w="0" w:type="dxa"/>
                <w:left w:w="108" w:type="dxa"/>
                <w:bottom w:w="0" w:type="dxa"/>
                <w:right w:w="108" w:type="dxa"/>
              </w:tblCellMar>
            </w:tblPr>
            <w:tblGrid>
              <w:gridCol w:w="1168"/>
              <w:gridCol w:w="1095"/>
              <w:gridCol w:w="1111"/>
              <w:gridCol w:w="1037"/>
              <w:gridCol w:w="1530"/>
              <w:gridCol w:w="1092"/>
              <w:gridCol w:w="847"/>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hRule="atLeast"/>
                <w:jc w:val="center"/>
              </w:trPr>
              <w:tc>
                <w:tcPr>
                  <w:tcW w:w="747" w:type="pct"/>
                  <w:vMerge w:val="restart"/>
                  <w:tcBorders>
                    <w:top w:val="single" w:color="000000" w:sz="8" w:space="0"/>
                    <w:left w:val="single" w:color="000000" w:sz="8" w:space="0"/>
                    <w:bottom w:val="single" w:color="000000" w:sz="8" w:space="0"/>
                    <w:right w:val="single" w:color="000000" w:sz="8" w:space="0"/>
                  </w:tcBorders>
                  <w:vAlign w:val="center"/>
                </w:tcPr>
                <w:p>
                  <w:pPr>
                    <w:pStyle w:val="35"/>
                    <w:tabs>
                      <w:tab w:val="left" w:pos="1021"/>
                    </w:tabs>
                  </w:pPr>
                  <w:r>
                    <w:rPr>
                      <w:rFonts w:hint="eastAsia"/>
                    </w:rPr>
                    <w:t>废水量</w:t>
                  </w:r>
                </w:p>
              </w:tc>
              <w:tc>
                <w:tcPr>
                  <w:tcW w:w="701" w:type="pct"/>
                  <w:vMerge w:val="restart"/>
                  <w:tcBorders>
                    <w:top w:val="single" w:color="000000" w:sz="8" w:space="0"/>
                    <w:left w:val="single" w:color="000000" w:sz="8" w:space="0"/>
                    <w:bottom w:val="single" w:color="000000" w:sz="8" w:space="0"/>
                    <w:right w:val="single" w:color="000000" w:sz="8" w:space="0"/>
                  </w:tcBorders>
                  <w:vAlign w:val="center"/>
                </w:tcPr>
                <w:p>
                  <w:pPr>
                    <w:pStyle w:val="35"/>
                    <w:tabs>
                      <w:tab w:val="left" w:pos="1021"/>
                    </w:tabs>
                  </w:pPr>
                  <w:r>
                    <w:rPr>
                      <w:rFonts w:hint="eastAsia"/>
                    </w:rPr>
                    <w:t>污染物种类</w:t>
                  </w:r>
                </w:p>
              </w:tc>
              <w:tc>
                <w:tcPr>
                  <w:tcW w:w="1375" w:type="pct"/>
                  <w:gridSpan w:val="2"/>
                  <w:tcBorders>
                    <w:top w:val="single" w:color="000000" w:sz="8" w:space="0"/>
                    <w:left w:val="single" w:color="000000" w:sz="8" w:space="0"/>
                    <w:bottom w:val="single" w:color="000000" w:sz="8" w:space="0"/>
                    <w:right w:val="single" w:color="000000" w:sz="8" w:space="0"/>
                  </w:tcBorders>
                  <w:vAlign w:val="center"/>
                </w:tcPr>
                <w:p>
                  <w:pPr>
                    <w:pStyle w:val="35"/>
                    <w:tabs>
                      <w:tab w:val="left" w:pos="1021"/>
                    </w:tabs>
                  </w:pPr>
                  <w:r>
                    <w:rPr>
                      <w:rFonts w:hint="eastAsia"/>
                    </w:rPr>
                    <w:t>产生量</w:t>
                  </w:r>
                </w:p>
              </w:tc>
              <w:tc>
                <w:tcPr>
                  <w:tcW w:w="977" w:type="pct"/>
                  <w:vMerge w:val="restart"/>
                  <w:tcBorders>
                    <w:top w:val="single" w:color="000000" w:sz="8" w:space="0"/>
                    <w:left w:val="single" w:color="000000" w:sz="8" w:space="0"/>
                    <w:bottom w:val="single" w:color="000000" w:sz="8" w:space="0"/>
                    <w:right w:val="single" w:color="000000" w:sz="8" w:space="0"/>
                  </w:tcBorders>
                  <w:vAlign w:val="center"/>
                </w:tcPr>
                <w:p>
                  <w:pPr>
                    <w:pStyle w:val="35"/>
                    <w:tabs>
                      <w:tab w:val="left" w:pos="1021"/>
                    </w:tabs>
                  </w:pPr>
                  <w:r>
                    <w:rPr>
                      <w:rFonts w:hint="eastAsia"/>
                    </w:rPr>
                    <w:t>处理措施</w:t>
                  </w:r>
                </w:p>
              </w:tc>
              <w:tc>
                <w:tcPr>
                  <w:tcW w:w="1198" w:type="pct"/>
                  <w:gridSpan w:val="2"/>
                  <w:tcBorders>
                    <w:top w:val="single" w:color="000000" w:sz="8" w:space="0"/>
                    <w:left w:val="single" w:color="000000" w:sz="8" w:space="0"/>
                    <w:bottom w:val="single" w:color="000000" w:sz="8" w:space="0"/>
                    <w:right w:val="single" w:color="000000" w:sz="8" w:space="0"/>
                  </w:tcBorders>
                  <w:vAlign w:val="center"/>
                </w:tcPr>
                <w:p>
                  <w:pPr>
                    <w:pStyle w:val="35"/>
                    <w:tabs>
                      <w:tab w:val="left" w:pos="1021"/>
                    </w:tabs>
                  </w:pPr>
                  <w:r>
                    <w:rPr>
                      <w:rFonts w:hint="eastAsia"/>
                    </w:rPr>
                    <w:t>排放量</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hRule="atLeast"/>
                <w:jc w:val="center"/>
              </w:trPr>
              <w:tc>
                <w:tcPr>
                  <w:tcW w:w="747" w:type="pct"/>
                  <w:vMerge w:val="continue"/>
                  <w:tcBorders>
                    <w:top w:val="single" w:color="000000" w:sz="8" w:space="0"/>
                    <w:left w:val="single" w:color="000000" w:sz="8" w:space="0"/>
                    <w:bottom w:val="single" w:color="000000" w:sz="8" w:space="0"/>
                    <w:right w:val="single" w:color="000000" w:sz="8" w:space="0"/>
                  </w:tcBorders>
                  <w:vAlign w:val="center"/>
                </w:tcPr>
                <w:p>
                  <w:pPr>
                    <w:pStyle w:val="35"/>
                    <w:tabs>
                      <w:tab w:val="left" w:pos="1021"/>
                    </w:tabs>
                  </w:pPr>
                </w:p>
              </w:tc>
              <w:tc>
                <w:tcPr>
                  <w:tcW w:w="701" w:type="pct"/>
                  <w:vMerge w:val="continue"/>
                  <w:tcBorders>
                    <w:top w:val="single" w:color="000000" w:sz="8" w:space="0"/>
                    <w:left w:val="single" w:color="000000" w:sz="8" w:space="0"/>
                    <w:bottom w:val="single" w:color="000000" w:sz="8" w:space="0"/>
                    <w:right w:val="single" w:color="000000" w:sz="8" w:space="0"/>
                  </w:tcBorders>
                  <w:vAlign w:val="center"/>
                </w:tcPr>
                <w:p>
                  <w:pPr>
                    <w:pStyle w:val="35"/>
                    <w:tabs>
                      <w:tab w:val="left" w:pos="1021"/>
                    </w:tabs>
                  </w:pPr>
                </w:p>
              </w:tc>
              <w:tc>
                <w:tcPr>
                  <w:tcW w:w="711" w:type="pct"/>
                  <w:tcBorders>
                    <w:top w:val="single" w:color="000000" w:sz="8" w:space="0"/>
                    <w:left w:val="single" w:color="000000" w:sz="8" w:space="0"/>
                    <w:bottom w:val="single" w:color="000000" w:sz="8" w:space="0"/>
                    <w:right w:val="single" w:color="000000" w:sz="8" w:space="0"/>
                  </w:tcBorders>
                  <w:vAlign w:val="center"/>
                </w:tcPr>
                <w:p>
                  <w:pPr>
                    <w:pStyle w:val="35"/>
                    <w:tabs>
                      <w:tab w:val="left" w:pos="1021"/>
                    </w:tabs>
                  </w:pPr>
                  <w:r>
                    <w:rPr>
                      <w:rFonts w:hint="eastAsia"/>
                    </w:rPr>
                    <w:t>产生浓度（</w:t>
                  </w:r>
                  <w:r>
                    <w:t>mg/L</w:t>
                  </w:r>
                  <w:r>
                    <w:rPr>
                      <w:rFonts w:hint="eastAsia"/>
                    </w:rPr>
                    <w:t>）</w:t>
                  </w:r>
                </w:p>
              </w:tc>
              <w:tc>
                <w:tcPr>
                  <w:tcW w:w="664" w:type="pct"/>
                  <w:tcBorders>
                    <w:top w:val="single" w:color="000000" w:sz="8" w:space="0"/>
                    <w:left w:val="single" w:color="000000" w:sz="8" w:space="0"/>
                    <w:bottom w:val="single" w:color="000000" w:sz="8" w:space="0"/>
                    <w:right w:val="single" w:color="000000" w:sz="8" w:space="0"/>
                  </w:tcBorders>
                  <w:vAlign w:val="center"/>
                </w:tcPr>
                <w:p>
                  <w:pPr>
                    <w:pStyle w:val="35"/>
                    <w:tabs>
                      <w:tab w:val="left" w:pos="1021"/>
                    </w:tabs>
                  </w:pPr>
                  <w:r>
                    <w:rPr>
                      <w:rFonts w:hint="eastAsia"/>
                    </w:rPr>
                    <w:t>产生量（</w:t>
                  </w:r>
                  <w:r>
                    <w:t>t/a</w:t>
                  </w:r>
                  <w:r>
                    <w:rPr>
                      <w:rFonts w:hint="eastAsia"/>
                    </w:rPr>
                    <w:t>）</w:t>
                  </w:r>
                </w:p>
              </w:tc>
              <w:tc>
                <w:tcPr>
                  <w:tcW w:w="977" w:type="pct"/>
                  <w:vMerge w:val="continue"/>
                  <w:tcBorders>
                    <w:top w:val="single" w:color="000000" w:sz="8" w:space="0"/>
                    <w:left w:val="single" w:color="000000" w:sz="8" w:space="0"/>
                    <w:bottom w:val="single" w:color="000000" w:sz="8" w:space="0"/>
                    <w:right w:val="single" w:color="000000" w:sz="8" w:space="0"/>
                  </w:tcBorders>
                  <w:vAlign w:val="center"/>
                </w:tcPr>
                <w:p>
                  <w:pPr>
                    <w:pStyle w:val="35"/>
                    <w:tabs>
                      <w:tab w:val="left" w:pos="1021"/>
                    </w:tabs>
                  </w:pPr>
                </w:p>
              </w:tc>
              <w:tc>
                <w:tcPr>
                  <w:tcW w:w="662" w:type="pct"/>
                  <w:tcBorders>
                    <w:top w:val="single" w:color="000000" w:sz="8" w:space="0"/>
                    <w:left w:val="single" w:color="000000" w:sz="8" w:space="0"/>
                    <w:bottom w:val="single" w:color="000000" w:sz="8" w:space="0"/>
                    <w:right w:val="single" w:color="000000" w:sz="4" w:space="0"/>
                  </w:tcBorders>
                  <w:vAlign w:val="center"/>
                </w:tcPr>
                <w:p>
                  <w:pPr>
                    <w:pStyle w:val="35"/>
                    <w:tabs>
                      <w:tab w:val="left" w:pos="1021"/>
                    </w:tabs>
                  </w:pPr>
                  <w:r>
                    <w:rPr>
                      <w:rFonts w:hint="eastAsia"/>
                    </w:rPr>
                    <w:t>排放浓度（</w:t>
                  </w:r>
                  <w:r>
                    <w:t>mg/L</w:t>
                  </w:r>
                  <w:r>
                    <w:rPr>
                      <w:rFonts w:hint="eastAsia"/>
                    </w:rPr>
                    <w:t>）</w:t>
                  </w:r>
                </w:p>
              </w:tc>
              <w:tc>
                <w:tcPr>
                  <w:tcW w:w="536" w:type="pct"/>
                  <w:tcBorders>
                    <w:top w:val="single" w:color="000000" w:sz="8" w:space="0"/>
                    <w:left w:val="single" w:color="000000" w:sz="4" w:space="0"/>
                    <w:bottom w:val="single" w:color="000000" w:sz="8" w:space="0"/>
                    <w:right w:val="single" w:color="000000" w:sz="8" w:space="0"/>
                  </w:tcBorders>
                  <w:vAlign w:val="center"/>
                </w:tcPr>
                <w:p>
                  <w:pPr>
                    <w:pStyle w:val="35"/>
                    <w:tabs>
                      <w:tab w:val="left" w:pos="1021"/>
                    </w:tabs>
                  </w:pPr>
                  <w:r>
                    <w:rPr>
                      <w:rFonts w:hint="eastAsia"/>
                    </w:rPr>
                    <w:t>排放量（</w:t>
                  </w:r>
                  <w:r>
                    <w:t>t/a</w:t>
                  </w:r>
                  <w:r>
                    <w:rPr>
                      <w:rFonts w:hint="eastAsia"/>
                    </w:rPr>
                    <w:t>）</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hRule="atLeast"/>
                <w:jc w:val="center"/>
              </w:trPr>
              <w:tc>
                <w:tcPr>
                  <w:tcW w:w="747" w:type="pct"/>
                  <w:vMerge w:val="restart"/>
                  <w:tcBorders>
                    <w:top w:val="single" w:color="000000" w:sz="8" w:space="0"/>
                    <w:left w:val="single" w:color="000000" w:sz="8" w:space="0"/>
                    <w:bottom w:val="single" w:color="000000" w:sz="8" w:space="0"/>
                    <w:right w:val="single" w:color="000000" w:sz="8" w:space="0"/>
                  </w:tcBorders>
                  <w:vAlign w:val="center"/>
                </w:tcPr>
                <w:p>
                  <w:pPr>
                    <w:pStyle w:val="35"/>
                    <w:tabs>
                      <w:tab w:val="left" w:pos="1021"/>
                    </w:tabs>
                  </w:pPr>
                  <w:r>
                    <w:rPr>
                      <w:rFonts w:hint="eastAsia"/>
                      <w:lang w:val="en-US" w:eastAsia="zh-CN"/>
                    </w:rPr>
                    <w:t>438</w:t>
                  </w:r>
                  <w:r>
                    <w:t>m³/a</w:t>
                  </w:r>
                </w:p>
              </w:tc>
              <w:tc>
                <w:tcPr>
                  <w:tcW w:w="701" w:type="pct"/>
                  <w:tcBorders>
                    <w:top w:val="single" w:color="000000" w:sz="8" w:space="0"/>
                    <w:left w:val="single" w:color="000000" w:sz="8" w:space="0"/>
                    <w:bottom w:val="single" w:color="000000" w:sz="8" w:space="0"/>
                    <w:right w:val="single" w:color="000000" w:sz="8" w:space="0"/>
                  </w:tcBorders>
                  <w:vAlign w:val="center"/>
                </w:tcPr>
                <w:p>
                  <w:pPr>
                    <w:pStyle w:val="35"/>
                    <w:tabs>
                      <w:tab w:val="left" w:pos="1021"/>
                    </w:tabs>
                  </w:pPr>
                  <w:r>
                    <w:t>COD</w:t>
                  </w:r>
                </w:p>
              </w:tc>
              <w:tc>
                <w:tcPr>
                  <w:tcW w:w="711" w:type="pct"/>
                  <w:tcBorders>
                    <w:top w:val="single" w:color="000000" w:sz="8" w:space="0"/>
                    <w:left w:val="single" w:color="000000" w:sz="8" w:space="0"/>
                    <w:bottom w:val="single" w:color="000000" w:sz="8" w:space="0"/>
                    <w:right w:val="single" w:color="000000" w:sz="8" w:space="0"/>
                  </w:tcBorders>
                  <w:vAlign w:val="center"/>
                </w:tcPr>
                <w:p>
                  <w:pPr>
                    <w:pStyle w:val="35"/>
                    <w:tabs>
                      <w:tab w:val="left" w:pos="1021"/>
                    </w:tabs>
                  </w:pPr>
                  <w:r>
                    <w:t>300</w:t>
                  </w:r>
                </w:p>
              </w:tc>
              <w:tc>
                <w:tcPr>
                  <w:tcW w:w="664" w:type="pct"/>
                  <w:tcBorders>
                    <w:top w:val="single" w:color="000000" w:sz="8" w:space="0"/>
                    <w:left w:val="single" w:color="000000" w:sz="8" w:space="0"/>
                    <w:bottom w:val="single" w:color="000000" w:sz="8" w:space="0"/>
                    <w:right w:val="single" w:color="000000" w:sz="8" w:space="0"/>
                  </w:tcBorders>
                  <w:vAlign w:val="center"/>
                </w:tcPr>
                <w:p>
                  <w:pPr>
                    <w:pStyle w:val="35"/>
                    <w:tabs>
                      <w:tab w:val="left" w:pos="1021"/>
                    </w:tabs>
                    <w:rPr>
                      <w:rFonts w:hint="default" w:eastAsia="宋体"/>
                      <w:lang w:val="en-US" w:eastAsia="zh-CN"/>
                    </w:rPr>
                  </w:pPr>
                  <w:r>
                    <w:rPr>
                      <w:rFonts w:hint="eastAsia"/>
                      <w:lang w:val="en-US" w:eastAsia="zh-CN"/>
                    </w:rPr>
                    <w:t>0.13</w:t>
                  </w:r>
                </w:p>
              </w:tc>
              <w:tc>
                <w:tcPr>
                  <w:tcW w:w="977" w:type="pct"/>
                  <w:vMerge w:val="restart"/>
                  <w:tcBorders>
                    <w:top w:val="single" w:color="000000" w:sz="8" w:space="0"/>
                    <w:left w:val="single" w:color="000000" w:sz="8" w:space="0"/>
                    <w:bottom w:val="single" w:color="000000" w:sz="8" w:space="0"/>
                    <w:right w:val="single" w:color="000000" w:sz="8" w:space="0"/>
                  </w:tcBorders>
                  <w:vAlign w:val="center"/>
                </w:tcPr>
                <w:p>
                  <w:pPr>
                    <w:pStyle w:val="35"/>
                    <w:tabs>
                      <w:tab w:val="left" w:pos="1021"/>
                    </w:tabs>
                  </w:pPr>
                  <w:r>
                    <w:rPr>
                      <w:rFonts w:hint="eastAsia"/>
                    </w:rPr>
                    <w:t>化粪池</w:t>
                  </w:r>
                </w:p>
              </w:tc>
              <w:tc>
                <w:tcPr>
                  <w:tcW w:w="662" w:type="pct"/>
                  <w:tcBorders>
                    <w:top w:val="single" w:color="000000" w:sz="8" w:space="0"/>
                    <w:left w:val="single" w:color="000000" w:sz="8" w:space="0"/>
                    <w:bottom w:val="single" w:color="000000" w:sz="8" w:space="0"/>
                    <w:right w:val="single" w:color="000000" w:sz="4" w:space="0"/>
                  </w:tcBorders>
                  <w:vAlign w:val="center"/>
                </w:tcPr>
                <w:p>
                  <w:pPr>
                    <w:pStyle w:val="35"/>
                    <w:tabs>
                      <w:tab w:val="left" w:pos="1021"/>
                    </w:tabs>
                  </w:pPr>
                  <w:r>
                    <w:t>250</w:t>
                  </w:r>
                </w:p>
              </w:tc>
              <w:tc>
                <w:tcPr>
                  <w:tcW w:w="536" w:type="pct"/>
                  <w:tcBorders>
                    <w:top w:val="single" w:color="000000" w:sz="8" w:space="0"/>
                    <w:left w:val="single" w:color="000000" w:sz="4" w:space="0"/>
                    <w:bottom w:val="single" w:color="000000" w:sz="8" w:space="0"/>
                    <w:right w:val="single" w:color="000000" w:sz="8" w:space="0"/>
                  </w:tcBorders>
                  <w:vAlign w:val="center"/>
                </w:tcPr>
                <w:p>
                  <w:pPr>
                    <w:pStyle w:val="35"/>
                    <w:tabs>
                      <w:tab w:val="left" w:pos="1021"/>
                    </w:tabs>
                    <w:rPr>
                      <w:rFonts w:hint="default" w:eastAsia="宋体"/>
                      <w:lang w:val="en-US" w:eastAsia="zh-CN"/>
                    </w:rPr>
                  </w:pPr>
                  <w:r>
                    <w:rPr>
                      <w:rFonts w:hint="eastAsia"/>
                      <w:lang w:val="en-US" w:eastAsia="zh-CN"/>
                    </w:rPr>
                    <w:t>0.11</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hRule="atLeast"/>
                <w:jc w:val="center"/>
              </w:trPr>
              <w:tc>
                <w:tcPr>
                  <w:tcW w:w="747" w:type="pct"/>
                  <w:vMerge w:val="continue"/>
                  <w:tcBorders>
                    <w:top w:val="single" w:color="000000" w:sz="8" w:space="0"/>
                    <w:left w:val="single" w:color="000000" w:sz="8" w:space="0"/>
                    <w:bottom w:val="single" w:color="000000" w:sz="8" w:space="0"/>
                    <w:right w:val="single" w:color="000000" w:sz="8" w:space="0"/>
                  </w:tcBorders>
                  <w:vAlign w:val="center"/>
                </w:tcPr>
                <w:p>
                  <w:pPr>
                    <w:pStyle w:val="35"/>
                    <w:tabs>
                      <w:tab w:val="left" w:pos="1021"/>
                    </w:tabs>
                  </w:pPr>
                </w:p>
              </w:tc>
              <w:tc>
                <w:tcPr>
                  <w:tcW w:w="701" w:type="pct"/>
                  <w:tcBorders>
                    <w:top w:val="single" w:color="000000" w:sz="8" w:space="0"/>
                    <w:left w:val="single" w:color="000000" w:sz="8" w:space="0"/>
                    <w:bottom w:val="single" w:color="000000" w:sz="8" w:space="0"/>
                    <w:right w:val="single" w:color="000000" w:sz="8" w:space="0"/>
                  </w:tcBorders>
                  <w:vAlign w:val="center"/>
                </w:tcPr>
                <w:p>
                  <w:pPr>
                    <w:pStyle w:val="35"/>
                    <w:tabs>
                      <w:tab w:val="left" w:pos="1021"/>
                    </w:tabs>
                  </w:pPr>
                  <w:r>
                    <w:t>SS</w:t>
                  </w:r>
                </w:p>
              </w:tc>
              <w:tc>
                <w:tcPr>
                  <w:tcW w:w="711" w:type="pct"/>
                  <w:tcBorders>
                    <w:top w:val="single" w:color="000000" w:sz="8" w:space="0"/>
                    <w:left w:val="single" w:color="000000" w:sz="8" w:space="0"/>
                    <w:bottom w:val="single" w:color="000000" w:sz="8" w:space="0"/>
                    <w:right w:val="single" w:color="000000" w:sz="8" w:space="0"/>
                  </w:tcBorders>
                  <w:vAlign w:val="center"/>
                </w:tcPr>
                <w:p>
                  <w:pPr>
                    <w:pStyle w:val="35"/>
                    <w:tabs>
                      <w:tab w:val="left" w:pos="1021"/>
                    </w:tabs>
                  </w:pPr>
                  <w:r>
                    <w:t>200</w:t>
                  </w:r>
                </w:p>
              </w:tc>
              <w:tc>
                <w:tcPr>
                  <w:tcW w:w="664" w:type="pct"/>
                  <w:tcBorders>
                    <w:top w:val="single" w:color="000000" w:sz="8" w:space="0"/>
                    <w:left w:val="single" w:color="000000" w:sz="8" w:space="0"/>
                    <w:bottom w:val="single" w:color="000000" w:sz="8" w:space="0"/>
                    <w:right w:val="single" w:color="000000" w:sz="8" w:space="0"/>
                  </w:tcBorders>
                  <w:vAlign w:val="center"/>
                </w:tcPr>
                <w:p>
                  <w:pPr>
                    <w:pStyle w:val="35"/>
                    <w:tabs>
                      <w:tab w:val="left" w:pos="1021"/>
                    </w:tabs>
                    <w:rPr>
                      <w:rFonts w:hint="default" w:eastAsia="宋体"/>
                      <w:lang w:val="en-US" w:eastAsia="zh-CN"/>
                    </w:rPr>
                  </w:pPr>
                  <w:r>
                    <w:rPr>
                      <w:rFonts w:hint="eastAsia"/>
                      <w:lang w:val="en-US" w:eastAsia="zh-CN"/>
                    </w:rPr>
                    <w:t>0.09</w:t>
                  </w:r>
                </w:p>
              </w:tc>
              <w:tc>
                <w:tcPr>
                  <w:tcW w:w="977" w:type="pct"/>
                  <w:vMerge w:val="continue"/>
                  <w:tcBorders>
                    <w:top w:val="single" w:color="000000" w:sz="8" w:space="0"/>
                    <w:left w:val="single" w:color="000000" w:sz="8" w:space="0"/>
                    <w:bottom w:val="single" w:color="000000" w:sz="8" w:space="0"/>
                    <w:right w:val="single" w:color="000000" w:sz="8" w:space="0"/>
                  </w:tcBorders>
                  <w:vAlign w:val="center"/>
                </w:tcPr>
                <w:p>
                  <w:pPr>
                    <w:pStyle w:val="35"/>
                    <w:tabs>
                      <w:tab w:val="left" w:pos="1021"/>
                    </w:tabs>
                  </w:pPr>
                </w:p>
              </w:tc>
              <w:tc>
                <w:tcPr>
                  <w:tcW w:w="662" w:type="pct"/>
                  <w:tcBorders>
                    <w:top w:val="single" w:color="000000" w:sz="8" w:space="0"/>
                    <w:left w:val="single" w:color="000000" w:sz="8" w:space="0"/>
                    <w:bottom w:val="single" w:color="000000" w:sz="8" w:space="0"/>
                    <w:right w:val="single" w:color="000000" w:sz="4" w:space="0"/>
                  </w:tcBorders>
                  <w:vAlign w:val="center"/>
                </w:tcPr>
                <w:p>
                  <w:pPr>
                    <w:pStyle w:val="35"/>
                    <w:tabs>
                      <w:tab w:val="left" w:pos="1021"/>
                    </w:tabs>
                  </w:pPr>
                  <w:r>
                    <w:t>60</w:t>
                  </w:r>
                </w:p>
              </w:tc>
              <w:tc>
                <w:tcPr>
                  <w:tcW w:w="536" w:type="pct"/>
                  <w:tcBorders>
                    <w:top w:val="single" w:color="000000" w:sz="8" w:space="0"/>
                    <w:left w:val="single" w:color="000000" w:sz="4" w:space="0"/>
                    <w:bottom w:val="single" w:color="000000" w:sz="8" w:space="0"/>
                    <w:right w:val="single" w:color="000000" w:sz="8" w:space="0"/>
                  </w:tcBorders>
                  <w:vAlign w:val="center"/>
                </w:tcPr>
                <w:p>
                  <w:pPr>
                    <w:pStyle w:val="35"/>
                    <w:tabs>
                      <w:tab w:val="left" w:pos="1021"/>
                    </w:tabs>
                    <w:rPr>
                      <w:rFonts w:hint="default" w:eastAsia="宋体"/>
                      <w:lang w:val="en-US" w:eastAsia="zh-CN"/>
                    </w:rPr>
                  </w:pPr>
                  <w:r>
                    <w:rPr>
                      <w:rFonts w:hint="eastAsia"/>
                      <w:lang w:val="en-US" w:eastAsia="zh-CN"/>
                    </w:rPr>
                    <w:t>0.026</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hRule="atLeast"/>
                <w:jc w:val="center"/>
              </w:trPr>
              <w:tc>
                <w:tcPr>
                  <w:tcW w:w="747" w:type="pct"/>
                  <w:vMerge w:val="continue"/>
                  <w:tcBorders>
                    <w:top w:val="single" w:color="000000" w:sz="8" w:space="0"/>
                    <w:left w:val="single" w:color="000000" w:sz="8" w:space="0"/>
                    <w:bottom w:val="single" w:color="000000" w:sz="8" w:space="0"/>
                    <w:right w:val="single" w:color="000000" w:sz="8" w:space="0"/>
                  </w:tcBorders>
                  <w:vAlign w:val="center"/>
                </w:tcPr>
                <w:p>
                  <w:pPr>
                    <w:pStyle w:val="35"/>
                    <w:tabs>
                      <w:tab w:val="left" w:pos="1021"/>
                    </w:tabs>
                  </w:pPr>
                </w:p>
              </w:tc>
              <w:tc>
                <w:tcPr>
                  <w:tcW w:w="701" w:type="pct"/>
                  <w:tcBorders>
                    <w:top w:val="single" w:color="000000" w:sz="8" w:space="0"/>
                    <w:left w:val="single" w:color="000000" w:sz="8" w:space="0"/>
                    <w:bottom w:val="single" w:color="000000" w:sz="8" w:space="0"/>
                    <w:right w:val="single" w:color="000000" w:sz="8" w:space="0"/>
                  </w:tcBorders>
                  <w:vAlign w:val="center"/>
                </w:tcPr>
                <w:p>
                  <w:pPr>
                    <w:pStyle w:val="35"/>
                    <w:tabs>
                      <w:tab w:val="left" w:pos="1021"/>
                    </w:tabs>
                  </w:pPr>
                  <w:r>
                    <w:t>NH</w:t>
                  </w:r>
                  <w:r>
                    <w:rPr>
                      <w:vertAlign w:val="subscript"/>
                    </w:rPr>
                    <w:t>3</w:t>
                  </w:r>
                  <w:r>
                    <w:t>-N</w:t>
                  </w:r>
                </w:p>
              </w:tc>
              <w:tc>
                <w:tcPr>
                  <w:tcW w:w="711" w:type="pct"/>
                  <w:tcBorders>
                    <w:top w:val="single" w:color="000000" w:sz="8" w:space="0"/>
                    <w:left w:val="single" w:color="000000" w:sz="8" w:space="0"/>
                    <w:bottom w:val="single" w:color="000000" w:sz="8" w:space="0"/>
                    <w:right w:val="single" w:color="000000" w:sz="8" w:space="0"/>
                  </w:tcBorders>
                  <w:vAlign w:val="center"/>
                </w:tcPr>
                <w:p>
                  <w:pPr>
                    <w:pStyle w:val="35"/>
                    <w:tabs>
                      <w:tab w:val="left" w:pos="1021"/>
                    </w:tabs>
                  </w:pPr>
                  <w:r>
                    <w:t>30</w:t>
                  </w:r>
                </w:p>
              </w:tc>
              <w:tc>
                <w:tcPr>
                  <w:tcW w:w="664" w:type="pct"/>
                  <w:tcBorders>
                    <w:top w:val="single" w:color="000000" w:sz="8" w:space="0"/>
                    <w:left w:val="single" w:color="000000" w:sz="8" w:space="0"/>
                    <w:bottom w:val="single" w:color="000000" w:sz="8" w:space="0"/>
                    <w:right w:val="single" w:color="000000" w:sz="8" w:space="0"/>
                  </w:tcBorders>
                  <w:vAlign w:val="center"/>
                </w:tcPr>
                <w:p>
                  <w:pPr>
                    <w:pStyle w:val="35"/>
                    <w:tabs>
                      <w:tab w:val="left" w:pos="1021"/>
                    </w:tabs>
                    <w:rPr>
                      <w:rFonts w:hint="default" w:eastAsia="宋体"/>
                      <w:lang w:val="en-US" w:eastAsia="zh-CN"/>
                    </w:rPr>
                  </w:pPr>
                  <w:r>
                    <w:rPr>
                      <w:rFonts w:hint="eastAsia"/>
                      <w:lang w:val="en-US" w:eastAsia="zh-CN"/>
                    </w:rPr>
                    <w:t>0.013</w:t>
                  </w:r>
                </w:p>
              </w:tc>
              <w:tc>
                <w:tcPr>
                  <w:tcW w:w="977" w:type="pct"/>
                  <w:vMerge w:val="continue"/>
                  <w:tcBorders>
                    <w:top w:val="single" w:color="000000" w:sz="8" w:space="0"/>
                    <w:left w:val="single" w:color="000000" w:sz="8" w:space="0"/>
                    <w:bottom w:val="single" w:color="000000" w:sz="8" w:space="0"/>
                    <w:right w:val="single" w:color="000000" w:sz="8" w:space="0"/>
                  </w:tcBorders>
                  <w:vAlign w:val="center"/>
                </w:tcPr>
                <w:p>
                  <w:pPr>
                    <w:pStyle w:val="35"/>
                    <w:tabs>
                      <w:tab w:val="left" w:pos="1021"/>
                    </w:tabs>
                  </w:pPr>
                </w:p>
              </w:tc>
              <w:tc>
                <w:tcPr>
                  <w:tcW w:w="662" w:type="pct"/>
                  <w:tcBorders>
                    <w:top w:val="single" w:color="000000" w:sz="8" w:space="0"/>
                    <w:left w:val="single" w:color="000000" w:sz="8" w:space="0"/>
                    <w:bottom w:val="single" w:color="000000" w:sz="8" w:space="0"/>
                    <w:right w:val="single" w:color="000000" w:sz="4" w:space="0"/>
                  </w:tcBorders>
                  <w:vAlign w:val="center"/>
                </w:tcPr>
                <w:p>
                  <w:pPr>
                    <w:pStyle w:val="35"/>
                    <w:tabs>
                      <w:tab w:val="left" w:pos="1021"/>
                    </w:tabs>
                  </w:pPr>
                  <w:r>
                    <w:t>24</w:t>
                  </w:r>
                </w:p>
              </w:tc>
              <w:tc>
                <w:tcPr>
                  <w:tcW w:w="536" w:type="pct"/>
                  <w:tcBorders>
                    <w:top w:val="single" w:color="000000" w:sz="8" w:space="0"/>
                    <w:left w:val="single" w:color="000000" w:sz="4" w:space="0"/>
                    <w:bottom w:val="single" w:color="000000" w:sz="8" w:space="0"/>
                    <w:right w:val="single" w:color="000000" w:sz="8" w:space="0"/>
                  </w:tcBorders>
                  <w:vAlign w:val="center"/>
                </w:tcPr>
                <w:p>
                  <w:pPr>
                    <w:pStyle w:val="35"/>
                    <w:tabs>
                      <w:tab w:val="left" w:pos="1021"/>
                    </w:tabs>
                    <w:rPr>
                      <w:rFonts w:hint="default" w:eastAsia="宋体"/>
                      <w:lang w:val="en-US" w:eastAsia="zh-CN"/>
                    </w:rPr>
                  </w:pPr>
                  <w:r>
                    <w:rPr>
                      <w:rFonts w:hint="eastAsia"/>
                      <w:lang w:val="en-US" w:eastAsia="zh-CN"/>
                    </w:rPr>
                    <w:t>0.01</w:t>
                  </w:r>
                </w:p>
              </w:tc>
            </w:tr>
          </w:tbl>
          <w:p>
            <w:pPr>
              <w:tabs>
                <w:tab w:val="left" w:pos="0"/>
                <w:tab w:val="left" w:pos="870"/>
                <w:tab w:val="left" w:pos="3150"/>
              </w:tabs>
              <w:ind w:firstLine="480"/>
            </w:pPr>
            <w:r>
              <w:rPr>
                <w:rFonts w:hint="eastAsia"/>
              </w:rPr>
              <w:fldChar w:fldCharType="begin"/>
            </w:r>
            <w:r>
              <w:instrText xml:space="preserve"> = 3 \* GB3 </w:instrText>
            </w:r>
            <w:r>
              <w:rPr>
                <w:rFonts w:hint="eastAsia"/>
              </w:rPr>
              <w:fldChar w:fldCharType="separate"/>
            </w:r>
            <w:r>
              <w:rPr>
                <w:rFonts w:hint="eastAsia"/>
              </w:rPr>
              <w:t>③</w:t>
            </w:r>
            <w:r>
              <w:rPr>
                <w:rFonts w:hint="eastAsia"/>
              </w:rPr>
              <w:fldChar w:fldCharType="end"/>
            </w:r>
            <w:r>
              <w:rPr>
                <w:rFonts w:hint="eastAsia"/>
              </w:rPr>
              <w:t>场地清洗废水</w:t>
            </w:r>
          </w:p>
          <w:p>
            <w:pPr>
              <w:pStyle w:val="14"/>
              <w:ind w:firstLine="480"/>
            </w:pPr>
            <w:r>
              <w:rPr>
                <w:rFonts w:hint="eastAsia"/>
              </w:rPr>
              <w:t>加油站地面清洁现采用人工拖洗方式，不采用冲洗方式。对有重油污的地方使用消防砂浸渍清扫后再进行拖洗。</w:t>
            </w:r>
            <w:r>
              <w:t>本项目</w:t>
            </w:r>
            <w:r>
              <w:rPr>
                <w:rFonts w:hint="eastAsia"/>
              </w:rPr>
              <w:t>地面清洁</w:t>
            </w:r>
            <w:r>
              <w:t>面积</w:t>
            </w:r>
            <w:r>
              <w:rPr>
                <w:rFonts w:hint="eastAsia"/>
                <w:lang w:eastAsia="zh-CN"/>
              </w:rPr>
              <w:t>约为</w:t>
            </w:r>
            <w:r>
              <w:rPr>
                <w:rFonts w:hint="eastAsia"/>
                <w:lang w:val="en-US" w:eastAsia="zh-CN"/>
              </w:rPr>
              <w:t>300</w:t>
            </w:r>
            <w:r>
              <w:t>m²，</w:t>
            </w:r>
            <w:r>
              <w:rPr>
                <w:rFonts w:hint="eastAsia"/>
              </w:rPr>
              <w:t>根据《湖南省地方标准用水定额》（DB43/T 388-2020），用水量定额按2</w:t>
            </w:r>
            <w:r>
              <w:t>L/m²·</w:t>
            </w:r>
            <w:r>
              <w:rPr>
                <w:rFonts w:hint="eastAsia"/>
              </w:rPr>
              <w:t>月计，约为</w:t>
            </w:r>
            <w:r>
              <w:t>0.0</w:t>
            </w:r>
            <w:r>
              <w:rPr>
                <w:rFonts w:hint="eastAsia"/>
                <w:lang w:val="en-US" w:eastAsia="zh-CN"/>
              </w:rPr>
              <w:t>2</w:t>
            </w:r>
            <w:r>
              <w:t>m³/d</w:t>
            </w:r>
            <w:r>
              <w:rPr>
                <w:rFonts w:hint="eastAsia"/>
              </w:rPr>
              <w:t>，</w:t>
            </w:r>
            <w:r>
              <w:rPr>
                <w:rFonts w:hint="eastAsia"/>
                <w:lang w:val="en-US" w:eastAsia="zh-CN"/>
              </w:rPr>
              <w:t>7.2</w:t>
            </w:r>
            <w:r>
              <w:t>m³/a</w:t>
            </w:r>
            <w:r>
              <w:rPr>
                <w:rFonts w:hint="eastAsia"/>
              </w:rPr>
              <w:t>。产污系数按</w:t>
            </w:r>
            <w:r>
              <w:t>80%</w:t>
            </w:r>
            <w:r>
              <w:rPr>
                <w:rFonts w:hint="eastAsia"/>
              </w:rPr>
              <w:t>计算，则场地清洗废水产生量为</w:t>
            </w:r>
            <w:r>
              <w:rPr>
                <w:rFonts w:hint="eastAsia"/>
                <w:lang w:val="en-US" w:eastAsia="zh-CN"/>
              </w:rPr>
              <w:t>0.016</w:t>
            </w:r>
            <w:r>
              <w:t>m³/d</w:t>
            </w:r>
            <w:r>
              <w:rPr>
                <w:rFonts w:hint="eastAsia"/>
              </w:rPr>
              <w:t>，</w:t>
            </w:r>
            <w:r>
              <w:rPr>
                <w:rFonts w:hint="eastAsia"/>
                <w:lang w:val="en-US" w:eastAsia="zh-CN"/>
              </w:rPr>
              <w:t>5.76</w:t>
            </w:r>
            <w:r>
              <w:t>m³/a</w:t>
            </w:r>
            <w:r>
              <w:rPr>
                <w:rFonts w:hint="eastAsia"/>
              </w:rPr>
              <w:t>。</w:t>
            </w:r>
            <w:r>
              <w:t>该类废水中的主要污染物为SS和石油类，相应的产生情况分别为SS：500mg/L、</w:t>
            </w:r>
            <w:r>
              <w:rPr>
                <w:rFonts w:hint="eastAsia"/>
                <w:lang w:val="en-US" w:eastAsia="zh-CN"/>
              </w:rPr>
              <w:t>0.003</w:t>
            </w:r>
            <w:r>
              <w:t>t/a，石油类：80mg/L、</w:t>
            </w:r>
            <w:r>
              <w:rPr>
                <w:rFonts w:hint="eastAsia"/>
              </w:rPr>
              <w:t>0.00</w:t>
            </w:r>
            <w:r>
              <w:rPr>
                <w:rFonts w:hint="eastAsia"/>
                <w:lang w:val="en-US" w:eastAsia="zh-CN"/>
              </w:rPr>
              <w:t>045</w:t>
            </w:r>
            <w:r>
              <w:t>t/a</w:t>
            </w:r>
            <w:r>
              <w:rPr>
                <w:rFonts w:hint="eastAsia"/>
              </w:rPr>
              <w:t>，排放情况分别为</w:t>
            </w:r>
            <w:r>
              <w:t>SS：</w:t>
            </w:r>
            <w:r>
              <w:rPr>
                <w:rFonts w:hint="eastAsia"/>
              </w:rPr>
              <w:t>40</w:t>
            </w:r>
            <w:r>
              <w:t>0mg/L、</w:t>
            </w:r>
            <w:r>
              <w:rPr>
                <w:rFonts w:hint="eastAsia"/>
                <w:lang w:val="en-US" w:eastAsia="zh-CN"/>
              </w:rPr>
              <w:t>0.0023</w:t>
            </w:r>
            <w:r>
              <w:t>t/a，石油类：</w:t>
            </w:r>
            <w:r>
              <w:rPr>
                <w:rFonts w:hint="eastAsia"/>
              </w:rPr>
              <w:t>15</w:t>
            </w:r>
            <w:r>
              <w:t>mg/L、0.0</w:t>
            </w:r>
            <w:r>
              <w:rPr>
                <w:rFonts w:hint="eastAsia"/>
              </w:rPr>
              <w:t>00</w:t>
            </w:r>
            <w:r>
              <w:rPr>
                <w:rFonts w:hint="eastAsia"/>
                <w:lang w:val="en-US" w:eastAsia="zh-CN"/>
              </w:rPr>
              <w:t>08</w:t>
            </w:r>
            <w:r>
              <w:t>t/a。</w:t>
            </w:r>
            <w:r>
              <w:rPr>
                <w:rFonts w:hint="eastAsia"/>
              </w:rPr>
              <w:t>经隔油沉淀池处理达到《污水综合排放标准》（GB8978-1996）三级标准后排入</w:t>
            </w:r>
            <w:r>
              <w:rPr>
                <w:rFonts w:hint="eastAsia"/>
                <w:lang w:eastAsia="zh-CN"/>
              </w:rPr>
              <w:t>市政污水管网</w:t>
            </w:r>
            <w:r>
              <w:rPr>
                <w:rFonts w:hint="eastAsia"/>
              </w:rPr>
              <w:t>。</w:t>
            </w:r>
          </w:p>
          <w:p>
            <w:pPr>
              <w:pStyle w:val="14"/>
              <w:ind w:firstLine="480"/>
            </w:pPr>
            <w:r>
              <w:rPr>
                <w:rFonts w:hint="eastAsia"/>
              </w:rPr>
              <w:t>④</w:t>
            </w:r>
            <w:r>
              <w:t>洗车废水</w:t>
            </w:r>
          </w:p>
          <w:p>
            <w:pPr>
              <w:pStyle w:val="14"/>
              <w:ind w:firstLine="480"/>
            </w:pPr>
            <w:r>
              <w:t>项目拟在</w:t>
            </w:r>
            <w:r>
              <w:rPr>
                <w:rFonts w:hint="eastAsia"/>
              </w:rPr>
              <w:t>站区</w:t>
            </w:r>
            <w:r>
              <w:rPr>
                <w:rFonts w:hint="eastAsia"/>
                <w:lang w:eastAsia="zh-CN"/>
              </w:rPr>
              <w:t>南</w:t>
            </w:r>
            <w:r>
              <w:rPr>
                <w:rFonts w:hint="eastAsia"/>
              </w:rPr>
              <w:t>面</w:t>
            </w:r>
            <w:r>
              <w:t>设洗车服务，根据建设单位提供资料，每天洗车服务车辆</w:t>
            </w:r>
            <w:r>
              <w:rPr>
                <w:rFonts w:hint="eastAsia"/>
              </w:rPr>
              <w:t>30</w:t>
            </w:r>
            <w:r>
              <w:t>辆，</w:t>
            </w:r>
            <w:r>
              <w:rPr>
                <w:rFonts w:hint="eastAsia"/>
              </w:rPr>
              <w:t>根据《湖南省地方标准用水定额》（DB43/T 388-2020），</w:t>
            </w:r>
            <w:r>
              <w:t>车辆冲洗用水量</w:t>
            </w:r>
            <w:r>
              <w:rPr>
                <w:rFonts w:hint="eastAsia"/>
              </w:rPr>
              <w:t>4</w:t>
            </w:r>
            <w:r>
              <w:t>0L/车次，则车辆冲洗用水量约</w:t>
            </w:r>
            <w:r>
              <w:rPr>
                <w:rFonts w:hint="eastAsia"/>
              </w:rPr>
              <w:t>1.2</w:t>
            </w:r>
            <w:r>
              <w:t>m³/d、</w:t>
            </w:r>
            <w:r>
              <w:rPr>
                <w:rFonts w:hint="eastAsia"/>
              </w:rPr>
              <w:t>438</w:t>
            </w:r>
            <w:r>
              <w:t>m³/a。</w:t>
            </w:r>
            <w:r>
              <w:rPr>
                <w:rFonts w:hint="eastAsia"/>
              </w:rPr>
              <w:t>产污系数按</w:t>
            </w:r>
            <w:r>
              <w:t>80%</w:t>
            </w:r>
            <w:r>
              <w:rPr>
                <w:rFonts w:hint="eastAsia"/>
              </w:rPr>
              <w:t>计算，</w:t>
            </w:r>
            <w:r>
              <w:t>洗车废水</w:t>
            </w:r>
            <w:r>
              <w:rPr>
                <w:rFonts w:hint="eastAsia"/>
                <w:lang w:eastAsia="zh-CN"/>
              </w:rPr>
              <w:t>产生量为</w:t>
            </w:r>
            <w:r>
              <w:rPr>
                <w:rFonts w:hint="eastAsia"/>
                <w:lang w:val="en-US" w:eastAsia="zh-CN"/>
              </w:rPr>
              <w:t>350.4</w:t>
            </w:r>
            <w:r>
              <w:t>m³/a</w:t>
            </w:r>
            <w:r>
              <w:rPr>
                <w:rFonts w:hint="eastAsia"/>
                <w:lang w:eastAsia="zh-CN"/>
              </w:rPr>
              <w:t>。</w:t>
            </w:r>
            <w:r>
              <w:t>废水中主要污染物是SS、石油类及LAS，根据类比调查，污染物的主要浓度SS为 200mg/L、石油类为20mg/L、LAS为2.6mg/L。</w:t>
            </w:r>
            <w:r>
              <w:rPr>
                <w:rFonts w:hint="eastAsia"/>
              </w:rPr>
              <w:t>经隔油沉淀池处理达到《污水综合排放标准》（GB8978-1996）三级标准后排入</w:t>
            </w:r>
            <w:r>
              <w:rPr>
                <w:rFonts w:hint="eastAsia"/>
                <w:lang w:eastAsia="zh-CN"/>
              </w:rPr>
              <w:t>市政污水管网</w:t>
            </w:r>
            <w:r>
              <w:rPr>
                <w:rFonts w:hint="eastAsia"/>
              </w:rPr>
              <w:t>。</w:t>
            </w:r>
          </w:p>
          <w:p>
            <w:pPr>
              <w:tabs>
                <w:tab w:val="left" w:pos="1021"/>
              </w:tabs>
              <w:ind w:firstLine="480" w:firstLineChars="200"/>
            </w:pPr>
            <w:r>
              <w:rPr>
                <w:rFonts w:hint="eastAsia"/>
              </w:rPr>
              <w:t>根据上述分析，本项目用水情况汇总见</w:t>
            </w:r>
            <w:r>
              <w:rPr>
                <w:rFonts w:hint="eastAsia"/>
                <w:lang w:eastAsia="zh-CN"/>
              </w:rPr>
              <w:t>下</w:t>
            </w:r>
            <w:r>
              <w:rPr>
                <w:rFonts w:hint="eastAsia"/>
              </w:rPr>
              <w:t>表。</w:t>
            </w:r>
          </w:p>
          <w:p>
            <w:pPr>
              <w:pStyle w:val="36"/>
              <w:tabs>
                <w:tab w:val="left" w:pos="1021"/>
              </w:tabs>
            </w:pPr>
            <w:r>
              <w:rPr>
                <w:rFonts w:hint="eastAsia"/>
              </w:rPr>
              <w:t>表</w:t>
            </w:r>
            <w:r>
              <w:rPr>
                <w:rFonts w:hint="eastAsia"/>
                <w:lang w:val="en-US" w:eastAsia="zh-CN"/>
              </w:rPr>
              <w:t>4.2-9</w:t>
            </w:r>
            <w:r>
              <w:rPr>
                <w:rFonts w:hint="eastAsia"/>
              </w:rPr>
              <w:t>项目用水情况表</w:t>
            </w:r>
          </w:p>
          <w:tbl>
            <w:tblPr>
              <w:tblStyle w:val="3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5" w:type="dxa"/>
                <w:left w:w="15" w:type="dxa"/>
                <w:bottom w:w="15" w:type="dxa"/>
                <w:right w:w="15" w:type="dxa"/>
              </w:tblCellMar>
            </w:tblPr>
            <w:tblGrid>
              <w:gridCol w:w="582"/>
              <w:gridCol w:w="1460"/>
              <w:gridCol w:w="1354"/>
              <w:gridCol w:w="1441"/>
              <w:gridCol w:w="1078"/>
              <w:gridCol w:w="19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jc w:val="center"/>
              </w:trPr>
              <w:tc>
                <w:tcPr>
                  <w:tcW w:w="369"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rPr>
                      <w:rFonts w:hint="eastAsia"/>
                    </w:rPr>
                    <w:t>序号</w:t>
                  </w:r>
                </w:p>
              </w:tc>
              <w:tc>
                <w:tcPr>
                  <w:tcW w:w="925"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rPr>
                      <w:rFonts w:hint="eastAsia"/>
                    </w:rPr>
                    <w:t>用水工序</w:t>
                  </w:r>
                </w:p>
              </w:tc>
              <w:tc>
                <w:tcPr>
                  <w:tcW w:w="858"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rPr>
                      <w:rFonts w:hint="eastAsia"/>
                    </w:rPr>
                    <w:t>用水量</w:t>
                  </w:r>
                  <w:r>
                    <w:t>m³/d</w:t>
                  </w:r>
                </w:p>
              </w:tc>
              <w:tc>
                <w:tcPr>
                  <w:tcW w:w="913"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rPr>
                      <w:rFonts w:hint="eastAsia"/>
                    </w:rPr>
                    <w:t>用水量</w:t>
                  </w:r>
                  <w:r>
                    <w:t>m³/a</w:t>
                  </w:r>
                </w:p>
              </w:tc>
              <w:tc>
                <w:tcPr>
                  <w:tcW w:w="683"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rPr>
                      <w:rFonts w:hint="eastAsia"/>
                    </w:rPr>
                    <w:t>损耗</w:t>
                  </w:r>
                  <w:r>
                    <w:t>m³/a</w:t>
                  </w:r>
                </w:p>
              </w:tc>
              <w:tc>
                <w:tcPr>
                  <w:tcW w:w="1250"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rPr>
                      <w:rFonts w:hint="eastAsia"/>
                    </w:rPr>
                    <w:t>产生量</w:t>
                  </w:r>
                  <w:r>
                    <w:t>m³/a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jc w:val="center"/>
              </w:trPr>
              <w:tc>
                <w:tcPr>
                  <w:tcW w:w="369"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t>1</w:t>
                  </w:r>
                </w:p>
              </w:tc>
              <w:tc>
                <w:tcPr>
                  <w:tcW w:w="925"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rPr>
                      <w:rFonts w:hint="eastAsia"/>
                    </w:rPr>
                    <w:t>生活用水</w:t>
                  </w:r>
                </w:p>
              </w:tc>
              <w:tc>
                <w:tcPr>
                  <w:tcW w:w="858"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rPr>
                      <w:rFonts w:hint="default" w:eastAsia="宋体"/>
                      <w:lang w:val="en-US" w:eastAsia="zh-CN"/>
                    </w:rPr>
                  </w:pPr>
                  <w:r>
                    <w:rPr>
                      <w:rFonts w:hint="eastAsia"/>
                      <w:lang w:val="en-US" w:eastAsia="zh-CN"/>
                    </w:rPr>
                    <w:t>1.5</w:t>
                  </w:r>
                </w:p>
              </w:tc>
              <w:tc>
                <w:tcPr>
                  <w:tcW w:w="913"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rPr>
                      <w:rFonts w:hint="default" w:eastAsia="宋体"/>
                      <w:lang w:val="en-US" w:eastAsia="zh-CN"/>
                    </w:rPr>
                  </w:pPr>
                  <w:r>
                    <w:rPr>
                      <w:rFonts w:hint="eastAsia"/>
                      <w:lang w:val="en-US" w:eastAsia="zh-CN"/>
                    </w:rPr>
                    <w:t>547.5</w:t>
                  </w:r>
                </w:p>
              </w:tc>
              <w:tc>
                <w:tcPr>
                  <w:tcW w:w="683"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rPr>
                      <w:rFonts w:hint="eastAsia"/>
                      <w:lang w:val="en-US" w:eastAsia="zh-CN"/>
                    </w:rPr>
                    <w:t>109.5</w:t>
                  </w:r>
                </w:p>
              </w:tc>
              <w:tc>
                <w:tcPr>
                  <w:tcW w:w="1250"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rPr>
                      <w:rFonts w:hint="default" w:eastAsia="宋体"/>
                      <w:lang w:val="en-US" w:eastAsia="zh-CN"/>
                    </w:rPr>
                  </w:pPr>
                  <w:r>
                    <w:rPr>
                      <w:rFonts w:hint="eastAsia"/>
                      <w:lang w:val="en-US" w:eastAsia="zh-CN"/>
                    </w:rPr>
                    <w:t>438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jc w:val="center"/>
              </w:trPr>
              <w:tc>
                <w:tcPr>
                  <w:tcW w:w="369"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t>2</w:t>
                  </w:r>
                </w:p>
              </w:tc>
              <w:tc>
                <w:tcPr>
                  <w:tcW w:w="925"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rPr>
                      <w:rFonts w:hint="eastAsia"/>
                    </w:rPr>
                    <w:t>场地清洗用水</w:t>
                  </w:r>
                </w:p>
              </w:tc>
              <w:tc>
                <w:tcPr>
                  <w:tcW w:w="858"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rPr>
                      <w:rFonts w:hint="eastAsia" w:eastAsia="宋体"/>
                      <w:lang w:val="en-US" w:eastAsia="zh-CN"/>
                    </w:rPr>
                  </w:pPr>
                  <w:r>
                    <w:t>0.0</w:t>
                  </w:r>
                  <w:r>
                    <w:rPr>
                      <w:rFonts w:hint="eastAsia"/>
                      <w:lang w:val="en-US" w:eastAsia="zh-CN"/>
                    </w:rPr>
                    <w:t>2</w:t>
                  </w:r>
                </w:p>
              </w:tc>
              <w:tc>
                <w:tcPr>
                  <w:tcW w:w="913"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rPr>
                      <w:rFonts w:hint="default" w:eastAsia="宋体"/>
                      <w:lang w:val="en-US" w:eastAsia="zh-CN"/>
                    </w:rPr>
                  </w:pPr>
                  <w:r>
                    <w:rPr>
                      <w:rFonts w:hint="eastAsia"/>
                      <w:lang w:val="en-US" w:eastAsia="zh-CN"/>
                    </w:rPr>
                    <w:t>7.2</w:t>
                  </w:r>
                </w:p>
              </w:tc>
              <w:tc>
                <w:tcPr>
                  <w:tcW w:w="683"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rPr>
                      <w:rFonts w:hint="default" w:eastAsia="宋体"/>
                      <w:lang w:val="en-US" w:eastAsia="zh-CN"/>
                    </w:rPr>
                  </w:pPr>
                  <w:r>
                    <w:rPr>
                      <w:rFonts w:hint="eastAsia"/>
                      <w:lang w:val="en-US" w:eastAsia="zh-CN"/>
                    </w:rPr>
                    <w:t>1.4</w:t>
                  </w:r>
                </w:p>
              </w:tc>
              <w:tc>
                <w:tcPr>
                  <w:tcW w:w="1250"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rPr>
                      <w:rFonts w:hint="default" w:eastAsia="宋体"/>
                      <w:lang w:val="en-US" w:eastAsia="zh-CN"/>
                    </w:rPr>
                  </w:pPr>
                  <w:r>
                    <w:rPr>
                      <w:rFonts w:hint="eastAsia"/>
                      <w:lang w:val="en-US" w:eastAsia="zh-CN"/>
                    </w:rPr>
                    <w:t>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jc w:val="center"/>
              </w:trPr>
              <w:tc>
                <w:tcPr>
                  <w:tcW w:w="369"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t>3</w:t>
                  </w:r>
                </w:p>
              </w:tc>
              <w:tc>
                <w:tcPr>
                  <w:tcW w:w="925"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t>洗车</w:t>
                  </w:r>
                  <w:r>
                    <w:rPr>
                      <w:rFonts w:hint="eastAsia"/>
                      <w:lang w:eastAsia="zh-CN"/>
                    </w:rPr>
                    <w:t>用</w:t>
                  </w:r>
                  <w:r>
                    <w:t>水</w:t>
                  </w:r>
                </w:p>
              </w:tc>
              <w:tc>
                <w:tcPr>
                  <w:tcW w:w="858"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rPr>
                      <w:rFonts w:hint="eastAsia"/>
                    </w:rPr>
                    <w:t>1.2</w:t>
                  </w:r>
                </w:p>
              </w:tc>
              <w:tc>
                <w:tcPr>
                  <w:tcW w:w="913"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rPr>
                      <w:rFonts w:hint="eastAsia"/>
                    </w:rPr>
                    <w:t>438</w:t>
                  </w:r>
                </w:p>
              </w:tc>
              <w:tc>
                <w:tcPr>
                  <w:tcW w:w="683"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rPr>
                      <w:rFonts w:hint="eastAsia"/>
                    </w:rPr>
                    <w:t>88</w:t>
                  </w:r>
                </w:p>
              </w:tc>
              <w:tc>
                <w:tcPr>
                  <w:tcW w:w="1250"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rPr>
                      <w:rFonts w:hint="eastAsia"/>
                    </w:rPr>
                    <w:t>350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jc w:val="center"/>
              </w:trPr>
              <w:tc>
                <w:tcPr>
                  <w:tcW w:w="369"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rPr>
                      <w:rFonts w:hint="eastAsia"/>
                    </w:rPr>
                    <w:t>4</w:t>
                  </w:r>
                </w:p>
              </w:tc>
              <w:tc>
                <w:tcPr>
                  <w:tcW w:w="925"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rPr>
                      <w:rFonts w:hint="eastAsia"/>
                    </w:rPr>
                    <w:t>总量合计</w:t>
                  </w:r>
                </w:p>
              </w:tc>
              <w:tc>
                <w:tcPr>
                  <w:tcW w:w="858"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rPr>
                      <w:rFonts w:hint="eastAsia"/>
                      <w:lang w:val="en-US" w:eastAsia="zh-CN"/>
                    </w:rPr>
                    <w:t>2.74</w:t>
                  </w:r>
                </w:p>
              </w:tc>
              <w:tc>
                <w:tcPr>
                  <w:tcW w:w="913"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rPr>
                      <w:rFonts w:hint="default" w:eastAsia="宋体"/>
                      <w:lang w:val="en-US" w:eastAsia="zh-CN"/>
                    </w:rPr>
                  </w:pPr>
                  <w:r>
                    <w:rPr>
                      <w:rFonts w:hint="eastAsia"/>
                      <w:lang w:val="en-US" w:eastAsia="zh-CN"/>
                    </w:rPr>
                    <w:t>992.7</w:t>
                  </w:r>
                </w:p>
              </w:tc>
              <w:tc>
                <w:tcPr>
                  <w:tcW w:w="683"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rPr>
                      <w:rFonts w:hint="default" w:eastAsia="宋体"/>
                      <w:lang w:val="en-US" w:eastAsia="zh-CN"/>
                    </w:rPr>
                  </w:pPr>
                  <w:r>
                    <w:rPr>
                      <w:rFonts w:hint="eastAsia"/>
                      <w:lang w:val="en-US" w:eastAsia="zh-CN"/>
                    </w:rPr>
                    <w:t>198.9</w:t>
                  </w:r>
                </w:p>
              </w:tc>
              <w:tc>
                <w:tcPr>
                  <w:tcW w:w="1250"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rPr>
                      <w:rFonts w:hint="default" w:eastAsia="宋体"/>
                      <w:lang w:val="en-US" w:eastAsia="zh-CN"/>
                    </w:rPr>
                  </w:pPr>
                  <w:r>
                    <w:rPr>
                      <w:rFonts w:hint="eastAsia"/>
                      <w:lang w:val="en-US" w:eastAsia="zh-CN"/>
                    </w:rPr>
                    <w:t>793.8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jc w:val="center"/>
              </w:trPr>
              <w:tc>
                <w:tcPr>
                  <w:tcW w:w="369"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t>5</w:t>
                  </w:r>
                </w:p>
              </w:tc>
              <w:tc>
                <w:tcPr>
                  <w:tcW w:w="925"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rPr>
                      <w:rFonts w:hint="eastAsia"/>
                    </w:rPr>
                    <w:t>初期雨水</w:t>
                  </w:r>
                </w:p>
              </w:tc>
              <w:tc>
                <w:tcPr>
                  <w:tcW w:w="1771" w:type="pct"/>
                  <w:gridSpan w:val="2"/>
                  <w:tcBorders>
                    <w:top w:val="single" w:color="auto" w:sz="4" w:space="0"/>
                    <w:left w:val="single" w:color="auto" w:sz="4" w:space="0"/>
                    <w:bottom w:val="single" w:color="auto" w:sz="4" w:space="0"/>
                    <w:right w:val="single" w:color="auto" w:sz="4" w:space="0"/>
                  </w:tcBorders>
                  <w:vAlign w:val="center"/>
                </w:tcPr>
                <w:p>
                  <w:pPr>
                    <w:pStyle w:val="35"/>
                    <w:tabs>
                      <w:tab w:val="left" w:pos="1021"/>
                    </w:tabs>
                    <w:rPr>
                      <w:rFonts w:hint="default" w:eastAsia="宋体"/>
                      <w:lang w:val="en-US" w:eastAsia="zh-CN"/>
                    </w:rPr>
                  </w:pPr>
                  <w:r>
                    <w:rPr>
                      <w:rFonts w:hint="eastAsia"/>
                      <w:lang w:val="en-US" w:eastAsia="zh-CN"/>
                    </w:rPr>
                    <w:t>60.8</w:t>
                  </w:r>
                </w:p>
              </w:tc>
              <w:tc>
                <w:tcPr>
                  <w:tcW w:w="683"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rPr>
                      <w:rFonts w:hint="default" w:eastAsia="宋体"/>
                      <w:lang w:val="en-US" w:eastAsia="zh-CN"/>
                    </w:rPr>
                  </w:pPr>
                  <w:r>
                    <w:rPr>
                      <w:rFonts w:hint="eastAsia"/>
                      <w:lang w:val="en-US" w:eastAsia="zh-CN"/>
                    </w:rPr>
                    <w:t>12.2</w:t>
                  </w:r>
                </w:p>
              </w:tc>
              <w:tc>
                <w:tcPr>
                  <w:tcW w:w="1250"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rPr>
                      <w:rFonts w:hint="default" w:eastAsia="宋体"/>
                      <w:lang w:val="en-US" w:eastAsia="zh-CN"/>
                    </w:rPr>
                  </w:pPr>
                  <w:r>
                    <w:rPr>
                      <w:rFonts w:hint="eastAsia"/>
                      <w:lang w:val="en-US" w:eastAsia="zh-CN"/>
                    </w:rPr>
                    <w:t>48.6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jc w:val="center"/>
              </w:trPr>
              <w:tc>
                <w:tcPr>
                  <w:tcW w:w="369"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rPr>
                      <w:rFonts w:hint="eastAsia"/>
                    </w:rPr>
                    <w:t>6</w:t>
                  </w:r>
                </w:p>
              </w:tc>
              <w:tc>
                <w:tcPr>
                  <w:tcW w:w="925"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rPr>
                      <w:rFonts w:hint="eastAsia"/>
                    </w:rPr>
                    <w:t>新鲜用水</w:t>
                  </w:r>
                </w:p>
              </w:tc>
              <w:tc>
                <w:tcPr>
                  <w:tcW w:w="3705" w:type="pct"/>
                  <w:gridSpan w:val="4"/>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t>总用水量（</w:t>
                  </w:r>
                  <w:r>
                    <w:rPr>
                      <w:rFonts w:hint="eastAsia"/>
                      <w:lang w:val="en-US" w:eastAsia="zh-CN"/>
                    </w:rPr>
                    <w:t>1000.1</w:t>
                  </w:r>
                  <w:r>
                    <w:t>）</w:t>
                  </w:r>
                </w:p>
              </w:tc>
            </w:tr>
          </w:tbl>
          <w:p>
            <w:pPr>
              <w:pStyle w:val="36"/>
              <w:bidi w:val="0"/>
              <w:rPr>
                <w:rFonts w:hint="default"/>
              </w:rPr>
            </w:pPr>
            <w:r>
              <w:rPr>
                <w:rFonts w:hint="default"/>
              </w:rPr>
              <w:t>表</w:t>
            </w:r>
            <w:r>
              <w:rPr>
                <w:rFonts w:hint="eastAsia"/>
                <w:lang w:val="en-US" w:eastAsia="zh-CN"/>
              </w:rPr>
              <w:t>4.2-10</w:t>
            </w:r>
            <w:r>
              <w:rPr>
                <w:rFonts w:hint="default"/>
              </w:rPr>
              <w:t xml:space="preserve"> 项目外排废水产</w:t>
            </w:r>
            <w:r>
              <w:rPr>
                <w:rFonts w:hint="eastAsia"/>
                <w:lang w:val="en-US" w:eastAsia="zh-CN"/>
              </w:rPr>
              <w:t>排</w:t>
            </w:r>
            <w:r>
              <w:rPr>
                <w:rFonts w:hint="default"/>
              </w:rPr>
              <w:t>量及浓度一览表</w:t>
            </w:r>
          </w:p>
          <w:tbl>
            <w:tblPr>
              <w:tblStyle w:val="31"/>
              <w:tblW w:w="499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19"/>
              <w:gridCol w:w="2440"/>
              <w:gridCol w:w="1200"/>
              <w:gridCol w:w="1118"/>
              <w:gridCol w:w="932"/>
              <w:gridCol w:w="8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83" w:type="pct"/>
                  <w:gridSpan w:val="2"/>
                  <w:vMerge w:val="restart"/>
                  <w:vAlign w:val="center"/>
                </w:tcPr>
                <w:p>
                  <w:pPr>
                    <w:pStyle w:val="35"/>
                    <w:bidi w:val="0"/>
                    <w:jc w:val="center"/>
                    <w:rPr>
                      <w:rFonts w:hint="default"/>
                    </w:rPr>
                  </w:pPr>
                  <w:r>
                    <w:rPr>
                      <w:rFonts w:hint="default"/>
                    </w:rPr>
                    <w:t>项</w:t>
                  </w:r>
                  <w:r>
                    <w:rPr>
                      <w:rFonts w:hint="default"/>
                      <w:lang w:eastAsia="zh-CN"/>
                    </w:rPr>
                    <w:t>目</w:t>
                  </w:r>
                  <w:r>
                    <w:rPr>
                      <w:rFonts w:hint="default"/>
                    </w:rPr>
                    <w:t>类别</w:t>
                  </w:r>
                </w:p>
              </w:tc>
              <w:tc>
                <w:tcPr>
                  <w:tcW w:w="2616" w:type="pct"/>
                  <w:gridSpan w:val="4"/>
                  <w:vAlign w:val="center"/>
                </w:tcPr>
                <w:p>
                  <w:pPr>
                    <w:pStyle w:val="35"/>
                    <w:bidi w:val="0"/>
                    <w:jc w:val="center"/>
                    <w:rPr>
                      <w:rFonts w:hint="default"/>
                    </w:rPr>
                  </w:pPr>
                  <w:r>
                    <w:rPr>
                      <w:rFonts w:hint="default"/>
                    </w:rPr>
                    <w:t>主要污染物名称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83" w:type="pct"/>
                  <w:gridSpan w:val="2"/>
                  <w:vMerge w:val="continue"/>
                  <w:vAlign w:val="center"/>
                </w:tcPr>
                <w:p>
                  <w:pPr>
                    <w:pStyle w:val="35"/>
                    <w:bidi w:val="0"/>
                    <w:jc w:val="center"/>
                    <w:rPr>
                      <w:rFonts w:hint="default"/>
                    </w:rPr>
                  </w:pPr>
                </w:p>
              </w:tc>
              <w:tc>
                <w:tcPr>
                  <w:tcW w:w="761" w:type="pct"/>
                  <w:vAlign w:val="center"/>
                </w:tcPr>
                <w:p>
                  <w:pPr>
                    <w:pStyle w:val="35"/>
                    <w:bidi w:val="0"/>
                    <w:jc w:val="center"/>
                    <w:rPr>
                      <w:rFonts w:hint="default"/>
                    </w:rPr>
                  </w:pPr>
                  <w:r>
                    <w:rPr>
                      <w:rFonts w:hint="default"/>
                    </w:rPr>
                    <w:t>SS</w:t>
                  </w:r>
                </w:p>
              </w:tc>
              <w:tc>
                <w:tcPr>
                  <w:tcW w:w="709" w:type="pct"/>
                  <w:vAlign w:val="center"/>
                </w:tcPr>
                <w:p>
                  <w:pPr>
                    <w:pStyle w:val="35"/>
                    <w:bidi w:val="0"/>
                    <w:jc w:val="center"/>
                    <w:rPr>
                      <w:rFonts w:hint="default"/>
                    </w:rPr>
                  </w:pPr>
                  <w:r>
                    <w:rPr>
                      <w:rFonts w:hint="default"/>
                    </w:rPr>
                    <w:t>CODcr</w:t>
                  </w:r>
                </w:p>
              </w:tc>
              <w:tc>
                <w:tcPr>
                  <w:tcW w:w="591" w:type="pct"/>
                  <w:vAlign w:val="center"/>
                </w:tcPr>
                <w:p>
                  <w:pPr>
                    <w:pStyle w:val="35"/>
                    <w:bidi w:val="0"/>
                    <w:jc w:val="center"/>
                    <w:rPr>
                      <w:rFonts w:hint="default"/>
                    </w:rPr>
                  </w:pPr>
                  <w:r>
                    <w:rPr>
                      <w:rFonts w:hint="default"/>
                    </w:rPr>
                    <w:t>NH</w:t>
                  </w:r>
                  <w:r>
                    <w:rPr>
                      <w:rFonts w:hint="default"/>
                      <w:vertAlign w:val="subscript"/>
                    </w:rPr>
                    <w:t>3</w:t>
                  </w:r>
                  <w:r>
                    <w:rPr>
                      <w:rFonts w:hint="default"/>
                    </w:rPr>
                    <w:t>N</w:t>
                  </w:r>
                </w:p>
              </w:tc>
              <w:tc>
                <w:tcPr>
                  <w:tcW w:w="554" w:type="pct"/>
                  <w:vAlign w:val="center"/>
                </w:tcPr>
                <w:p>
                  <w:pPr>
                    <w:pStyle w:val="35"/>
                    <w:bidi w:val="0"/>
                    <w:jc w:val="center"/>
                    <w:rPr>
                      <w:rFonts w:hint="eastAsia"/>
                      <w:lang w:val="en-US" w:eastAsia="zh-CN"/>
                    </w:rPr>
                  </w:pPr>
                  <w:r>
                    <w:rPr>
                      <w:rFonts w:hint="eastAsia"/>
                    </w:rPr>
                    <w:t>石油类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6" w:type="pct"/>
                  <w:vMerge w:val="restart"/>
                  <w:vAlign w:val="center"/>
                </w:tcPr>
                <w:p>
                  <w:pPr>
                    <w:pStyle w:val="35"/>
                    <w:bidi w:val="0"/>
                    <w:jc w:val="center"/>
                    <w:rPr>
                      <w:rFonts w:hint="default"/>
                    </w:rPr>
                  </w:pPr>
                  <w:r>
                    <w:rPr>
                      <w:rFonts w:hint="default"/>
                    </w:rPr>
                    <w:t>生活</w:t>
                  </w:r>
                  <w:r>
                    <w:rPr>
                      <w:rFonts w:hint="eastAsia"/>
                      <w:lang w:eastAsia="zh-CN"/>
                    </w:rPr>
                    <w:t>污</w:t>
                  </w:r>
                  <w:r>
                    <w:rPr>
                      <w:rFonts w:hint="default"/>
                    </w:rPr>
                    <w:t>水（</w:t>
                  </w:r>
                  <w:r>
                    <w:rPr>
                      <w:rFonts w:hint="eastAsia"/>
                      <w:lang w:val="en-US" w:eastAsia="zh-CN"/>
                    </w:rPr>
                    <w:t>438</w:t>
                  </w:r>
                  <w:r>
                    <w:rPr>
                      <w:rFonts w:hint="default"/>
                    </w:rPr>
                    <w:t>t/a）</w:t>
                  </w:r>
                </w:p>
              </w:tc>
              <w:tc>
                <w:tcPr>
                  <w:tcW w:w="1547" w:type="pct"/>
                  <w:vAlign w:val="center"/>
                </w:tcPr>
                <w:p>
                  <w:pPr>
                    <w:pStyle w:val="35"/>
                    <w:bidi w:val="0"/>
                    <w:jc w:val="center"/>
                    <w:rPr>
                      <w:rFonts w:hint="default"/>
                    </w:rPr>
                  </w:pPr>
                  <w:r>
                    <w:rPr>
                      <w:rFonts w:hint="default"/>
                    </w:rPr>
                    <w:t>产生浓度（mg/L）</w:t>
                  </w:r>
                </w:p>
              </w:tc>
              <w:tc>
                <w:tcPr>
                  <w:tcW w:w="761" w:type="pct"/>
                  <w:vAlign w:val="center"/>
                </w:tcPr>
                <w:p>
                  <w:pPr>
                    <w:pStyle w:val="35"/>
                    <w:bidi w:val="0"/>
                    <w:jc w:val="center"/>
                    <w:rPr>
                      <w:rFonts w:hint="default"/>
                      <w:lang w:val="en-US" w:eastAsia="zh-CN"/>
                    </w:rPr>
                  </w:pPr>
                  <w:r>
                    <w:rPr>
                      <w:rFonts w:hint="default"/>
                      <w:lang w:val="en-US" w:eastAsia="zh-CN"/>
                    </w:rPr>
                    <w:t>200</w:t>
                  </w:r>
                </w:p>
              </w:tc>
              <w:tc>
                <w:tcPr>
                  <w:tcW w:w="709" w:type="pct"/>
                  <w:vAlign w:val="center"/>
                </w:tcPr>
                <w:p>
                  <w:pPr>
                    <w:pStyle w:val="35"/>
                    <w:bidi w:val="0"/>
                    <w:jc w:val="center"/>
                    <w:rPr>
                      <w:rFonts w:hint="default"/>
                      <w:lang w:val="en-US" w:eastAsia="zh-CN"/>
                    </w:rPr>
                  </w:pPr>
                  <w:r>
                    <w:rPr>
                      <w:rFonts w:hint="default"/>
                      <w:lang w:val="en-US" w:eastAsia="zh-CN"/>
                    </w:rPr>
                    <w:t>300</w:t>
                  </w:r>
                </w:p>
              </w:tc>
              <w:tc>
                <w:tcPr>
                  <w:tcW w:w="591" w:type="pct"/>
                  <w:vAlign w:val="center"/>
                </w:tcPr>
                <w:p>
                  <w:pPr>
                    <w:pStyle w:val="35"/>
                    <w:bidi w:val="0"/>
                    <w:jc w:val="center"/>
                    <w:rPr>
                      <w:rFonts w:hint="default"/>
                      <w:lang w:val="en-US" w:eastAsia="zh-CN"/>
                    </w:rPr>
                  </w:pPr>
                  <w:r>
                    <w:rPr>
                      <w:rFonts w:hint="eastAsia"/>
                      <w:lang w:val="en-US" w:eastAsia="zh-CN"/>
                    </w:rPr>
                    <w:t>30</w:t>
                  </w:r>
                </w:p>
              </w:tc>
              <w:tc>
                <w:tcPr>
                  <w:tcW w:w="554" w:type="pct"/>
                  <w:vAlign w:val="center"/>
                </w:tcPr>
                <w:p>
                  <w:pPr>
                    <w:pStyle w:val="35"/>
                    <w:bidi w:val="0"/>
                    <w:jc w:val="center"/>
                    <w:rPr>
                      <w:rFonts w:hint="default"/>
                      <w:lang w:val="en-US" w:eastAsia="zh-CN"/>
                    </w:rPr>
                  </w:pPr>
                  <w:r>
                    <w:rPr>
                      <w:rFonts w:hint="eastAsia"/>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6" w:type="pct"/>
                  <w:vMerge w:val="continue"/>
                  <w:vAlign w:val="center"/>
                </w:tcPr>
                <w:p>
                  <w:pPr>
                    <w:pStyle w:val="35"/>
                    <w:bidi w:val="0"/>
                    <w:jc w:val="center"/>
                    <w:rPr>
                      <w:rFonts w:hint="default"/>
                    </w:rPr>
                  </w:pPr>
                </w:p>
              </w:tc>
              <w:tc>
                <w:tcPr>
                  <w:tcW w:w="1547" w:type="pct"/>
                  <w:vAlign w:val="center"/>
                </w:tcPr>
                <w:p>
                  <w:pPr>
                    <w:pStyle w:val="35"/>
                    <w:bidi w:val="0"/>
                    <w:jc w:val="center"/>
                    <w:rPr>
                      <w:rFonts w:hint="default"/>
                    </w:rPr>
                  </w:pPr>
                  <w:r>
                    <w:rPr>
                      <w:rFonts w:hint="default"/>
                    </w:rPr>
                    <w:t>产生量（t/a）</w:t>
                  </w:r>
                </w:p>
              </w:tc>
              <w:tc>
                <w:tcPr>
                  <w:tcW w:w="761" w:type="pct"/>
                  <w:vAlign w:val="center"/>
                </w:tcPr>
                <w:p>
                  <w:pPr>
                    <w:pStyle w:val="35"/>
                    <w:bidi w:val="0"/>
                    <w:jc w:val="center"/>
                    <w:rPr>
                      <w:rFonts w:hint="default"/>
                      <w:lang w:val="en-US" w:eastAsia="zh-CN"/>
                    </w:rPr>
                  </w:pPr>
                  <w:r>
                    <w:rPr>
                      <w:rFonts w:hint="eastAsia"/>
                      <w:lang w:val="en-US" w:eastAsia="zh-CN"/>
                    </w:rPr>
                    <w:t>0.09</w:t>
                  </w:r>
                </w:p>
              </w:tc>
              <w:tc>
                <w:tcPr>
                  <w:tcW w:w="709" w:type="pct"/>
                  <w:vAlign w:val="center"/>
                </w:tcPr>
                <w:p>
                  <w:pPr>
                    <w:pStyle w:val="35"/>
                    <w:bidi w:val="0"/>
                    <w:jc w:val="center"/>
                    <w:rPr>
                      <w:rFonts w:hint="default"/>
                      <w:lang w:val="en-US" w:eastAsia="zh-CN"/>
                    </w:rPr>
                  </w:pPr>
                  <w:r>
                    <w:rPr>
                      <w:rFonts w:hint="eastAsia"/>
                      <w:lang w:val="en-US" w:eastAsia="zh-CN"/>
                    </w:rPr>
                    <w:t>0.13</w:t>
                  </w:r>
                </w:p>
              </w:tc>
              <w:tc>
                <w:tcPr>
                  <w:tcW w:w="591" w:type="pct"/>
                  <w:vAlign w:val="center"/>
                </w:tcPr>
                <w:p>
                  <w:pPr>
                    <w:pStyle w:val="35"/>
                    <w:bidi w:val="0"/>
                    <w:jc w:val="center"/>
                    <w:rPr>
                      <w:rFonts w:hint="default"/>
                      <w:lang w:val="en-US" w:eastAsia="zh-CN"/>
                    </w:rPr>
                  </w:pPr>
                  <w:r>
                    <w:rPr>
                      <w:rFonts w:hint="eastAsia"/>
                      <w:lang w:val="en-US" w:eastAsia="zh-CN"/>
                    </w:rPr>
                    <w:t>0.013</w:t>
                  </w:r>
                </w:p>
              </w:tc>
              <w:tc>
                <w:tcPr>
                  <w:tcW w:w="554" w:type="pct"/>
                  <w:vAlign w:val="center"/>
                </w:tcPr>
                <w:p>
                  <w:pPr>
                    <w:pStyle w:val="35"/>
                    <w:bidi w:val="0"/>
                    <w:jc w:val="center"/>
                    <w:rPr>
                      <w:rFonts w:hint="default"/>
                      <w:lang w:val="en-US" w:eastAsia="zh-CN"/>
                    </w:rPr>
                  </w:pPr>
                  <w:r>
                    <w:rPr>
                      <w:rFonts w:hint="eastAsia"/>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6" w:type="pct"/>
                  <w:vMerge w:val="continue"/>
                  <w:vAlign w:val="center"/>
                </w:tcPr>
                <w:p>
                  <w:pPr>
                    <w:pStyle w:val="35"/>
                    <w:bidi w:val="0"/>
                    <w:jc w:val="center"/>
                    <w:rPr>
                      <w:rFonts w:hint="default"/>
                    </w:rPr>
                  </w:pPr>
                </w:p>
              </w:tc>
              <w:tc>
                <w:tcPr>
                  <w:tcW w:w="1547" w:type="pct"/>
                  <w:vAlign w:val="center"/>
                </w:tcPr>
                <w:p>
                  <w:pPr>
                    <w:pStyle w:val="35"/>
                    <w:bidi w:val="0"/>
                    <w:jc w:val="center"/>
                    <w:rPr>
                      <w:rFonts w:hint="default"/>
                    </w:rPr>
                  </w:pPr>
                  <w:r>
                    <w:rPr>
                      <w:rFonts w:hint="default"/>
                    </w:rPr>
                    <w:t>化粪池处理效率</w:t>
                  </w:r>
                </w:p>
              </w:tc>
              <w:tc>
                <w:tcPr>
                  <w:tcW w:w="761" w:type="pct"/>
                  <w:vAlign w:val="center"/>
                </w:tcPr>
                <w:p>
                  <w:pPr>
                    <w:pStyle w:val="35"/>
                    <w:bidi w:val="0"/>
                    <w:jc w:val="center"/>
                    <w:rPr>
                      <w:rFonts w:hint="default"/>
                    </w:rPr>
                  </w:pPr>
                  <w:r>
                    <w:rPr>
                      <w:rFonts w:hint="eastAsia"/>
                      <w:lang w:val="en-US" w:eastAsia="zh-CN"/>
                    </w:rPr>
                    <w:t>71</w:t>
                  </w:r>
                  <w:r>
                    <w:rPr>
                      <w:rFonts w:hint="default"/>
                    </w:rPr>
                    <w:t>%</w:t>
                  </w:r>
                </w:p>
              </w:tc>
              <w:tc>
                <w:tcPr>
                  <w:tcW w:w="709" w:type="pct"/>
                  <w:vAlign w:val="center"/>
                </w:tcPr>
                <w:p>
                  <w:pPr>
                    <w:pStyle w:val="35"/>
                    <w:bidi w:val="0"/>
                    <w:jc w:val="center"/>
                    <w:rPr>
                      <w:rFonts w:hint="default"/>
                    </w:rPr>
                  </w:pPr>
                  <w:r>
                    <w:rPr>
                      <w:rFonts w:hint="default"/>
                    </w:rPr>
                    <w:t>15%</w:t>
                  </w:r>
                </w:p>
              </w:tc>
              <w:tc>
                <w:tcPr>
                  <w:tcW w:w="591" w:type="pct"/>
                  <w:vAlign w:val="center"/>
                </w:tcPr>
                <w:p>
                  <w:pPr>
                    <w:pStyle w:val="35"/>
                    <w:bidi w:val="0"/>
                    <w:jc w:val="center"/>
                    <w:rPr>
                      <w:rFonts w:hint="default"/>
                    </w:rPr>
                  </w:pPr>
                  <w:r>
                    <w:rPr>
                      <w:rFonts w:hint="eastAsia"/>
                      <w:lang w:val="en-US" w:eastAsia="zh-CN"/>
                    </w:rPr>
                    <w:t>23</w:t>
                  </w:r>
                  <w:r>
                    <w:rPr>
                      <w:rFonts w:hint="default"/>
                    </w:rPr>
                    <w:t>%</w:t>
                  </w:r>
                </w:p>
              </w:tc>
              <w:tc>
                <w:tcPr>
                  <w:tcW w:w="554" w:type="pct"/>
                  <w:vAlign w:val="center"/>
                </w:tcPr>
                <w:p>
                  <w:pPr>
                    <w:pStyle w:val="35"/>
                    <w:bidi w:val="0"/>
                    <w:jc w:val="center"/>
                    <w:rPr>
                      <w:rFonts w:hint="eastAsia"/>
                      <w:lang w:val="en-US" w:eastAsia="zh-CN"/>
                    </w:rPr>
                  </w:pPr>
                  <w:r>
                    <w:rPr>
                      <w:rFonts w:hint="eastAsia"/>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6" w:type="pct"/>
                  <w:vMerge w:val="continue"/>
                  <w:vAlign w:val="center"/>
                </w:tcPr>
                <w:p>
                  <w:pPr>
                    <w:pStyle w:val="35"/>
                    <w:bidi w:val="0"/>
                    <w:jc w:val="center"/>
                    <w:rPr>
                      <w:rFonts w:hint="default"/>
                    </w:rPr>
                  </w:pPr>
                </w:p>
              </w:tc>
              <w:tc>
                <w:tcPr>
                  <w:tcW w:w="1547" w:type="pct"/>
                  <w:vAlign w:val="center"/>
                </w:tcPr>
                <w:p>
                  <w:pPr>
                    <w:pStyle w:val="35"/>
                    <w:bidi w:val="0"/>
                    <w:jc w:val="center"/>
                    <w:rPr>
                      <w:rFonts w:hint="default"/>
                    </w:rPr>
                  </w:pPr>
                  <w:r>
                    <w:rPr>
                      <w:rFonts w:hint="default"/>
                    </w:rPr>
                    <w:t>排放浓度（mg/L）</w:t>
                  </w:r>
                </w:p>
              </w:tc>
              <w:tc>
                <w:tcPr>
                  <w:tcW w:w="761" w:type="pct"/>
                  <w:vAlign w:val="center"/>
                </w:tcPr>
                <w:p>
                  <w:pPr>
                    <w:pStyle w:val="35"/>
                    <w:bidi w:val="0"/>
                    <w:jc w:val="center"/>
                    <w:rPr>
                      <w:rFonts w:hint="default"/>
                      <w:lang w:val="en-US" w:eastAsia="zh-CN"/>
                    </w:rPr>
                  </w:pPr>
                  <w:r>
                    <w:rPr>
                      <w:rFonts w:hint="eastAsia"/>
                      <w:lang w:val="en-US" w:eastAsia="zh-CN"/>
                    </w:rPr>
                    <w:t>60</w:t>
                  </w:r>
                </w:p>
              </w:tc>
              <w:tc>
                <w:tcPr>
                  <w:tcW w:w="709" w:type="pct"/>
                  <w:vAlign w:val="center"/>
                </w:tcPr>
                <w:p>
                  <w:pPr>
                    <w:pStyle w:val="35"/>
                    <w:bidi w:val="0"/>
                    <w:jc w:val="center"/>
                    <w:rPr>
                      <w:rFonts w:hint="default"/>
                      <w:lang w:val="en-US" w:eastAsia="zh-CN"/>
                    </w:rPr>
                  </w:pPr>
                  <w:r>
                    <w:rPr>
                      <w:rFonts w:hint="eastAsia"/>
                      <w:lang w:val="en-US" w:eastAsia="zh-CN"/>
                    </w:rPr>
                    <w:t>250</w:t>
                  </w:r>
                </w:p>
              </w:tc>
              <w:tc>
                <w:tcPr>
                  <w:tcW w:w="591" w:type="pct"/>
                  <w:vAlign w:val="center"/>
                </w:tcPr>
                <w:p>
                  <w:pPr>
                    <w:pStyle w:val="35"/>
                    <w:bidi w:val="0"/>
                    <w:jc w:val="center"/>
                    <w:rPr>
                      <w:rFonts w:hint="default"/>
                      <w:lang w:val="en-US" w:eastAsia="zh-CN"/>
                    </w:rPr>
                  </w:pPr>
                  <w:r>
                    <w:rPr>
                      <w:rFonts w:hint="eastAsia"/>
                      <w:lang w:val="en-US" w:eastAsia="zh-CN"/>
                    </w:rPr>
                    <w:t>24</w:t>
                  </w:r>
                </w:p>
              </w:tc>
              <w:tc>
                <w:tcPr>
                  <w:tcW w:w="554" w:type="pct"/>
                  <w:vAlign w:val="center"/>
                </w:tcPr>
                <w:p>
                  <w:pPr>
                    <w:pStyle w:val="35"/>
                    <w:bidi w:val="0"/>
                    <w:jc w:val="center"/>
                    <w:rPr>
                      <w:rFonts w:hint="default"/>
                      <w:lang w:val="en-US" w:eastAsia="zh-CN"/>
                    </w:rPr>
                  </w:pPr>
                  <w:r>
                    <w:rPr>
                      <w:rFonts w:hint="eastAsia"/>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6" w:type="pct"/>
                  <w:vMerge w:val="continue"/>
                  <w:vAlign w:val="center"/>
                </w:tcPr>
                <w:p>
                  <w:pPr>
                    <w:pStyle w:val="35"/>
                    <w:bidi w:val="0"/>
                    <w:jc w:val="center"/>
                    <w:rPr>
                      <w:rFonts w:hint="default"/>
                    </w:rPr>
                  </w:pPr>
                </w:p>
              </w:tc>
              <w:tc>
                <w:tcPr>
                  <w:tcW w:w="1547" w:type="pct"/>
                  <w:vAlign w:val="center"/>
                </w:tcPr>
                <w:p>
                  <w:pPr>
                    <w:pStyle w:val="35"/>
                    <w:bidi w:val="0"/>
                    <w:jc w:val="center"/>
                    <w:rPr>
                      <w:rFonts w:hint="default"/>
                    </w:rPr>
                  </w:pPr>
                  <w:r>
                    <w:rPr>
                      <w:rFonts w:hint="default"/>
                    </w:rPr>
                    <w:t>排放量（t/a）</w:t>
                  </w:r>
                </w:p>
              </w:tc>
              <w:tc>
                <w:tcPr>
                  <w:tcW w:w="761" w:type="pct"/>
                  <w:vAlign w:val="center"/>
                </w:tcPr>
                <w:p>
                  <w:pPr>
                    <w:pStyle w:val="35"/>
                    <w:bidi w:val="0"/>
                    <w:jc w:val="center"/>
                    <w:rPr>
                      <w:rFonts w:hint="default"/>
                      <w:lang w:val="en-US" w:eastAsia="zh-CN"/>
                    </w:rPr>
                  </w:pPr>
                  <w:r>
                    <w:rPr>
                      <w:rFonts w:hint="eastAsia"/>
                      <w:lang w:val="en-US" w:eastAsia="zh-CN"/>
                    </w:rPr>
                    <w:t>0.026</w:t>
                  </w:r>
                </w:p>
              </w:tc>
              <w:tc>
                <w:tcPr>
                  <w:tcW w:w="709" w:type="pct"/>
                  <w:vAlign w:val="center"/>
                </w:tcPr>
                <w:p>
                  <w:pPr>
                    <w:pStyle w:val="35"/>
                    <w:bidi w:val="0"/>
                    <w:jc w:val="center"/>
                    <w:rPr>
                      <w:rFonts w:hint="default"/>
                      <w:lang w:val="en-US" w:eastAsia="zh-CN"/>
                    </w:rPr>
                  </w:pPr>
                  <w:r>
                    <w:rPr>
                      <w:rFonts w:hint="eastAsia"/>
                      <w:lang w:val="en-US" w:eastAsia="zh-CN"/>
                    </w:rPr>
                    <w:t>0.11</w:t>
                  </w:r>
                </w:p>
              </w:tc>
              <w:tc>
                <w:tcPr>
                  <w:tcW w:w="591" w:type="pct"/>
                  <w:vAlign w:val="center"/>
                </w:tcPr>
                <w:p>
                  <w:pPr>
                    <w:pStyle w:val="35"/>
                    <w:bidi w:val="0"/>
                    <w:jc w:val="center"/>
                    <w:rPr>
                      <w:rFonts w:hint="default"/>
                      <w:lang w:val="en-US" w:eastAsia="zh-CN"/>
                    </w:rPr>
                  </w:pPr>
                  <w:r>
                    <w:rPr>
                      <w:rFonts w:hint="eastAsia"/>
                      <w:lang w:val="en-US" w:eastAsia="zh-CN"/>
                    </w:rPr>
                    <w:t>0.01</w:t>
                  </w:r>
                </w:p>
              </w:tc>
              <w:tc>
                <w:tcPr>
                  <w:tcW w:w="554" w:type="pct"/>
                  <w:vAlign w:val="center"/>
                </w:tcPr>
                <w:p>
                  <w:pPr>
                    <w:pStyle w:val="35"/>
                    <w:bidi w:val="0"/>
                    <w:jc w:val="center"/>
                    <w:rPr>
                      <w:rFonts w:hint="default"/>
                      <w:lang w:val="en-US" w:eastAsia="zh-CN"/>
                    </w:rPr>
                  </w:pPr>
                  <w:r>
                    <w:rPr>
                      <w:rFonts w:hint="eastAsia"/>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6" w:type="pct"/>
                  <w:vMerge w:val="restart"/>
                  <w:vAlign w:val="center"/>
                </w:tcPr>
                <w:p>
                  <w:pPr>
                    <w:pStyle w:val="35"/>
                    <w:bidi w:val="0"/>
                    <w:jc w:val="center"/>
                    <w:rPr>
                      <w:rFonts w:hint="default"/>
                    </w:rPr>
                  </w:pPr>
                  <w:r>
                    <w:rPr>
                      <w:rFonts w:hint="eastAsia"/>
                      <w:lang w:eastAsia="zh-CN"/>
                    </w:rPr>
                    <w:t>初期雨水、洗车废水、</w:t>
                  </w:r>
                  <w:r>
                    <w:rPr>
                      <w:rFonts w:hint="default"/>
                    </w:rPr>
                    <w:t>地面清洗废水（</w:t>
                  </w:r>
                  <w:r>
                    <w:rPr>
                      <w:rFonts w:hint="eastAsia"/>
                      <w:lang w:val="en-US" w:eastAsia="zh-CN"/>
                    </w:rPr>
                    <w:t>404.5</w:t>
                  </w:r>
                  <w:r>
                    <w:rPr>
                      <w:rFonts w:hint="default"/>
                    </w:rPr>
                    <w:t>t/a）</w:t>
                  </w:r>
                </w:p>
              </w:tc>
              <w:tc>
                <w:tcPr>
                  <w:tcW w:w="1547" w:type="pct"/>
                  <w:vAlign w:val="center"/>
                </w:tcPr>
                <w:p>
                  <w:pPr>
                    <w:pStyle w:val="35"/>
                    <w:bidi w:val="0"/>
                    <w:jc w:val="center"/>
                    <w:rPr>
                      <w:rFonts w:hint="default"/>
                      <w:lang w:val="en-US" w:eastAsia="zh-CN"/>
                    </w:rPr>
                  </w:pPr>
                  <w:r>
                    <w:rPr>
                      <w:rFonts w:hint="default"/>
                    </w:rPr>
                    <w:t>产生浓度（mg/L）</w:t>
                  </w:r>
                </w:p>
              </w:tc>
              <w:tc>
                <w:tcPr>
                  <w:tcW w:w="761" w:type="pct"/>
                  <w:vAlign w:val="center"/>
                </w:tcPr>
                <w:p>
                  <w:pPr>
                    <w:pStyle w:val="35"/>
                    <w:bidi w:val="0"/>
                    <w:jc w:val="center"/>
                    <w:rPr>
                      <w:rFonts w:hint="default"/>
                      <w:lang w:val="en-US" w:eastAsia="zh-CN"/>
                    </w:rPr>
                  </w:pPr>
                  <w:r>
                    <w:rPr>
                      <w:rFonts w:hint="eastAsia"/>
                      <w:lang w:val="en-US" w:eastAsia="zh-CN"/>
                    </w:rPr>
                    <w:t>400</w:t>
                  </w:r>
                </w:p>
              </w:tc>
              <w:tc>
                <w:tcPr>
                  <w:tcW w:w="709" w:type="pct"/>
                  <w:vAlign w:val="center"/>
                </w:tcPr>
                <w:p>
                  <w:pPr>
                    <w:pStyle w:val="35"/>
                    <w:bidi w:val="0"/>
                    <w:jc w:val="center"/>
                    <w:rPr>
                      <w:rFonts w:hint="default"/>
                      <w:lang w:val="en-US" w:eastAsia="zh-CN"/>
                    </w:rPr>
                  </w:pPr>
                  <w:r>
                    <w:rPr>
                      <w:rFonts w:hint="eastAsia"/>
                      <w:lang w:val="en-US" w:eastAsia="zh-CN"/>
                    </w:rPr>
                    <w:t>150</w:t>
                  </w:r>
                </w:p>
              </w:tc>
              <w:tc>
                <w:tcPr>
                  <w:tcW w:w="591" w:type="pct"/>
                  <w:vAlign w:val="center"/>
                </w:tcPr>
                <w:p>
                  <w:pPr>
                    <w:pStyle w:val="35"/>
                    <w:bidi w:val="0"/>
                    <w:jc w:val="center"/>
                    <w:rPr>
                      <w:rFonts w:hint="default"/>
                      <w:lang w:val="en-US" w:eastAsia="zh-CN"/>
                    </w:rPr>
                  </w:pPr>
                  <w:r>
                    <w:rPr>
                      <w:rFonts w:hint="eastAsia"/>
                      <w:lang w:val="en-US" w:eastAsia="zh-CN"/>
                    </w:rPr>
                    <w:t>/</w:t>
                  </w:r>
                </w:p>
              </w:tc>
              <w:tc>
                <w:tcPr>
                  <w:tcW w:w="554" w:type="pct"/>
                  <w:vAlign w:val="center"/>
                </w:tcPr>
                <w:p>
                  <w:pPr>
                    <w:pStyle w:val="35"/>
                    <w:bidi w:val="0"/>
                    <w:jc w:val="center"/>
                    <w:rPr>
                      <w:rFonts w:hint="default"/>
                      <w:lang w:val="en-US" w:eastAsia="zh-CN"/>
                    </w:rPr>
                  </w:pPr>
                  <w:r>
                    <w:rPr>
                      <w:rFonts w:hint="eastAsia"/>
                      <w:lang w:val="en-US" w:eastAsia="zh-CN"/>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6" w:type="pct"/>
                  <w:vMerge w:val="continue"/>
                  <w:vAlign w:val="center"/>
                </w:tcPr>
                <w:p>
                  <w:pPr>
                    <w:pStyle w:val="35"/>
                    <w:bidi w:val="0"/>
                    <w:jc w:val="center"/>
                    <w:rPr>
                      <w:rFonts w:hint="default"/>
                    </w:rPr>
                  </w:pPr>
                </w:p>
              </w:tc>
              <w:tc>
                <w:tcPr>
                  <w:tcW w:w="1547" w:type="pct"/>
                  <w:vAlign w:val="center"/>
                </w:tcPr>
                <w:p>
                  <w:pPr>
                    <w:pStyle w:val="35"/>
                    <w:bidi w:val="0"/>
                    <w:jc w:val="center"/>
                    <w:rPr>
                      <w:rFonts w:hint="default"/>
                      <w:lang w:val="en-US" w:eastAsia="zh-CN"/>
                    </w:rPr>
                  </w:pPr>
                  <w:r>
                    <w:rPr>
                      <w:rFonts w:hint="default"/>
                    </w:rPr>
                    <w:t>产生量（t/a）</w:t>
                  </w:r>
                </w:p>
              </w:tc>
              <w:tc>
                <w:tcPr>
                  <w:tcW w:w="761" w:type="pct"/>
                  <w:vAlign w:val="center"/>
                </w:tcPr>
                <w:p>
                  <w:pPr>
                    <w:pStyle w:val="35"/>
                    <w:bidi w:val="0"/>
                    <w:jc w:val="center"/>
                    <w:rPr>
                      <w:rFonts w:hint="default"/>
                      <w:lang w:val="en-US" w:eastAsia="zh-CN"/>
                    </w:rPr>
                  </w:pPr>
                  <w:r>
                    <w:rPr>
                      <w:rFonts w:hint="eastAsia"/>
                      <w:lang w:val="en-US" w:eastAsia="zh-CN"/>
                    </w:rPr>
                    <w:t>0.162</w:t>
                  </w:r>
                </w:p>
              </w:tc>
              <w:tc>
                <w:tcPr>
                  <w:tcW w:w="709" w:type="pct"/>
                  <w:vAlign w:val="center"/>
                </w:tcPr>
                <w:p>
                  <w:pPr>
                    <w:pStyle w:val="35"/>
                    <w:bidi w:val="0"/>
                    <w:jc w:val="center"/>
                    <w:rPr>
                      <w:rFonts w:hint="default"/>
                      <w:lang w:val="en-US" w:eastAsia="zh-CN"/>
                    </w:rPr>
                  </w:pPr>
                  <w:r>
                    <w:rPr>
                      <w:rFonts w:hint="eastAsia"/>
                      <w:lang w:val="en-US" w:eastAsia="zh-CN"/>
                    </w:rPr>
                    <w:t>0.06</w:t>
                  </w:r>
                </w:p>
              </w:tc>
              <w:tc>
                <w:tcPr>
                  <w:tcW w:w="591" w:type="pct"/>
                  <w:vAlign w:val="center"/>
                </w:tcPr>
                <w:p>
                  <w:pPr>
                    <w:pStyle w:val="35"/>
                    <w:bidi w:val="0"/>
                    <w:jc w:val="center"/>
                    <w:rPr>
                      <w:rFonts w:hint="default"/>
                      <w:lang w:val="en-US" w:eastAsia="zh-CN"/>
                    </w:rPr>
                  </w:pPr>
                  <w:r>
                    <w:rPr>
                      <w:rFonts w:hint="eastAsia"/>
                      <w:lang w:val="en-US" w:eastAsia="zh-CN"/>
                    </w:rPr>
                    <w:t>/</w:t>
                  </w:r>
                </w:p>
              </w:tc>
              <w:tc>
                <w:tcPr>
                  <w:tcW w:w="554" w:type="pct"/>
                  <w:vAlign w:val="center"/>
                </w:tcPr>
                <w:p>
                  <w:pPr>
                    <w:pStyle w:val="35"/>
                    <w:bidi w:val="0"/>
                    <w:jc w:val="center"/>
                    <w:rPr>
                      <w:rFonts w:hint="default"/>
                      <w:lang w:val="en-US" w:eastAsia="zh-CN"/>
                    </w:rPr>
                  </w:pPr>
                  <w:r>
                    <w:rPr>
                      <w:rFonts w:hint="eastAsia"/>
                      <w:lang w:val="en-US" w:eastAsia="zh-CN"/>
                    </w:rPr>
                    <w:t>0.012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6" w:type="pct"/>
                  <w:vMerge w:val="continue"/>
                  <w:vAlign w:val="center"/>
                </w:tcPr>
                <w:p>
                  <w:pPr>
                    <w:pStyle w:val="35"/>
                    <w:bidi w:val="0"/>
                    <w:jc w:val="center"/>
                    <w:rPr>
                      <w:rFonts w:hint="default"/>
                    </w:rPr>
                  </w:pPr>
                </w:p>
              </w:tc>
              <w:tc>
                <w:tcPr>
                  <w:tcW w:w="1547" w:type="pct"/>
                  <w:vAlign w:val="center"/>
                </w:tcPr>
                <w:p>
                  <w:pPr>
                    <w:pStyle w:val="35"/>
                    <w:bidi w:val="0"/>
                    <w:jc w:val="center"/>
                    <w:rPr>
                      <w:rFonts w:hint="default"/>
                      <w:lang w:val="en-US" w:eastAsia="zh-CN"/>
                    </w:rPr>
                  </w:pPr>
                  <w:r>
                    <w:rPr>
                      <w:rFonts w:hint="eastAsia"/>
                      <w:lang w:eastAsia="zh-CN"/>
                    </w:rPr>
                    <w:t>隔油沉淀</w:t>
                  </w:r>
                  <w:r>
                    <w:rPr>
                      <w:rFonts w:hint="default"/>
                    </w:rPr>
                    <w:t>池处理效率</w:t>
                  </w:r>
                </w:p>
              </w:tc>
              <w:tc>
                <w:tcPr>
                  <w:tcW w:w="761" w:type="pct"/>
                  <w:vAlign w:val="center"/>
                </w:tcPr>
                <w:p>
                  <w:pPr>
                    <w:pStyle w:val="35"/>
                    <w:bidi w:val="0"/>
                    <w:jc w:val="center"/>
                    <w:rPr>
                      <w:rFonts w:hint="default"/>
                      <w:lang w:val="en-US" w:eastAsia="zh-CN"/>
                    </w:rPr>
                  </w:pPr>
                  <w:r>
                    <w:rPr>
                      <w:rFonts w:hint="eastAsia"/>
                      <w:lang w:val="en-US" w:eastAsia="zh-CN"/>
                    </w:rPr>
                    <w:t>50%</w:t>
                  </w:r>
                </w:p>
              </w:tc>
              <w:tc>
                <w:tcPr>
                  <w:tcW w:w="709" w:type="pct"/>
                  <w:vAlign w:val="center"/>
                </w:tcPr>
                <w:p>
                  <w:pPr>
                    <w:pStyle w:val="35"/>
                    <w:bidi w:val="0"/>
                    <w:jc w:val="center"/>
                    <w:rPr>
                      <w:rFonts w:hint="default"/>
                      <w:lang w:val="en-US" w:eastAsia="zh-CN"/>
                    </w:rPr>
                  </w:pPr>
                  <w:r>
                    <w:rPr>
                      <w:rFonts w:hint="default"/>
                    </w:rPr>
                    <w:t>3%</w:t>
                  </w:r>
                </w:p>
              </w:tc>
              <w:tc>
                <w:tcPr>
                  <w:tcW w:w="591" w:type="pct"/>
                  <w:vAlign w:val="center"/>
                </w:tcPr>
                <w:p>
                  <w:pPr>
                    <w:pStyle w:val="35"/>
                    <w:bidi w:val="0"/>
                    <w:jc w:val="center"/>
                    <w:rPr>
                      <w:rFonts w:hint="default"/>
                      <w:lang w:val="en-US" w:eastAsia="zh-CN"/>
                    </w:rPr>
                  </w:pPr>
                  <w:r>
                    <w:rPr>
                      <w:rFonts w:hint="eastAsia"/>
                      <w:lang w:val="en-US" w:eastAsia="zh-CN"/>
                    </w:rPr>
                    <w:t>/</w:t>
                  </w:r>
                </w:p>
              </w:tc>
              <w:tc>
                <w:tcPr>
                  <w:tcW w:w="554" w:type="pct"/>
                  <w:vAlign w:val="center"/>
                </w:tcPr>
                <w:p>
                  <w:pPr>
                    <w:pStyle w:val="35"/>
                    <w:bidi w:val="0"/>
                    <w:jc w:val="center"/>
                    <w:rPr>
                      <w:rFonts w:hint="default"/>
                      <w:lang w:val="en-US" w:eastAsia="zh-CN"/>
                    </w:rPr>
                  </w:pPr>
                  <w:r>
                    <w:rPr>
                      <w:rFonts w:hint="eastAsia"/>
                      <w:lang w:val="en-US" w:eastAsia="zh-CN"/>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6" w:type="pct"/>
                  <w:vMerge w:val="continue"/>
                  <w:vAlign w:val="center"/>
                </w:tcPr>
                <w:p>
                  <w:pPr>
                    <w:pStyle w:val="35"/>
                    <w:bidi w:val="0"/>
                    <w:jc w:val="center"/>
                    <w:rPr>
                      <w:rFonts w:hint="default"/>
                    </w:rPr>
                  </w:pPr>
                </w:p>
              </w:tc>
              <w:tc>
                <w:tcPr>
                  <w:tcW w:w="1547" w:type="pct"/>
                  <w:vAlign w:val="center"/>
                </w:tcPr>
                <w:p>
                  <w:pPr>
                    <w:pStyle w:val="35"/>
                    <w:bidi w:val="0"/>
                    <w:jc w:val="center"/>
                    <w:rPr>
                      <w:rFonts w:hint="default"/>
                      <w:lang w:val="en-US" w:eastAsia="zh-CN"/>
                    </w:rPr>
                  </w:pPr>
                  <w:r>
                    <w:rPr>
                      <w:rFonts w:hint="default"/>
                    </w:rPr>
                    <w:t>排放浓度（mg/L）</w:t>
                  </w:r>
                </w:p>
              </w:tc>
              <w:tc>
                <w:tcPr>
                  <w:tcW w:w="761" w:type="pct"/>
                  <w:vAlign w:val="center"/>
                </w:tcPr>
                <w:p>
                  <w:pPr>
                    <w:pStyle w:val="35"/>
                    <w:bidi w:val="0"/>
                    <w:jc w:val="center"/>
                    <w:rPr>
                      <w:rFonts w:hint="default"/>
                      <w:lang w:val="en-US" w:eastAsia="zh-CN"/>
                    </w:rPr>
                  </w:pPr>
                  <w:r>
                    <w:rPr>
                      <w:rFonts w:hint="eastAsia"/>
                      <w:lang w:val="en-US" w:eastAsia="zh-CN"/>
                    </w:rPr>
                    <w:t>200</w:t>
                  </w:r>
                </w:p>
              </w:tc>
              <w:tc>
                <w:tcPr>
                  <w:tcW w:w="709" w:type="pct"/>
                  <w:vAlign w:val="center"/>
                </w:tcPr>
                <w:p>
                  <w:pPr>
                    <w:pStyle w:val="35"/>
                    <w:bidi w:val="0"/>
                    <w:jc w:val="center"/>
                    <w:rPr>
                      <w:rFonts w:hint="default"/>
                      <w:lang w:val="en-US" w:eastAsia="zh-CN"/>
                    </w:rPr>
                  </w:pPr>
                  <w:r>
                    <w:rPr>
                      <w:rFonts w:hint="eastAsia"/>
                      <w:lang w:val="en-US" w:eastAsia="zh-CN"/>
                    </w:rPr>
                    <w:t>145</w:t>
                  </w:r>
                </w:p>
              </w:tc>
              <w:tc>
                <w:tcPr>
                  <w:tcW w:w="591" w:type="pct"/>
                  <w:vAlign w:val="center"/>
                </w:tcPr>
                <w:p>
                  <w:pPr>
                    <w:pStyle w:val="35"/>
                    <w:bidi w:val="0"/>
                    <w:jc w:val="center"/>
                    <w:rPr>
                      <w:rFonts w:hint="default"/>
                      <w:lang w:val="en-US" w:eastAsia="zh-CN"/>
                    </w:rPr>
                  </w:pPr>
                  <w:r>
                    <w:rPr>
                      <w:rFonts w:hint="eastAsia"/>
                      <w:lang w:val="en-US" w:eastAsia="zh-CN"/>
                    </w:rPr>
                    <w:t>/</w:t>
                  </w:r>
                </w:p>
              </w:tc>
              <w:tc>
                <w:tcPr>
                  <w:tcW w:w="554" w:type="pct"/>
                  <w:vAlign w:val="center"/>
                </w:tcPr>
                <w:p>
                  <w:pPr>
                    <w:pStyle w:val="35"/>
                    <w:bidi w:val="0"/>
                    <w:jc w:val="center"/>
                    <w:rPr>
                      <w:rFonts w:hint="default"/>
                      <w:lang w:val="en-US" w:eastAsia="zh-CN"/>
                    </w:rPr>
                  </w:pPr>
                  <w:r>
                    <w:rPr>
                      <w:rFonts w:hint="eastAsia"/>
                      <w:lang w:val="en-US" w:eastAsia="zh-CN"/>
                    </w:rPr>
                    <w:t>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6" w:type="pct"/>
                  <w:vMerge w:val="continue"/>
                  <w:vAlign w:val="center"/>
                </w:tcPr>
                <w:p>
                  <w:pPr>
                    <w:pStyle w:val="35"/>
                    <w:bidi w:val="0"/>
                    <w:jc w:val="center"/>
                    <w:rPr>
                      <w:rFonts w:hint="default"/>
                    </w:rPr>
                  </w:pPr>
                </w:p>
              </w:tc>
              <w:tc>
                <w:tcPr>
                  <w:tcW w:w="1547" w:type="pct"/>
                  <w:vAlign w:val="center"/>
                </w:tcPr>
                <w:p>
                  <w:pPr>
                    <w:pStyle w:val="35"/>
                    <w:bidi w:val="0"/>
                    <w:jc w:val="center"/>
                    <w:rPr>
                      <w:rFonts w:hint="default"/>
                      <w:lang w:val="en-US" w:eastAsia="zh-CN"/>
                    </w:rPr>
                  </w:pPr>
                  <w:r>
                    <w:rPr>
                      <w:rFonts w:hint="default"/>
                    </w:rPr>
                    <w:t>排放量（t/a）</w:t>
                  </w:r>
                </w:p>
              </w:tc>
              <w:tc>
                <w:tcPr>
                  <w:tcW w:w="761" w:type="pct"/>
                  <w:vAlign w:val="center"/>
                </w:tcPr>
                <w:p>
                  <w:pPr>
                    <w:pStyle w:val="35"/>
                    <w:bidi w:val="0"/>
                    <w:jc w:val="center"/>
                    <w:rPr>
                      <w:rFonts w:hint="default"/>
                      <w:lang w:val="en-US" w:eastAsia="zh-CN"/>
                    </w:rPr>
                  </w:pPr>
                  <w:r>
                    <w:rPr>
                      <w:rFonts w:hint="eastAsia"/>
                      <w:lang w:val="en-US" w:eastAsia="zh-CN"/>
                    </w:rPr>
                    <w:t>0.08</w:t>
                  </w:r>
                </w:p>
              </w:tc>
              <w:tc>
                <w:tcPr>
                  <w:tcW w:w="709" w:type="pct"/>
                  <w:vAlign w:val="center"/>
                </w:tcPr>
                <w:p>
                  <w:pPr>
                    <w:pStyle w:val="35"/>
                    <w:bidi w:val="0"/>
                    <w:jc w:val="center"/>
                    <w:rPr>
                      <w:rFonts w:hint="default"/>
                      <w:lang w:val="en-US" w:eastAsia="zh-CN"/>
                    </w:rPr>
                  </w:pPr>
                  <w:r>
                    <w:rPr>
                      <w:rFonts w:hint="eastAsia"/>
                      <w:lang w:val="en-US" w:eastAsia="zh-CN"/>
                    </w:rPr>
                    <w:t>0.059</w:t>
                  </w:r>
                </w:p>
              </w:tc>
              <w:tc>
                <w:tcPr>
                  <w:tcW w:w="591" w:type="pct"/>
                  <w:vAlign w:val="center"/>
                </w:tcPr>
                <w:p>
                  <w:pPr>
                    <w:pStyle w:val="35"/>
                    <w:bidi w:val="0"/>
                    <w:jc w:val="center"/>
                    <w:rPr>
                      <w:rFonts w:hint="default"/>
                      <w:lang w:val="en-US" w:eastAsia="zh-CN"/>
                    </w:rPr>
                  </w:pPr>
                  <w:r>
                    <w:rPr>
                      <w:rFonts w:hint="eastAsia"/>
                      <w:lang w:val="en-US" w:eastAsia="zh-CN"/>
                    </w:rPr>
                    <w:t>/</w:t>
                  </w:r>
                </w:p>
              </w:tc>
              <w:tc>
                <w:tcPr>
                  <w:tcW w:w="554" w:type="pct"/>
                  <w:vAlign w:val="center"/>
                </w:tcPr>
                <w:p>
                  <w:pPr>
                    <w:pStyle w:val="35"/>
                    <w:bidi w:val="0"/>
                    <w:jc w:val="center"/>
                    <w:rPr>
                      <w:rFonts w:hint="default"/>
                      <w:lang w:val="en-US" w:eastAsia="zh-CN"/>
                    </w:rPr>
                  </w:pPr>
                  <w:r>
                    <w:rPr>
                      <w:rFonts w:hint="eastAsia"/>
                      <w:lang w:val="en-US" w:eastAsia="zh-CN"/>
                    </w:rPr>
                    <w:t>0.0036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83" w:type="pct"/>
                  <w:gridSpan w:val="2"/>
                  <w:vAlign w:val="center"/>
                </w:tcPr>
                <w:p>
                  <w:pPr>
                    <w:pStyle w:val="35"/>
                    <w:bidi w:val="0"/>
                    <w:jc w:val="center"/>
                    <w:rPr>
                      <w:rFonts w:hint="eastAsia"/>
                      <w:lang w:val="en-US" w:eastAsia="zh-CN"/>
                    </w:rPr>
                  </w:pPr>
                  <w:r>
                    <w:rPr>
                      <w:rFonts w:hint="eastAsia"/>
                      <w:lang w:val="en-US" w:eastAsia="zh-CN"/>
                    </w:rPr>
                    <w:t>执行标准</w:t>
                  </w:r>
                </w:p>
              </w:tc>
              <w:tc>
                <w:tcPr>
                  <w:tcW w:w="2616" w:type="pct"/>
                  <w:gridSpan w:val="4"/>
                  <w:vAlign w:val="center"/>
                </w:tcPr>
                <w:p>
                  <w:pPr>
                    <w:pStyle w:val="35"/>
                    <w:bidi w:val="0"/>
                    <w:jc w:val="center"/>
                    <w:rPr>
                      <w:rFonts w:hint="default"/>
                      <w:lang w:val="en-US" w:eastAsia="zh-CN"/>
                    </w:rPr>
                  </w:pPr>
                  <w:r>
                    <w:rPr>
                      <w:rFonts w:hint="default"/>
                      <w:lang w:val="en-US" w:eastAsia="zh-CN"/>
                    </w:rPr>
                    <w:t>《污水综合排放标准</w:t>
                  </w:r>
                  <w:r>
                    <w:rPr>
                      <w:rFonts w:hint="eastAsia"/>
                      <w:lang w:val="en-US" w:eastAsia="zh-CN"/>
                    </w:rPr>
                    <w:t>》</w:t>
                  </w:r>
                  <w:r>
                    <w:rPr>
                      <w:rFonts w:hint="default"/>
                      <w:lang w:val="en-US" w:eastAsia="zh-CN"/>
                    </w:rPr>
                    <w:t>（</w:t>
                  </w:r>
                  <w:r>
                    <w:rPr>
                      <w:rFonts w:hint="eastAsia"/>
                      <w:lang w:val="en-US" w:eastAsia="zh-CN"/>
                    </w:rPr>
                    <w:t>G</w:t>
                  </w:r>
                  <w:r>
                    <w:rPr>
                      <w:rFonts w:hint="default"/>
                      <w:lang w:val="en-US" w:eastAsia="zh-CN"/>
                    </w:rPr>
                    <w:t>B</w:t>
                  </w:r>
                  <w:r>
                    <w:rPr>
                      <w:rFonts w:hint="eastAsia"/>
                      <w:lang w:val="en-US" w:eastAsia="zh-CN"/>
                    </w:rPr>
                    <w:t>8978</w:t>
                  </w:r>
                  <w:r>
                    <w:rPr>
                      <w:rFonts w:hint="default"/>
                      <w:lang w:val="en-US" w:eastAsia="zh-CN"/>
                    </w:rPr>
                    <w:t>-</w:t>
                  </w:r>
                  <w:r>
                    <w:rPr>
                      <w:rFonts w:hint="eastAsia"/>
                      <w:lang w:val="en-US" w:eastAsia="zh-CN"/>
                    </w:rPr>
                    <w:t>1996</w:t>
                  </w:r>
                  <w:r>
                    <w:rPr>
                      <w:rFonts w:hint="default"/>
                      <w:lang w:val="en-US" w:eastAsia="zh-CN"/>
                    </w:rPr>
                    <w:t>）表</w:t>
                  </w:r>
                  <w:r>
                    <w:rPr>
                      <w:rFonts w:hint="eastAsia"/>
                      <w:lang w:val="en-US" w:eastAsia="zh-CN"/>
                    </w:rPr>
                    <w:t>4</w:t>
                  </w:r>
                  <w:r>
                    <w:rPr>
                      <w:rFonts w:hint="default"/>
                      <w:lang w:val="en-US" w:eastAsia="zh-CN"/>
                    </w:rPr>
                    <w:t>中三级标准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83" w:type="pct"/>
                  <w:gridSpan w:val="2"/>
                  <w:vAlign w:val="center"/>
                </w:tcPr>
                <w:p>
                  <w:pPr>
                    <w:pStyle w:val="35"/>
                    <w:bidi w:val="0"/>
                    <w:jc w:val="center"/>
                    <w:rPr>
                      <w:rFonts w:hint="default"/>
                    </w:rPr>
                  </w:pPr>
                  <w:r>
                    <w:rPr>
                      <w:rFonts w:hint="eastAsia"/>
                      <w:lang w:val="en-US" w:eastAsia="zh-CN"/>
                    </w:rPr>
                    <w:t>标准限值</w:t>
                  </w:r>
                </w:p>
              </w:tc>
              <w:tc>
                <w:tcPr>
                  <w:tcW w:w="761" w:type="pct"/>
                  <w:vAlign w:val="center"/>
                </w:tcPr>
                <w:p>
                  <w:pPr>
                    <w:pStyle w:val="35"/>
                    <w:bidi w:val="0"/>
                    <w:jc w:val="center"/>
                    <w:rPr>
                      <w:rFonts w:hint="eastAsia"/>
                      <w:lang w:val="en-US" w:eastAsia="zh-CN"/>
                    </w:rPr>
                  </w:pPr>
                  <w:r>
                    <w:rPr>
                      <w:rFonts w:hint="eastAsia"/>
                      <w:lang w:val="en-US" w:eastAsia="zh-CN"/>
                    </w:rPr>
                    <w:t>400</w:t>
                  </w:r>
                </w:p>
              </w:tc>
              <w:tc>
                <w:tcPr>
                  <w:tcW w:w="709" w:type="pct"/>
                  <w:vAlign w:val="center"/>
                </w:tcPr>
                <w:p>
                  <w:pPr>
                    <w:pStyle w:val="35"/>
                    <w:bidi w:val="0"/>
                    <w:jc w:val="center"/>
                    <w:rPr>
                      <w:rFonts w:hint="eastAsia"/>
                      <w:lang w:val="en-US" w:eastAsia="zh-CN"/>
                    </w:rPr>
                  </w:pPr>
                  <w:r>
                    <w:rPr>
                      <w:rFonts w:hint="eastAsia"/>
                      <w:lang w:val="en-US" w:eastAsia="zh-CN"/>
                    </w:rPr>
                    <w:t>500</w:t>
                  </w:r>
                </w:p>
              </w:tc>
              <w:tc>
                <w:tcPr>
                  <w:tcW w:w="591" w:type="pct"/>
                  <w:vAlign w:val="center"/>
                </w:tcPr>
                <w:p>
                  <w:pPr>
                    <w:pStyle w:val="35"/>
                    <w:bidi w:val="0"/>
                    <w:jc w:val="center"/>
                    <w:rPr>
                      <w:rFonts w:hint="default"/>
                      <w:lang w:val="en-US" w:eastAsia="zh-CN"/>
                    </w:rPr>
                  </w:pPr>
                  <w:r>
                    <w:rPr>
                      <w:rFonts w:hint="eastAsia"/>
                      <w:lang w:val="en-US" w:eastAsia="zh-CN"/>
                    </w:rPr>
                    <w:t>25</w:t>
                  </w:r>
                </w:p>
              </w:tc>
              <w:tc>
                <w:tcPr>
                  <w:tcW w:w="554" w:type="pct"/>
                  <w:vAlign w:val="center"/>
                </w:tcPr>
                <w:p>
                  <w:pPr>
                    <w:pStyle w:val="35"/>
                    <w:bidi w:val="0"/>
                    <w:jc w:val="center"/>
                    <w:rPr>
                      <w:rFonts w:hint="default"/>
                      <w:lang w:val="en-US" w:eastAsia="zh-CN"/>
                    </w:rPr>
                  </w:pPr>
                  <w:r>
                    <w:rPr>
                      <w:rFonts w:hint="eastAsia"/>
                      <w:lang w:val="en-US" w:eastAsia="zh-CN"/>
                    </w:rPr>
                    <w:t>20</w:t>
                  </w:r>
                </w:p>
              </w:tc>
            </w:tr>
          </w:tbl>
          <w:p>
            <w:pPr>
              <w:pStyle w:val="14"/>
              <w:bidi w:val="0"/>
            </w:pPr>
            <w:r>
              <w:rPr>
                <w:rFonts w:hint="eastAsia"/>
                <w:lang w:val="en-US" w:eastAsia="zh-CN"/>
              </w:rPr>
              <w:t>2.2</w:t>
            </w:r>
            <w:r>
              <w:t>水污染控制和水环境影响减缓措施有效性评价</w:t>
            </w:r>
          </w:p>
          <w:p>
            <w:pPr>
              <w:pStyle w:val="14"/>
              <w:bidi w:val="0"/>
              <w:rPr>
                <w:rFonts w:hint="default" w:ascii="Times New Roman" w:hAnsi="Times New Roman" w:cs="Times New Roman"/>
              </w:rPr>
            </w:pPr>
            <w:r>
              <w:rPr>
                <w:rFonts w:hint="default" w:ascii="Times New Roman" w:hAnsi="Times New Roman" w:cs="Times New Roman"/>
              </w:rPr>
              <w:t>本项目属于</w:t>
            </w:r>
            <w:r>
              <w:rPr>
                <w:rFonts w:hint="default" w:ascii="Times New Roman" w:hAnsi="Times New Roman" w:cs="Times New Roman"/>
                <w:lang w:eastAsia="zh-CN"/>
              </w:rPr>
              <w:t>祁东县鱼陂污水厂</w:t>
            </w:r>
            <w:r>
              <w:rPr>
                <w:rFonts w:hint="default" w:ascii="Times New Roman" w:hAnsi="Times New Roman" w:cs="Times New Roman"/>
              </w:rPr>
              <w:t>管网纳污范围，初期雨水、洗车废水</w:t>
            </w:r>
            <w:r>
              <w:rPr>
                <w:rFonts w:hint="default" w:ascii="Times New Roman" w:hAnsi="Times New Roman" w:cs="Times New Roman"/>
                <w:lang w:eastAsia="zh-CN"/>
              </w:rPr>
              <w:t>、场地清洁废水</w:t>
            </w:r>
            <w:r>
              <w:rPr>
                <w:rFonts w:hint="default" w:ascii="Times New Roman" w:hAnsi="Times New Roman" w:cs="Times New Roman"/>
              </w:rPr>
              <w:t>经场地</w:t>
            </w:r>
            <w:r>
              <w:rPr>
                <w:rFonts w:hint="default" w:ascii="Times New Roman" w:hAnsi="Times New Roman" w:cs="Times New Roman"/>
                <w:lang w:val="en-US" w:eastAsia="zh-CN"/>
              </w:rPr>
              <w:t>5m³</w:t>
            </w:r>
            <w:r>
              <w:rPr>
                <w:rFonts w:hint="default" w:ascii="Times New Roman" w:hAnsi="Times New Roman" w:cs="Times New Roman"/>
              </w:rPr>
              <w:t>隔油沉淀池沉淀处理后进入</w:t>
            </w:r>
            <w:r>
              <w:rPr>
                <w:rFonts w:hint="eastAsia" w:ascii="Times New Roman" w:hAnsi="Times New Roman" w:cs="Times New Roman"/>
                <w:lang w:eastAsia="zh-CN"/>
              </w:rPr>
              <w:t>市政污水管网</w:t>
            </w:r>
            <w:r>
              <w:rPr>
                <w:rFonts w:hint="default" w:ascii="Times New Roman" w:hAnsi="Times New Roman" w:cs="Times New Roman"/>
              </w:rPr>
              <w:t>最后进入</w:t>
            </w:r>
            <w:r>
              <w:rPr>
                <w:rFonts w:hint="default" w:ascii="Times New Roman" w:hAnsi="Times New Roman" w:cs="Times New Roman"/>
                <w:lang w:eastAsia="zh-CN"/>
              </w:rPr>
              <w:t>祁东县鱼陂污水厂</w:t>
            </w:r>
            <w:r>
              <w:rPr>
                <w:rFonts w:hint="default" w:ascii="Times New Roman" w:hAnsi="Times New Roman" w:cs="Times New Roman"/>
              </w:rPr>
              <w:t>；生活污水经化粪池处理后后进入</w:t>
            </w:r>
            <w:r>
              <w:rPr>
                <w:rFonts w:hint="eastAsia" w:ascii="Times New Roman" w:hAnsi="Times New Roman" w:cs="Times New Roman"/>
                <w:lang w:eastAsia="zh-CN"/>
              </w:rPr>
              <w:t>市政污水管网</w:t>
            </w:r>
            <w:r>
              <w:rPr>
                <w:rFonts w:hint="default" w:ascii="Times New Roman" w:hAnsi="Times New Roman" w:cs="Times New Roman"/>
              </w:rPr>
              <w:t>最后进入</w:t>
            </w:r>
            <w:r>
              <w:rPr>
                <w:rFonts w:hint="default" w:ascii="Times New Roman" w:hAnsi="Times New Roman" w:cs="Times New Roman"/>
                <w:lang w:eastAsia="zh-CN"/>
              </w:rPr>
              <w:t>祁东县鱼陂污水厂</w:t>
            </w:r>
            <w:r>
              <w:rPr>
                <w:rFonts w:hint="default" w:ascii="Times New Roman" w:hAnsi="Times New Roman" w:cs="Times New Roman"/>
              </w:rPr>
              <w:t>。</w:t>
            </w:r>
          </w:p>
          <w:p>
            <w:pPr>
              <w:pStyle w:val="14"/>
              <w:bidi w:val="0"/>
            </w:pPr>
            <w:r>
              <w:t>隔油池的基本原理：隔油池利用油滴与水的密度差产生上浮作用来去除食堂含油废水中可浮性油类物质的一种废水预处理构筑物。隔油池的构造多采用平流式，含油废水通过配水槽进入平面为矩形的隔油池，沿水平方向缓慢流动，在流动中油品上浮水面，由集油管或设置在池面的刮油机推送到集油管中流入脱水罐。在隔油池中沉淀下来的重油及其他杂质，积聚到池底污泥斗中，通过排泥管</w:t>
            </w:r>
            <w:r>
              <w:fldChar w:fldCharType="begin"/>
            </w:r>
            <w:r>
              <w:instrText xml:space="preserve"> HYPERLINK "https://baike.baidu.com/item/%E5%A4%84%E7%90%86/4869736" \h </w:instrText>
            </w:r>
            <w:r>
              <w:fldChar w:fldCharType="separate"/>
            </w:r>
            <w:r>
              <w:t>进入污泥管中。经过隔油处理的废水则溢流入排水渠排出池外，进行后续处理</w:t>
            </w:r>
            <w:r>
              <w:fldChar w:fldCharType="end"/>
            </w:r>
            <w:r>
              <w:t>， 以去除乳化油及其他污染物。</w:t>
            </w:r>
          </w:p>
          <w:p>
            <w:pPr>
              <w:pStyle w:val="14"/>
              <w:bidi w:val="0"/>
            </w:pPr>
            <w:r>
              <w:t>化粪池的基本原理：化粪池指的是将生活污水分格沉淀，及对污泥进行厌氧消化的小型处理构筑物。化粪池属最初级污水处理阶段，可去除50％的悬浮杂质（粪便、较大病原虫等），并使积泥在厌氧条件下分解为稳定状态。其沉淀原理类似于平流式沉淀池，分为酸性发酵和碱性发酵两个阶段。第一阶段为酸性发酵阶段，产生H</w:t>
            </w:r>
            <w:r>
              <w:rPr>
                <w:vertAlign w:val="subscript"/>
              </w:rPr>
              <w:t>2</w:t>
            </w:r>
            <w:r>
              <w:t>S、硫醇、吲哚、粪臭素等有害气体和腐臭味，粪便污水pH为5.0～6.0。悬浮杂质吸附气泡浮于水面后，又因气体释放而沉入池底，循环的沉浮运动使悬浮杂质块逐渐变小，粪块中的寄生虫卵也随之剥离沉入池底。第二阶段是碱性发酵阶段，第一阶段产生的氨基酸在甲烷基作用下分解为CO</w:t>
            </w:r>
            <w:r>
              <w:rPr>
                <w:vertAlign w:val="subscript"/>
              </w:rPr>
              <w:t>2</w:t>
            </w:r>
            <w:r>
              <w:t>、CH</w:t>
            </w:r>
            <w:r>
              <w:rPr>
                <w:vertAlign w:val="subscript"/>
              </w:rPr>
              <w:t>4</w:t>
            </w:r>
            <w:r>
              <w:t>、氨，池内粪液pH为7.5左右。为减少污水与污泥的接触时间，也使酸性发酵、碱性发酵两个过程互不干扰，并便于清掏，化粪池一般设两格或三格。</w:t>
            </w:r>
          </w:p>
          <w:p>
            <w:pPr>
              <w:pStyle w:val="14"/>
              <w:bidi w:val="0"/>
            </w:pPr>
            <w:r>
              <w:t>根据相关资料，隔油池</w:t>
            </w:r>
            <w:r>
              <w:rPr>
                <w:rFonts w:hint="eastAsia"/>
                <w:lang w:eastAsia="zh-CN"/>
              </w:rPr>
              <w:t>对</w:t>
            </w:r>
            <w:r>
              <w:t>石油类</w:t>
            </w:r>
            <w:r>
              <w:rPr>
                <w:rFonts w:hint="eastAsia"/>
                <w:lang w:eastAsia="zh-CN"/>
              </w:rPr>
              <w:t>、动植物油</w:t>
            </w:r>
            <w:r>
              <w:t>类的去除效率为：70%左右；化粪池水污染物去除效率为：COD15%左右、SS50%左右、氨氮8%左右。项目地面</w:t>
            </w:r>
            <w:r>
              <w:rPr>
                <w:rFonts w:hint="eastAsia"/>
                <w:lang w:eastAsia="zh-CN"/>
              </w:rPr>
              <w:t>清洁</w:t>
            </w:r>
            <w:r>
              <w:t>废水经隔油池预处理后，石油类的排放浓度为9mg/L；生活污水经化粪池预处理后，COD的浓度为300mg/L，氨氮的浓度为2</w:t>
            </w:r>
            <w:r>
              <w:rPr>
                <w:rFonts w:hint="eastAsia"/>
                <w:lang w:val="en-US" w:eastAsia="zh-CN"/>
              </w:rPr>
              <w:t>4</w:t>
            </w:r>
            <w:r>
              <w:t>mg/L，SS的浓度为</w:t>
            </w:r>
            <w:r>
              <w:rPr>
                <w:rFonts w:hint="eastAsia"/>
                <w:lang w:val="en-US" w:eastAsia="zh-CN"/>
              </w:rPr>
              <w:t>6</w:t>
            </w:r>
            <w:r>
              <w:t>0mg/L，满足《污水综合排放标准》（GB8978-96） 表4三级标准。</w:t>
            </w:r>
          </w:p>
          <w:p>
            <w:pPr>
              <w:pStyle w:val="14"/>
              <w:bidi w:val="0"/>
              <w:rPr>
                <w:rFonts w:hint="default"/>
              </w:rPr>
            </w:pPr>
            <w:r>
              <w:rPr>
                <w:rFonts w:hint="eastAsia"/>
                <w:lang w:val="en-US" w:eastAsia="zh-CN"/>
              </w:rPr>
              <w:t>2.3祁东县鱼陂污水厂收纳本项目污水</w:t>
            </w:r>
            <w:r>
              <w:rPr>
                <w:rFonts w:hint="default"/>
              </w:rPr>
              <w:t>可行性分析</w:t>
            </w:r>
          </w:p>
          <w:p>
            <w:pPr>
              <w:pStyle w:val="14"/>
              <w:ind w:firstLine="480"/>
              <w:rPr>
                <w:rFonts w:hint="default"/>
              </w:rPr>
            </w:pPr>
            <w:r>
              <w:rPr>
                <w:lang w:val="en-US" w:eastAsia="zh-CN"/>
              </w:rPr>
              <w:t>本项目位于</w:t>
            </w:r>
            <w:r>
              <w:rPr>
                <w:rFonts w:hint="eastAsia" w:cs="Times New Roman"/>
                <w:szCs w:val="21"/>
                <w:u w:val="none"/>
                <w:lang w:eastAsia="zh-CN"/>
              </w:rPr>
              <w:t>祁东县永昌街道南山大道南侧(南山大道与永湘路交叉口东南角)</w:t>
            </w:r>
            <w:r>
              <w:rPr>
                <w:lang w:val="en-US" w:eastAsia="zh-CN"/>
              </w:rPr>
              <w:t>，属于</w:t>
            </w:r>
            <w:r>
              <w:rPr>
                <w:rFonts w:hint="eastAsia"/>
                <w:lang w:val="en-US" w:eastAsia="zh-CN"/>
              </w:rPr>
              <w:t>祁东县鱼陂污水厂</w:t>
            </w:r>
            <w:r>
              <w:rPr>
                <w:lang w:val="en-US" w:eastAsia="zh-CN"/>
              </w:rPr>
              <w:t>纳污范围，污水进入</w:t>
            </w:r>
            <w:r>
              <w:rPr>
                <w:rFonts w:hint="eastAsia"/>
                <w:lang w:val="en-US" w:eastAsia="zh-CN"/>
              </w:rPr>
              <w:t>祁东县鱼陂污水厂</w:t>
            </w:r>
            <w:r>
              <w:rPr>
                <w:lang w:val="en-US" w:eastAsia="zh-CN"/>
              </w:rPr>
              <w:t>处理达标后排入</w:t>
            </w:r>
            <w:r>
              <w:rPr>
                <w:rFonts w:hint="eastAsia"/>
                <w:lang w:val="en-US" w:eastAsia="zh-CN"/>
              </w:rPr>
              <w:t>洪桥小溪</w:t>
            </w:r>
            <w:r>
              <w:rPr>
                <w:lang w:val="en-US" w:eastAsia="zh-CN"/>
              </w:rPr>
              <w:t>。根据现场调查</w:t>
            </w:r>
            <w:r>
              <w:rPr>
                <w:rFonts w:hint="eastAsia"/>
                <w:lang w:val="en-US" w:eastAsia="zh-CN"/>
              </w:rPr>
              <w:t>，项目区域排水管道的铺设也已建成，污水通过市政污水管网能够顺利进入祁东县鱼陂污水厂，最终排入洪桥小溪。</w:t>
            </w:r>
            <w:r>
              <w:rPr>
                <w:lang w:val="en-US" w:eastAsia="zh-CN"/>
              </w:rPr>
              <w:t>本项目废水</w:t>
            </w:r>
            <w:r>
              <w:rPr>
                <w:rFonts w:hint="eastAsia"/>
                <w:lang w:val="en-US" w:eastAsia="zh-CN"/>
              </w:rPr>
              <w:t>排放</w:t>
            </w:r>
            <w:r>
              <w:rPr>
                <w:lang w:val="en-US" w:eastAsia="zh-CN"/>
              </w:rPr>
              <w:t>量为</w:t>
            </w:r>
            <w:r>
              <w:rPr>
                <w:rFonts w:hint="eastAsia"/>
                <w:lang w:val="en-US" w:eastAsia="zh-CN"/>
              </w:rPr>
              <w:t>2.18</w:t>
            </w:r>
            <w:r>
              <w:rPr>
                <w:lang w:val="en-US" w:eastAsia="zh-CN"/>
              </w:rPr>
              <w:t>m³/d</w:t>
            </w:r>
            <w:r>
              <w:rPr>
                <w:rFonts w:hint="eastAsia"/>
                <w:lang w:val="en-US" w:eastAsia="zh-CN"/>
              </w:rPr>
              <w:t>，</w:t>
            </w:r>
            <w:r>
              <w:rPr>
                <w:lang w:val="en-US" w:eastAsia="zh-CN"/>
              </w:rPr>
              <w:t>不会对</w:t>
            </w:r>
            <w:r>
              <w:rPr>
                <w:rFonts w:hint="eastAsia"/>
                <w:lang w:val="en-US" w:eastAsia="zh-CN"/>
              </w:rPr>
              <w:t>祁东县鱼陂污水厂</w:t>
            </w:r>
            <w:r>
              <w:rPr>
                <w:lang w:val="en-US" w:eastAsia="zh-CN"/>
              </w:rPr>
              <w:t>日常运行负荷造成冲击。</w:t>
            </w:r>
          </w:p>
          <w:p>
            <w:pPr>
              <w:pStyle w:val="14"/>
              <w:bidi w:val="0"/>
            </w:pPr>
            <w:r>
              <w:rPr>
                <w:rFonts w:hint="eastAsia"/>
                <w:lang w:val="en-US" w:eastAsia="zh-CN"/>
              </w:rPr>
              <w:t>2.4</w:t>
            </w:r>
            <w:r>
              <w:t>污染物排放量核算表</w:t>
            </w:r>
          </w:p>
          <w:p>
            <w:pPr>
              <w:pStyle w:val="14"/>
              <w:bidi w:val="0"/>
              <w:rPr>
                <w:rFonts w:hint="eastAsia"/>
                <w:lang w:eastAsia="zh-CN"/>
              </w:rPr>
            </w:pPr>
            <w:r>
              <w:t>综上，根据《环境评价技术导则地表水环境》</w:t>
            </w:r>
            <w:r>
              <w:rPr>
                <w:lang w:val="en-US" w:eastAsia="en-US"/>
              </w:rPr>
              <w:t>（HJ2.3-2018）</w:t>
            </w:r>
            <w:r>
              <w:t>要求，水污染物排 放核算表见下表</w:t>
            </w:r>
            <w:r>
              <w:rPr>
                <w:rFonts w:hint="eastAsia"/>
                <w:lang w:eastAsia="zh-CN"/>
              </w:rPr>
              <w:t>。</w:t>
            </w:r>
          </w:p>
          <w:p>
            <w:pPr>
              <w:pStyle w:val="36"/>
              <w:bidi w:val="0"/>
            </w:pPr>
            <w:r>
              <w:t>表</w:t>
            </w:r>
            <w:r>
              <w:rPr>
                <w:lang w:val="en-US" w:eastAsia="en-US"/>
              </w:rPr>
              <w:t>4</w:t>
            </w:r>
            <w:r>
              <w:rPr>
                <w:rFonts w:hint="eastAsia"/>
                <w:lang w:val="en-US" w:eastAsia="zh-CN"/>
              </w:rPr>
              <w:t>.2</w:t>
            </w:r>
            <w:r>
              <w:rPr>
                <w:lang w:val="en-US" w:eastAsia="en-US"/>
              </w:rPr>
              <w:t>-</w:t>
            </w:r>
            <w:r>
              <w:rPr>
                <w:rFonts w:hint="eastAsia"/>
                <w:lang w:val="en-US" w:eastAsia="zh-CN"/>
              </w:rPr>
              <w:t>11</w:t>
            </w:r>
            <w:r>
              <w:t>废水类别、污染物及污染治理设施信息表</w:t>
            </w:r>
          </w:p>
          <w:tbl>
            <w:tblPr>
              <w:tblStyle w:val="31"/>
              <w:tblW w:w="7897" w:type="dxa"/>
              <w:jc w:val="center"/>
              <w:tblLayout w:type="autofit"/>
              <w:tblCellMar>
                <w:top w:w="0" w:type="dxa"/>
                <w:left w:w="10" w:type="dxa"/>
                <w:bottom w:w="0" w:type="dxa"/>
                <w:right w:w="10" w:type="dxa"/>
              </w:tblCellMar>
            </w:tblPr>
            <w:tblGrid>
              <w:gridCol w:w="708"/>
              <w:gridCol w:w="705"/>
              <w:gridCol w:w="708"/>
              <w:gridCol w:w="705"/>
              <w:gridCol w:w="708"/>
              <w:gridCol w:w="708"/>
              <w:gridCol w:w="697"/>
              <w:gridCol w:w="735"/>
              <w:gridCol w:w="793"/>
              <w:gridCol w:w="708"/>
              <w:gridCol w:w="722"/>
            </w:tblGrid>
            <w:tr>
              <w:tblPrEx>
                <w:tblCellMar>
                  <w:top w:w="0" w:type="dxa"/>
                  <w:left w:w="10" w:type="dxa"/>
                  <w:bottom w:w="0" w:type="dxa"/>
                  <w:right w:w="10" w:type="dxa"/>
                </w:tblCellMar>
              </w:tblPrEx>
              <w:trPr>
                <w:trHeight w:val="340" w:hRule="exact"/>
                <w:jc w:val="center"/>
              </w:trPr>
              <w:tc>
                <w:tcPr>
                  <w:tcW w:w="448" w:type="pct"/>
                  <w:vMerge w:val="restart"/>
                  <w:tcBorders>
                    <w:top w:val="single" w:color="auto" w:sz="4" w:space="0"/>
                    <w:left w:val="single" w:color="auto" w:sz="4" w:space="0"/>
                  </w:tcBorders>
                  <w:shd w:val="clear" w:color="auto" w:fill="FFFFFF"/>
                  <w:vAlign w:val="center"/>
                </w:tcPr>
                <w:p>
                  <w:pPr>
                    <w:pStyle w:val="35"/>
                    <w:bidi w:val="0"/>
                    <w:jc w:val="center"/>
                  </w:pPr>
                  <w:r>
                    <w:t>序号</w:t>
                  </w:r>
                </w:p>
              </w:tc>
              <w:tc>
                <w:tcPr>
                  <w:tcW w:w="446" w:type="pct"/>
                  <w:vMerge w:val="restart"/>
                  <w:tcBorders>
                    <w:top w:val="single" w:color="auto" w:sz="4" w:space="0"/>
                    <w:left w:val="single" w:color="auto" w:sz="4" w:space="0"/>
                  </w:tcBorders>
                  <w:shd w:val="clear" w:color="auto" w:fill="FFFFFF"/>
                  <w:vAlign w:val="center"/>
                </w:tcPr>
                <w:p>
                  <w:pPr>
                    <w:pStyle w:val="35"/>
                    <w:bidi w:val="0"/>
                    <w:jc w:val="center"/>
                  </w:pPr>
                  <w:r>
                    <w:t>废水</w:t>
                  </w:r>
                </w:p>
                <w:p>
                  <w:pPr>
                    <w:pStyle w:val="35"/>
                    <w:bidi w:val="0"/>
                    <w:jc w:val="center"/>
                  </w:pPr>
                  <w:r>
                    <w:t>类别</w:t>
                  </w:r>
                </w:p>
              </w:tc>
              <w:tc>
                <w:tcPr>
                  <w:tcW w:w="448" w:type="pct"/>
                  <w:vMerge w:val="restart"/>
                  <w:tcBorders>
                    <w:top w:val="single" w:color="auto" w:sz="4" w:space="0"/>
                    <w:left w:val="single" w:color="auto" w:sz="4" w:space="0"/>
                  </w:tcBorders>
                  <w:shd w:val="clear" w:color="auto" w:fill="FFFFFF"/>
                  <w:vAlign w:val="center"/>
                </w:tcPr>
                <w:p>
                  <w:pPr>
                    <w:pStyle w:val="35"/>
                    <w:bidi w:val="0"/>
                    <w:jc w:val="center"/>
                  </w:pPr>
                  <w:r>
                    <w:t>污染</w:t>
                  </w:r>
                </w:p>
                <w:p>
                  <w:pPr>
                    <w:pStyle w:val="35"/>
                    <w:bidi w:val="0"/>
                    <w:jc w:val="center"/>
                  </w:pPr>
                  <w:r>
                    <w:t>物种</w:t>
                  </w:r>
                </w:p>
                <w:p>
                  <w:pPr>
                    <w:pStyle w:val="35"/>
                    <w:bidi w:val="0"/>
                    <w:jc w:val="center"/>
                  </w:pPr>
                  <w:r>
                    <w:t>类</w:t>
                  </w:r>
                </w:p>
              </w:tc>
              <w:tc>
                <w:tcPr>
                  <w:tcW w:w="446" w:type="pct"/>
                  <w:vMerge w:val="restart"/>
                  <w:tcBorders>
                    <w:top w:val="single" w:color="auto" w:sz="4" w:space="0"/>
                    <w:left w:val="single" w:color="auto" w:sz="4" w:space="0"/>
                  </w:tcBorders>
                  <w:shd w:val="clear" w:color="auto" w:fill="FFFFFF"/>
                  <w:vAlign w:val="center"/>
                </w:tcPr>
                <w:p>
                  <w:pPr>
                    <w:pStyle w:val="35"/>
                    <w:bidi w:val="0"/>
                    <w:jc w:val="center"/>
                  </w:pPr>
                  <w:r>
                    <w:t>排放</w:t>
                  </w:r>
                </w:p>
                <w:p>
                  <w:pPr>
                    <w:pStyle w:val="35"/>
                    <w:bidi w:val="0"/>
                    <w:jc w:val="center"/>
                  </w:pPr>
                  <w:r>
                    <w:t>去向</w:t>
                  </w:r>
                </w:p>
              </w:tc>
              <w:tc>
                <w:tcPr>
                  <w:tcW w:w="448" w:type="pct"/>
                  <w:vMerge w:val="restart"/>
                  <w:tcBorders>
                    <w:top w:val="single" w:color="auto" w:sz="4" w:space="0"/>
                    <w:left w:val="single" w:color="auto" w:sz="4" w:space="0"/>
                  </w:tcBorders>
                  <w:shd w:val="clear" w:color="auto" w:fill="FFFFFF"/>
                  <w:vAlign w:val="center"/>
                </w:tcPr>
                <w:p>
                  <w:pPr>
                    <w:pStyle w:val="35"/>
                    <w:bidi w:val="0"/>
                    <w:jc w:val="center"/>
                  </w:pPr>
                  <w:r>
                    <w:t>排放</w:t>
                  </w:r>
                </w:p>
                <w:p>
                  <w:pPr>
                    <w:pStyle w:val="35"/>
                    <w:bidi w:val="0"/>
                    <w:jc w:val="center"/>
                  </w:pPr>
                  <w:r>
                    <w:t>规律</w:t>
                  </w:r>
                </w:p>
              </w:tc>
              <w:tc>
                <w:tcPr>
                  <w:tcW w:w="1354" w:type="pct"/>
                  <w:gridSpan w:val="3"/>
                  <w:tcBorders>
                    <w:top w:val="single" w:color="auto" w:sz="4" w:space="0"/>
                    <w:left w:val="single" w:color="auto" w:sz="4" w:space="0"/>
                  </w:tcBorders>
                  <w:shd w:val="clear" w:color="auto" w:fill="FFFFFF"/>
                  <w:vAlign w:val="center"/>
                </w:tcPr>
                <w:p>
                  <w:pPr>
                    <w:pStyle w:val="35"/>
                    <w:bidi w:val="0"/>
                    <w:jc w:val="center"/>
                  </w:pPr>
                  <w:r>
                    <w:t>污染治理设施</w:t>
                  </w:r>
                </w:p>
              </w:tc>
              <w:tc>
                <w:tcPr>
                  <w:tcW w:w="502" w:type="pct"/>
                  <w:vMerge w:val="restart"/>
                  <w:tcBorders>
                    <w:top w:val="single" w:color="auto" w:sz="4" w:space="0"/>
                    <w:left w:val="single" w:color="auto" w:sz="4" w:space="0"/>
                  </w:tcBorders>
                  <w:shd w:val="clear" w:color="auto" w:fill="FFFFFF"/>
                  <w:vAlign w:val="center"/>
                </w:tcPr>
                <w:p>
                  <w:pPr>
                    <w:pStyle w:val="35"/>
                    <w:bidi w:val="0"/>
                    <w:jc w:val="center"/>
                  </w:pPr>
                  <w:r>
                    <w:t>排放口</w:t>
                  </w:r>
                </w:p>
                <w:p>
                  <w:pPr>
                    <w:pStyle w:val="35"/>
                    <w:bidi w:val="0"/>
                    <w:jc w:val="center"/>
                  </w:pPr>
                  <w:r>
                    <w:t>编号</w:t>
                  </w:r>
                </w:p>
              </w:tc>
              <w:tc>
                <w:tcPr>
                  <w:tcW w:w="448" w:type="pct"/>
                  <w:vMerge w:val="restart"/>
                  <w:tcBorders>
                    <w:top w:val="single" w:color="auto" w:sz="4" w:space="0"/>
                    <w:left w:val="single" w:color="auto" w:sz="4" w:space="0"/>
                  </w:tcBorders>
                  <w:shd w:val="clear" w:color="auto" w:fill="FFFFFF"/>
                  <w:vAlign w:val="center"/>
                </w:tcPr>
                <w:p>
                  <w:pPr>
                    <w:pStyle w:val="35"/>
                    <w:bidi w:val="0"/>
                    <w:jc w:val="center"/>
                  </w:pPr>
                  <w:r>
                    <w:t>排放 口设 置是 否符 合要 求</w:t>
                  </w:r>
                </w:p>
              </w:tc>
              <w:tc>
                <w:tcPr>
                  <w:tcW w:w="457" w:type="pct"/>
                  <w:vMerge w:val="restart"/>
                  <w:tcBorders>
                    <w:top w:val="single" w:color="auto" w:sz="4" w:space="0"/>
                    <w:left w:val="single" w:color="auto" w:sz="4" w:space="0"/>
                    <w:right w:val="single" w:color="auto" w:sz="4" w:space="0"/>
                  </w:tcBorders>
                  <w:shd w:val="clear" w:color="auto" w:fill="FFFFFF"/>
                  <w:vAlign w:val="center"/>
                </w:tcPr>
                <w:p>
                  <w:pPr>
                    <w:pStyle w:val="35"/>
                    <w:bidi w:val="0"/>
                    <w:jc w:val="center"/>
                  </w:pPr>
                  <w:r>
                    <w:t>排放 口类 型</w:t>
                  </w:r>
                </w:p>
              </w:tc>
            </w:tr>
            <w:tr>
              <w:tblPrEx>
                <w:tblCellMar>
                  <w:top w:w="0" w:type="dxa"/>
                  <w:left w:w="10" w:type="dxa"/>
                  <w:bottom w:w="0" w:type="dxa"/>
                  <w:right w:w="10" w:type="dxa"/>
                </w:tblCellMar>
              </w:tblPrEx>
              <w:trPr>
                <w:trHeight w:val="1361" w:hRule="exact"/>
                <w:jc w:val="center"/>
              </w:trPr>
              <w:tc>
                <w:tcPr>
                  <w:tcW w:w="448" w:type="pct"/>
                  <w:vMerge w:val="continue"/>
                  <w:tcBorders>
                    <w:left w:val="single" w:color="auto" w:sz="4" w:space="0"/>
                  </w:tcBorders>
                  <w:shd w:val="clear" w:color="auto" w:fill="FFFFFF"/>
                  <w:vAlign w:val="center"/>
                </w:tcPr>
                <w:p>
                  <w:pPr>
                    <w:pStyle w:val="35"/>
                    <w:bidi w:val="0"/>
                    <w:jc w:val="center"/>
                  </w:pPr>
                </w:p>
              </w:tc>
              <w:tc>
                <w:tcPr>
                  <w:tcW w:w="446" w:type="pct"/>
                  <w:vMerge w:val="continue"/>
                  <w:tcBorders>
                    <w:left w:val="single" w:color="auto" w:sz="4" w:space="0"/>
                  </w:tcBorders>
                  <w:shd w:val="clear" w:color="auto" w:fill="FFFFFF"/>
                  <w:vAlign w:val="center"/>
                </w:tcPr>
                <w:p>
                  <w:pPr>
                    <w:pStyle w:val="35"/>
                    <w:bidi w:val="0"/>
                    <w:jc w:val="center"/>
                  </w:pPr>
                </w:p>
              </w:tc>
              <w:tc>
                <w:tcPr>
                  <w:tcW w:w="448" w:type="pct"/>
                  <w:vMerge w:val="continue"/>
                  <w:tcBorders>
                    <w:left w:val="single" w:color="auto" w:sz="4" w:space="0"/>
                  </w:tcBorders>
                  <w:shd w:val="clear" w:color="auto" w:fill="FFFFFF"/>
                  <w:vAlign w:val="center"/>
                </w:tcPr>
                <w:p>
                  <w:pPr>
                    <w:pStyle w:val="35"/>
                    <w:bidi w:val="0"/>
                    <w:jc w:val="center"/>
                  </w:pPr>
                </w:p>
              </w:tc>
              <w:tc>
                <w:tcPr>
                  <w:tcW w:w="446" w:type="pct"/>
                  <w:vMerge w:val="continue"/>
                  <w:tcBorders>
                    <w:left w:val="single" w:color="auto" w:sz="4" w:space="0"/>
                  </w:tcBorders>
                  <w:shd w:val="clear" w:color="auto" w:fill="FFFFFF"/>
                  <w:vAlign w:val="center"/>
                </w:tcPr>
                <w:p>
                  <w:pPr>
                    <w:pStyle w:val="35"/>
                    <w:bidi w:val="0"/>
                    <w:jc w:val="center"/>
                  </w:pPr>
                </w:p>
              </w:tc>
              <w:tc>
                <w:tcPr>
                  <w:tcW w:w="448" w:type="pct"/>
                  <w:vMerge w:val="continue"/>
                  <w:tcBorders>
                    <w:left w:val="single" w:color="auto" w:sz="4" w:space="0"/>
                  </w:tcBorders>
                  <w:shd w:val="clear" w:color="auto" w:fill="FFFFFF"/>
                  <w:vAlign w:val="center"/>
                </w:tcPr>
                <w:p>
                  <w:pPr>
                    <w:pStyle w:val="35"/>
                    <w:bidi w:val="0"/>
                    <w:jc w:val="center"/>
                  </w:pPr>
                </w:p>
              </w:tc>
              <w:tc>
                <w:tcPr>
                  <w:tcW w:w="448" w:type="pct"/>
                  <w:tcBorders>
                    <w:top w:val="single" w:color="auto" w:sz="4" w:space="0"/>
                    <w:left w:val="single" w:color="auto" w:sz="4" w:space="0"/>
                  </w:tcBorders>
                  <w:shd w:val="clear" w:color="auto" w:fill="FFFFFF"/>
                  <w:vAlign w:val="center"/>
                </w:tcPr>
                <w:p>
                  <w:pPr>
                    <w:pStyle w:val="35"/>
                    <w:bidi w:val="0"/>
                    <w:jc w:val="center"/>
                  </w:pPr>
                  <w:r>
                    <w:t>污染</w:t>
                  </w:r>
                </w:p>
                <w:p>
                  <w:pPr>
                    <w:pStyle w:val="35"/>
                    <w:bidi w:val="0"/>
                    <w:jc w:val="center"/>
                  </w:pPr>
                  <w:r>
                    <w:t>治理 设施 编号</w:t>
                  </w:r>
                </w:p>
              </w:tc>
              <w:tc>
                <w:tcPr>
                  <w:tcW w:w="441" w:type="pct"/>
                  <w:tcBorders>
                    <w:top w:val="single" w:color="auto" w:sz="4" w:space="0"/>
                    <w:left w:val="single" w:color="auto" w:sz="4" w:space="0"/>
                  </w:tcBorders>
                  <w:shd w:val="clear" w:color="auto" w:fill="FFFFFF"/>
                  <w:vAlign w:val="center"/>
                </w:tcPr>
                <w:p>
                  <w:pPr>
                    <w:pStyle w:val="35"/>
                    <w:bidi w:val="0"/>
                    <w:jc w:val="center"/>
                  </w:pPr>
                  <w:r>
                    <w:t>污染</w:t>
                  </w:r>
                </w:p>
                <w:p>
                  <w:pPr>
                    <w:pStyle w:val="35"/>
                    <w:bidi w:val="0"/>
                    <w:jc w:val="center"/>
                  </w:pPr>
                  <w:r>
                    <w:t>治理 设施 名称</w:t>
                  </w:r>
                </w:p>
              </w:tc>
              <w:tc>
                <w:tcPr>
                  <w:tcW w:w="465" w:type="pct"/>
                  <w:tcBorders>
                    <w:top w:val="single" w:color="auto" w:sz="4" w:space="0"/>
                    <w:left w:val="single" w:color="auto" w:sz="4" w:space="0"/>
                  </w:tcBorders>
                  <w:shd w:val="clear" w:color="auto" w:fill="FFFFFF"/>
                  <w:vAlign w:val="center"/>
                </w:tcPr>
                <w:p>
                  <w:pPr>
                    <w:pStyle w:val="35"/>
                    <w:bidi w:val="0"/>
                    <w:jc w:val="center"/>
                  </w:pPr>
                  <w:r>
                    <w:t>污染 治理 设施 工艺</w:t>
                  </w:r>
                </w:p>
              </w:tc>
              <w:tc>
                <w:tcPr>
                  <w:tcW w:w="502" w:type="pct"/>
                  <w:vMerge w:val="continue"/>
                  <w:tcBorders>
                    <w:left w:val="single" w:color="auto" w:sz="4" w:space="0"/>
                  </w:tcBorders>
                  <w:shd w:val="clear" w:color="auto" w:fill="FFFFFF"/>
                  <w:vAlign w:val="center"/>
                </w:tcPr>
                <w:p>
                  <w:pPr>
                    <w:pStyle w:val="35"/>
                    <w:bidi w:val="0"/>
                    <w:jc w:val="center"/>
                  </w:pPr>
                </w:p>
              </w:tc>
              <w:tc>
                <w:tcPr>
                  <w:tcW w:w="448" w:type="pct"/>
                  <w:vMerge w:val="continue"/>
                  <w:tcBorders>
                    <w:left w:val="single" w:color="auto" w:sz="4" w:space="0"/>
                  </w:tcBorders>
                  <w:shd w:val="clear" w:color="auto" w:fill="FFFFFF"/>
                  <w:vAlign w:val="center"/>
                </w:tcPr>
                <w:p>
                  <w:pPr>
                    <w:pStyle w:val="35"/>
                    <w:bidi w:val="0"/>
                    <w:jc w:val="center"/>
                  </w:pPr>
                </w:p>
              </w:tc>
              <w:tc>
                <w:tcPr>
                  <w:tcW w:w="457" w:type="pct"/>
                  <w:vMerge w:val="continue"/>
                  <w:tcBorders>
                    <w:left w:val="single" w:color="auto" w:sz="4" w:space="0"/>
                    <w:right w:val="single" w:color="auto" w:sz="4" w:space="0"/>
                  </w:tcBorders>
                  <w:shd w:val="clear" w:color="auto" w:fill="FFFFFF"/>
                  <w:vAlign w:val="center"/>
                </w:tcPr>
                <w:p>
                  <w:pPr>
                    <w:pStyle w:val="35"/>
                    <w:bidi w:val="0"/>
                    <w:jc w:val="center"/>
                  </w:pPr>
                </w:p>
              </w:tc>
            </w:tr>
            <w:tr>
              <w:tblPrEx>
                <w:tblCellMar>
                  <w:top w:w="0" w:type="dxa"/>
                  <w:left w:w="10" w:type="dxa"/>
                  <w:bottom w:w="0" w:type="dxa"/>
                  <w:right w:w="10" w:type="dxa"/>
                </w:tblCellMar>
              </w:tblPrEx>
              <w:trPr>
                <w:trHeight w:val="850" w:hRule="exact"/>
                <w:jc w:val="center"/>
              </w:trPr>
              <w:tc>
                <w:tcPr>
                  <w:tcW w:w="448" w:type="pct"/>
                  <w:tcBorders>
                    <w:top w:val="single" w:color="auto" w:sz="4" w:space="0"/>
                    <w:left w:val="single" w:color="auto" w:sz="4" w:space="0"/>
                  </w:tcBorders>
                  <w:shd w:val="clear" w:color="auto" w:fill="FFFFFF"/>
                  <w:vAlign w:val="center"/>
                </w:tcPr>
                <w:p>
                  <w:pPr>
                    <w:pStyle w:val="35"/>
                    <w:bidi w:val="0"/>
                    <w:jc w:val="center"/>
                  </w:pPr>
                  <w:r>
                    <w:t>1</w:t>
                  </w:r>
                </w:p>
              </w:tc>
              <w:tc>
                <w:tcPr>
                  <w:tcW w:w="446" w:type="pct"/>
                  <w:tcBorders>
                    <w:top w:val="single" w:color="auto" w:sz="4" w:space="0"/>
                    <w:left w:val="single" w:color="auto" w:sz="4" w:space="0"/>
                  </w:tcBorders>
                  <w:shd w:val="clear" w:color="auto" w:fill="FFFFFF"/>
                  <w:vAlign w:val="center"/>
                </w:tcPr>
                <w:p>
                  <w:pPr>
                    <w:pStyle w:val="35"/>
                    <w:bidi w:val="0"/>
                    <w:jc w:val="center"/>
                  </w:pPr>
                  <w:r>
                    <w:t>生活</w:t>
                  </w:r>
                </w:p>
                <w:p>
                  <w:pPr>
                    <w:pStyle w:val="35"/>
                    <w:bidi w:val="0"/>
                    <w:jc w:val="center"/>
                  </w:pPr>
                  <w:r>
                    <w:t>废水</w:t>
                  </w:r>
                </w:p>
              </w:tc>
              <w:tc>
                <w:tcPr>
                  <w:tcW w:w="448" w:type="pct"/>
                  <w:tcBorders>
                    <w:top w:val="single" w:color="auto" w:sz="4" w:space="0"/>
                    <w:left w:val="single" w:color="auto" w:sz="4" w:space="0"/>
                  </w:tcBorders>
                  <w:shd w:val="clear" w:color="auto" w:fill="FFFFFF"/>
                  <w:vAlign w:val="center"/>
                </w:tcPr>
                <w:p>
                  <w:pPr>
                    <w:pStyle w:val="35"/>
                    <w:bidi w:val="0"/>
                    <w:jc w:val="center"/>
                  </w:pPr>
                  <w:r>
                    <w:rPr>
                      <w:rFonts w:hint="eastAsia"/>
                      <w:lang w:val="en-US" w:eastAsia="zh-CN"/>
                    </w:rPr>
                    <w:t>COD、</w:t>
                  </w:r>
                  <w:r>
                    <w:t>氨氮</w:t>
                  </w:r>
                </w:p>
              </w:tc>
              <w:tc>
                <w:tcPr>
                  <w:tcW w:w="446" w:type="pct"/>
                  <w:vMerge w:val="restart"/>
                  <w:tcBorders>
                    <w:top w:val="single" w:color="auto" w:sz="4" w:space="0"/>
                    <w:left w:val="single" w:color="auto" w:sz="4" w:space="0"/>
                  </w:tcBorders>
                  <w:shd w:val="clear" w:color="auto" w:fill="FFFFFF"/>
                  <w:vAlign w:val="center"/>
                </w:tcPr>
                <w:p>
                  <w:pPr>
                    <w:pStyle w:val="35"/>
                    <w:bidi w:val="0"/>
                    <w:jc w:val="center"/>
                    <w:rPr>
                      <w:rFonts w:hint="eastAsia"/>
                      <w:lang w:eastAsia="zh-CN"/>
                    </w:rPr>
                  </w:pPr>
                  <w:r>
                    <w:rPr>
                      <w:rFonts w:hint="eastAsia"/>
                      <w:lang w:eastAsia="zh-CN"/>
                    </w:rPr>
                    <w:t>市政污水管网</w:t>
                  </w:r>
                </w:p>
              </w:tc>
              <w:tc>
                <w:tcPr>
                  <w:tcW w:w="448" w:type="pct"/>
                  <w:vMerge w:val="restart"/>
                  <w:tcBorders>
                    <w:top w:val="single" w:color="auto" w:sz="4" w:space="0"/>
                    <w:left w:val="single" w:color="auto" w:sz="4" w:space="0"/>
                  </w:tcBorders>
                  <w:shd w:val="clear" w:color="auto" w:fill="FFFFFF"/>
                  <w:vAlign w:val="center"/>
                </w:tcPr>
                <w:p>
                  <w:pPr>
                    <w:pStyle w:val="35"/>
                    <w:bidi w:val="0"/>
                    <w:jc w:val="center"/>
                  </w:pPr>
                  <w:r>
                    <w:t>间断</w:t>
                  </w:r>
                </w:p>
                <w:p>
                  <w:pPr>
                    <w:pStyle w:val="35"/>
                    <w:bidi w:val="0"/>
                    <w:jc w:val="center"/>
                  </w:pPr>
                  <w:r>
                    <w:t>排放</w:t>
                  </w:r>
                </w:p>
              </w:tc>
              <w:tc>
                <w:tcPr>
                  <w:tcW w:w="448" w:type="pct"/>
                  <w:tcBorders>
                    <w:top w:val="single" w:color="auto" w:sz="4" w:space="0"/>
                    <w:left w:val="single" w:color="auto" w:sz="4" w:space="0"/>
                  </w:tcBorders>
                  <w:shd w:val="clear" w:color="auto" w:fill="FFFFFF"/>
                  <w:vAlign w:val="center"/>
                </w:tcPr>
                <w:p>
                  <w:pPr>
                    <w:pStyle w:val="35"/>
                    <w:bidi w:val="0"/>
                    <w:jc w:val="center"/>
                  </w:pPr>
                  <w:r>
                    <w:t>01</w:t>
                  </w:r>
                </w:p>
              </w:tc>
              <w:tc>
                <w:tcPr>
                  <w:tcW w:w="441" w:type="pct"/>
                  <w:tcBorders>
                    <w:top w:val="single" w:color="auto" w:sz="4" w:space="0"/>
                    <w:left w:val="single" w:color="auto" w:sz="4" w:space="0"/>
                  </w:tcBorders>
                  <w:shd w:val="clear" w:color="auto" w:fill="FFFFFF"/>
                  <w:vAlign w:val="center"/>
                </w:tcPr>
                <w:p>
                  <w:pPr>
                    <w:pStyle w:val="35"/>
                    <w:bidi w:val="0"/>
                    <w:jc w:val="center"/>
                  </w:pPr>
                  <w:r>
                    <w:t>化粪</w:t>
                  </w:r>
                </w:p>
                <w:p>
                  <w:pPr>
                    <w:pStyle w:val="35"/>
                    <w:bidi w:val="0"/>
                    <w:jc w:val="center"/>
                  </w:pPr>
                  <w:r>
                    <w:t>池</w:t>
                  </w:r>
                </w:p>
              </w:tc>
              <w:tc>
                <w:tcPr>
                  <w:tcW w:w="465" w:type="pct"/>
                  <w:tcBorders>
                    <w:top w:val="single" w:color="auto" w:sz="4" w:space="0"/>
                    <w:left w:val="single" w:color="auto" w:sz="4" w:space="0"/>
                  </w:tcBorders>
                  <w:shd w:val="clear" w:color="auto" w:fill="FFFFFF"/>
                  <w:vAlign w:val="center"/>
                </w:tcPr>
                <w:p>
                  <w:pPr>
                    <w:pStyle w:val="35"/>
                    <w:bidi w:val="0"/>
                    <w:jc w:val="center"/>
                  </w:pPr>
                  <w:r>
                    <w:t>化粪</w:t>
                  </w:r>
                </w:p>
                <w:p>
                  <w:pPr>
                    <w:pStyle w:val="35"/>
                    <w:bidi w:val="0"/>
                    <w:jc w:val="center"/>
                  </w:pPr>
                  <w:r>
                    <w:t>池</w:t>
                  </w:r>
                </w:p>
              </w:tc>
              <w:tc>
                <w:tcPr>
                  <w:tcW w:w="502" w:type="pct"/>
                  <w:vMerge w:val="restart"/>
                  <w:tcBorders>
                    <w:top w:val="single" w:color="auto" w:sz="4" w:space="0"/>
                    <w:left w:val="single" w:color="auto" w:sz="4" w:space="0"/>
                  </w:tcBorders>
                  <w:shd w:val="clear" w:color="auto" w:fill="FFFFFF"/>
                  <w:vAlign w:val="center"/>
                </w:tcPr>
                <w:p>
                  <w:pPr>
                    <w:pStyle w:val="35"/>
                    <w:bidi w:val="0"/>
                    <w:jc w:val="center"/>
                    <w:rPr>
                      <w:lang w:val="en-US" w:eastAsia="en-US"/>
                    </w:rPr>
                  </w:pPr>
                  <w:r>
                    <w:rPr>
                      <w:lang w:val="en-US" w:eastAsia="en-US"/>
                    </w:rPr>
                    <w:t>DW001</w:t>
                  </w:r>
                </w:p>
                <w:p>
                  <w:pPr>
                    <w:pStyle w:val="35"/>
                    <w:bidi w:val="0"/>
                    <w:jc w:val="center"/>
                    <w:rPr>
                      <w:rFonts w:hint="eastAsia"/>
                      <w:lang w:val="en-US" w:eastAsia="zh-CN"/>
                    </w:rPr>
                  </w:pPr>
                </w:p>
              </w:tc>
              <w:tc>
                <w:tcPr>
                  <w:tcW w:w="448" w:type="pct"/>
                  <w:vMerge w:val="restart"/>
                  <w:tcBorders>
                    <w:top w:val="single" w:color="auto" w:sz="4" w:space="0"/>
                    <w:left w:val="single" w:color="auto" w:sz="4" w:space="0"/>
                  </w:tcBorders>
                  <w:shd w:val="clear" w:color="auto" w:fill="FFFFFF"/>
                  <w:vAlign w:val="center"/>
                </w:tcPr>
                <w:p>
                  <w:pPr>
                    <w:pStyle w:val="35"/>
                    <w:bidi w:val="0"/>
                    <w:jc w:val="center"/>
                  </w:pPr>
                  <w:r>
                    <w:t>符合</w:t>
                  </w:r>
                </w:p>
                <w:p>
                  <w:pPr>
                    <w:pStyle w:val="35"/>
                    <w:bidi w:val="0"/>
                    <w:jc w:val="center"/>
                    <w:rPr>
                      <w:rFonts w:hint="eastAsia"/>
                      <w:lang w:val="en-US" w:eastAsia="zh-CN"/>
                    </w:rPr>
                  </w:pPr>
                </w:p>
              </w:tc>
              <w:tc>
                <w:tcPr>
                  <w:tcW w:w="457" w:type="pct"/>
                  <w:vMerge w:val="restart"/>
                  <w:tcBorders>
                    <w:top w:val="single" w:color="auto" w:sz="4" w:space="0"/>
                    <w:left w:val="single" w:color="auto" w:sz="4" w:space="0"/>
                    <w:right w:val="single" w:color="auto" w:sz="4" w:space="0"/>
                  </w:tcBorders>
                  <w:shd w:val="clear" w:color="auto" w:fill="FFFFFF"/>
                  <w:vAlign w:val="center"/>
                </w:tcPr>
                <w:p>
                  <w:pPr>
                    <w:pStyle w:val="35"/>
                    <w:bidi w:val="0"/>
                    <w:jc w:val="center"/>
                  </w:pPr>
                  <w:r>
                    <w:t>企业</w:t>
                  </w:r>
                </w:p>
                <w:p>
                  <w:pPr>
                    <w:pStyle w:val="35"/>
                    <w:bidi w:val="0"/>
                    <w:jc w:val="center"/>
                    <w:rPr>
                      <w:rFonts w:hint="default"/>
                      <w:lang w:val="en-US" w:eastAsia="zh-CN"/>
                    </w:rPr>
                  </w:pPr>
                  <w:r>
                    <w:rPr>
                      <w:rFonts w:hint="eastAsia"/>
                      <w:lang w:val="en-US" w:eastAsia="zh-CN"/>
                    </w:rPr>
                    <w:t>污水总排口</w:t>
                  </w:r>
                </w:p>
              </w:tc>
            </w:tr>
            <w:tr>
              <w:tblPrEx>
                <w:tblCellMar>
                  <w:top w:w="0" w:type="dxa"/>
                  <w:left w:w="10" w:type="dxa"/>
                  <w:bottom w:w="0" w:type="dxa"/>
                  <w:right w:w="10" w:type="dxa"/>
                </w:tblCellMar>
              </w:tblPrEx>
              <w:trPr>
                <w:trHeight w:val="1587" w:hRule="exact"/>
                <w:jc w:val="center"/>
              </w:trPr>
              <w:tc>
                <w:tcPr>
                  <w:tcW w:w="448" w:type="pct"/>
                  <w:tcBorders>
                    <w:top w:val="single" w:color="auto" w:sz="4" w:space="0"/>
                    <w:left w:val="single" w:color="auto" w:sz="4" w:space="0"/>
                    <w:bottom w:val="single" w:color="auto" w:sz="4" w:space="0"/>
                  </w:tcBorders>
                  <w:shd w:val="clear" w:color="auto" w:fill="FFFFFF"/>
                  <w:vAlign w:val="center"/>
                </w:tcPr>
                <w:p>
                  <w:pPr>
                    <w:pStyle w:val="35"/>
                    <w:bidi w:val="0"/>
                    <w:jc w:val="center"/>
                  </w:pPr>
                  <w:r>
                    <w:t>2</w:t>
                  </w:r>
                </w:p>
              </w:tc>
              <w:tc>
                <w:tcPr>
                  <w:tcW w:w="446" w:type="pct"/>
                  <w:tcBorders>
                    <w:top w:val="single" w:color="auto" w:sz="4" w:space="0"/>
                    <w:left w:val="single" w:color="auto" w:sz="4" w:space="0"/>
                    <w:bottom w:val="single" w:color="auto" w:sz="4" w:space="0"/>
                  </w:tcBorders>
                  <w:shd w:val="clear" w:color="auto" w:fill="FFFFFF"/>
                  <w:vAlign w:val="center"/>
                </w:tcPr>
                <w:p>
                  <w:pPr>
                    <w:pStyle w:val="35"/>
                    <w:bidi w:val="0"/>
                    <w:jc w:val="center"/>
                  </w:pPr>
                  <w:r>
                    <w:rPr>
                      <w:rFonts w:hint="eastAsia"/>
                      <w:lang w:eastAsia="zh-CN"/>
                    </w:rPr>
                    <w:t>初期雨水、地面清洁永、洗车废水</w:t>
                  </w:r>
                </w:p>
              </w:tc>
              <w:tc>
                <w:tcPr>
                  <w:tcW w:w="448" w:type="pct"/>
                  <w:tcBorders>
                    <w:top w:val="single" w:color="auto" w:sz="4" w:space="0"/>
                    <w:left w:val="single" w:color="auto" w:sz="4" w:space="0"/>
                    <w:bottom w:val="single" w:color="auto" w:sz="4" w:space="0"/>
                  </w:tcBorders>
                  <w:shd w:val="clear" w:color="auto" w:fill="FFFFFF"/>
                  <w:vAlign w:val="center"/>
                </w:tcPr>
                <w:p>
                  <w:pPr>
                    <w:pStyle w:val="35"/>
                    <w:bidi w:val="0"/>
                    <w:jc w:val="center"/>
                    <w:rPr>
                      <w:rFonts w:hint="eastAsia" w:eastAsia="宋体"/>
                      <w:lang w:eastAsia="zh-CN"/>
                    </w:rPr>
                  </w:pPr>
                  <w:r>
                    <w:rPr>
                      <w:lang w:val="en-US" w:eastAsia="en-US"/>
                    </w:rPr>
                    <w:t>SS</w:t>
                  </w:r>
                  <w:r>
                    <w:rPr>
                      <w:rFonts w:hint="eastAsia"/>
                      <w:lang w:val="en-US" w:eastAsia="zh-CN"/>
                    </w:rPr>
                    <w:t>、石油类</w:t>
                  </w:r>
                </w:p>
              </w:tc>
              <w:tc>
                <w:tcPr>
                  <w:tcW w:w="446" w:type="pct"/>
                  <w:vMerge w:val="continue"/>
                  <w:tcBorders>
                    <w:left w:val="single" w:color="auto" w:sz="4" w:space="0"/>
                    <w:bottom w:val="single" w:color="auto" w:sz="4" w:space="0"/>
                  </w:tcBorders>
                  <w:shd w:val="clear" w:color="auto" w:fill="FFFFFF"/>
                  <w:vAlign w:val="center"/>
                </w:tcPr>
                <w:p>
                  <w:pPr>
                    <w:pStyle w:val="35"/>
                    <w:bidi w:val="0"/>
                    <w:jc w:val="center"/>
                    <w:rPr>
                      <w:rFonts w:hint="default"/>
                      <w:lang w:val="en-US" w:eastAsia="zh-CN"/>
                    </w:rPr>
                  </w:pPr>
                </w:p>
              </w:tc>
              <w:tc>
                <w:tcPr>
                  <w:tcW w:w="448" w:type="pct"/>
                  <w:vMerge w:val="continue"/>
                  <w:tcBorders>
                    <w:left w:val="single" w:color="auto" w:sz="4" w:space="0"/>
                    <w:bottom w:val="single" w:color="auto" w:sz="4" w:space="0"/>
                  </w:tcBorders>
                  <w:shd w:val="clear" w:color="auto" w:fill="FFFFFF"/>
                  <w:vAlign w:val="center"/>
                </w:tcPr>
                <w:p>
                  <w:pPr>
                    <w:pStyle w:val="35"/>
                    <w:bidi w:val="0"/>
                    <w:jc w:val="center"/>
                    <w:rPr>
                      <w:rFonts w:hint="eastAsia" w:eastAsia="宋体"/>
                      <w:lang w:eastAsia="zh-CN"/>
                    </w:rPr>
                  </w:pPr>
                </w:p>
              </w:tc>
              <w:tc>
                <w:tcPr>
                  <w:tcW w:w="448" w:type="pct"/>
                  <w:tcBorders>
                    <w:top w:val="single" w:color="auto" w:sz="4" w:space="0"/>
                    <w:left w:val="single" w:color="auto" w:sz="4" w:space="0"/>
                    <w:bottom w:val="single" w:color="auto" w:sz="4" w:space="0"/>
                  </w:tcBorders>
                  <w:shd w:val="clear" w:color="auto" w:fill="FFFFFF"/>
                  <w:vAlign w:val="center"/>
                </w:tcPr>
                <w:p>
                  <w:pPr>
                    <w:pStyle w:val="35"/>
                    <w:bidi w:val="0"/>
                    <w:jc w:val="center"/>
                  </w:pPr>
                  <w:r>
                    <w:t>02</w:t>
                  </w:r>
                </w:p>
              </w:tc>
              <w:tc>
                <w:tcPr>
                  <w:tcW w:w="441" w:type="pct"/>
                  <w:tcBorders>
                    <w:top w:val="single" w:color="auto" w:sz="4" w:space="0"/>
                    <w:left w:val="single" w:color="auto" w:sz="4" w:space="0"/>
                    <w:bottom w:val="single" w:color="auto" w:sz="4" w:space="0"/>
                  </w:tcBorders>
                  <w:shd w:val="clear" w:color="auto" w:fill="FFFFFF"/>
                  <w:vAlign w:val="center"/>
                </w:tcPr>
                <w:p>
                  <w:pPr>
                    <w:pStyle w:val="35"/>
                    <w:bidi w:val="0"/>
                    <w:jc w:val="center"/>
                  </w:pPr>
                  <w:r>
                    <w:rPr>
                      <w:rFonts w:hint="eastAsia"/>
                      <w:lang w:eastAsia="zh-CN"/>
                    </w:rPr>
                    <w:t>隔油沉淀</w:t>
                  </w:r>
                  <w:r>
                    <w:t>池</w:t>
                  </w:r>
                </w:p>
              </w:tc>
              <w:tc>
                <w:tcPr>
                  <w:tcW w:w="465" w:type="pct"/>
                  <w:tcBorders>
                    <w:top w:val="single" w:color="auto" w:sz="4" w:space="0"/>
                    <w:left w:val="single" w:color="auto" w:sz="4" w:space="0"/>
                    <w:bottom w:val="single" w:color="auto" w:sz="4" w:space="0"/>
                  </w:tcBorders>
                  <w:shd w:val="clear" w:color="auto" w:fill="FFFFFF"/>
                  <w:vAlign w:val="center"/>
                </w:tcPr>
                <w:p>
                  <w:pPr>
                    <w:pStyle w:val="35"/>
                    <w:bidi w:val="0"/>
                    <w:jc w:val="center"/>
                  </w:pPr>
                  <w:r>
                    <w:t>沉淀</w:t>
                  </w:r>
                </w:p>
              </w:tc>
              <w:tc>
                <w:tcPr>
                  <w:tcW w:w="502" w:type="pct"/>
                  <w:vMerge w:val="continue"/>
                  <w:tcBorders>
                    <w:left w:val="single" w:color="auto" w:sz="4" w:space="0"/>
                    <w:bottom w:val="single" w:color="auto" w:sz="4" w:space="0"/>
                  </w:tcBorders>
                  <w:shd w:val="clear" w:color="auto" w:fill="FFFFFF"/>
                  <w:vAlign w:val="center"/>
                </w:tcPr>
                <w:p>
                  <w:pPr>
                    <w:pStyle w:val="35"/>
                    <w:bidi w:val="0"/>
                    <w:jc w:val="center"/>
                    <w:rPr>
                      <w:rFonts w:hint="eastAsia" w:eastAsia="宋体"/>
                      <w:lang w:val="en-US" w:eastAsia="zh-CN"/>
                    </w:rPr>
                  </w:pPr>
                </w:p>
              </w:tc>
              <w:tc>
                <w:tcPr>
                  <w:tcW w:w="448" w:type="pct"/>
                  <w:vMerge w:val="continue"/>
                  <w:tcBorders>
                    <w:left w:val="single" w:color="auto" w:sz="4" w:space="0"/>
                    <w:bottom w:val="single" w:color="auto" w:sz="4" w:space="0"/>
                  </w:tcBorders>
                  <w:shd w:val="clear" w:color="auto" w:fill="FFFFFF"/>
                  <w:vAlign w:val="center"/>
                </w:tcPr>
                <w:p>
                  <w:pPr>
                    <w:pStyle w:val="35"/>
                    <w:bidi w:val="0"/>
                    <w:jc w:val="center"/>
                    <w:rPr>
                      <w:rFonts w:hint="eastAsia"/>
                      <w:lang w:val="en-US" w:eastAsia="zh-CN"/>
                    </w:rPr>
                  </w:pPr>
                </w:p>
              </w:tc>
              <w:tc>
                <w:tcPr>
                  <w:tcW w:w="457" w:type="pct"/>
                  <w:vMerge w:val="continue"/>
                  <w:tcBorders>
                    <w:left w:val="single" w:color="auto" w:sz="4" w:space="0"/>
                    <w:bottom w:val="single" w:color="auto" w:sz="4" w:space="0"/>
                    <w:right w:val="single" w:color="auto" w:sz="4" w:space="0"/>
                  </w:tcBorders>
                  <w:shd w:val="clear" w:color="auto" w:fill="FFFFFF"/>
                  <w:vAlign w:val="center"/>
                </w:tcPr>
                <w:p>
                  <w:pPr>
                    <w:pStyle w:val="35"/>
                    <w:bidi w:val="0"/>
                    <w:jc w:val="center"/>
                    <w:rPr>
                      <w:rFonts w:hint="eastAsia"/>
                      <w:lang w:val="en-US" w:eastAsia="zh-CN"/>
                    </w:rPr>
                  </w:pPr>
                </w:p>
              </w:tc>
            </w:tr>
          </w:tbl>
          <w:p>
            <w:pPr>
              <w:pStyle w:val="36"/>
              <w:bidi w:val="0"/>
            </w:pPr>
            <w:r>
              <w:t>表</w:t>
            </w:r>
            <w:r>
              <w:rPr>
                <w:lang w:val="en-US" w:eastAsia="en-US"/>
              </w:rPr>
              <w:t>4</w:t>
            </w:r>
            <w:r>
              <w:rPr>
                <w:rFonts w:hint="eastAsia"/>
                <w:lang w:val="en-US" w:eastAsia="zh-CN"/>
              </w:rPr>
              <w:t>.2</w:t>
            </w:r>
            <w:r>
              <w:rPr>
                <w:lang w:val="en-US" w:eastAsia="en-US"/>
              </w:rPr>
              <w:t>-</w:t>
            </w:r>
            <w:r>
              <w:rPr>
                <w:rFonts w:hint="eastAsia"/>
                <w:lang w:val="en-US" w:eastAsia="zh-CN"/>
              </w:rPr>
              <w:t>12</w:t>
            </w:r>
            <w:r>
              <w:t>废水间接排放口基本情况表</w:t>
            </w:r>
          </w:p>
          <w:tbl>
            <w:tblPr>
              <w:tblStyle w:val="3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 w:type="dxa"/>
                <w:bottom w:w="0" w:type="dxa"/>
                <w:right w:w="10" w:type="dxa"/>
              </w:tblCellMar>
            </w:tblPr>
            <w:tblGrid>
              <w:gridCol w:w="307"/>
              <w:gridCol w:w="685"/>
              <w:gridCol w:w="1130"/>
              <w:gridCol w:w="1025"/>
              <w:gridCol w:w="676"/>
              <w:gridCol w:w="448"/>
              <w:gridCol w:w="429"/>
              <w:gridCol w:w="292"/>
              <w:gridCol w:w="502"/>
              <w:gridCol w:w="648"/>
              <w:gridCol w:w="17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40" w:hRule="exact"/>
                <w:jc w:val="center"/>
              </w:trPr>
              <w:tc>
                <w:tcPr>
                  <w:tcW w:w="256" w:type="pct"/>
                  <w:vMerge w:val="restart"/>
                  <w:shd w:val="clear" w:color="auto" w:fill="FFFFFF"/>
                  <w:vAlign w:val="center"/>
                </w:tcPr>
                <w:p>
                  <w:pPr>
                    <w:pStyle w:val="35"/>
                    <w:bidi w:val="0"/>
                    <w:rPr>
                      <w:rFonts w:hint="default"/>
                    </w:rPr>
                  </w:pPr>
                  <w:r>
                    <w:rPr>
                      <w:rFonts w:hint="default"/>
                    </w:rPr>
                    <w:t>序</w:t>
                  </w:r>
                </w:p>
                <w:p>
                  <w:pPr>
                    <w:pStyle w:val="35"/>
                    <w:bidi w:val="0"/>
                    <w:rPr>
                      <w:rFonts w:hint="default"/>
                    </w:rPr>
                  </w:pPr>
                  <w:r>
                    <w:rPr>
                      <w:rFonts w:hint="default"/>
                    </w:rPr>
                    <w:t>号</w:t>
                  </w:r>
                </w:p>
              </w:tc>
              <w:tc>
                <w:tcPr>
                  <w:tcW w:w="459" w:type="pct"/>
                  <w:vMerge w:val="restart"/>
                  <w:shd w:val="clear" w:color="auto" w:fill="FFFFFF"/>
                  <w:vAlign w:val="center"/>
                </w:tcPr>
                <w:p>
                  <w:pPr>
                    <w:pStyle w:val="35"/>
                    <w:bidi w:val="0"/>
                    <w:rPr>
                      <w:rFonts w:hint="default"/>
                    </w:rPr>
                  </w:pPr>
                  <w:r>
                    <w:rPr>
                      <w:rFonts w:hint="default"/>
                    </w:rPr>
                    <w:t>排放</w:t>
                  </w:r>
                </w:p>
                <w:p>
                  <w:pPr>
                    <w:pStyle w:val="35"/>
                    <w:bidi w:val="0"/>
                    <w:rPr>
                      <w:rFonts w:hint="default"/>
                    </w:rPr>
                  </w:pPr>
                  <w:r>
                    <w:rPr>
                      <w:rFonts w:hint="default"/>
                    </w:rPr>
                    <w:t>口编</w:t>
                  </w:r>
                </w:p>
                <w:p>
                  <w:pPr>
                    <w:pStyle w:val="35"/>
                    <w:bidi w:val="0"/>
                    <w:rPr>
                      <w:rFonts w:hint="default"/>
                    </w:rPr>
                  </w:pPr>
                  <w:r>
                    <w:rPr>
                      <w:rFonts w:hint="default"/>
                    </w:rPr>
                    <w:t>号</w:t>
                  </w:r>
                </w:p>
              </w:tc>
              <w:tc>
                <w:tcPr>
                  <w:tcW w:w="1322" w:type="pct"/>
                  <w:gridSpan w:val="2"/>
                  <w:shd w:val="clear" w:color="auto" w:fill="FFFFFF"/>
                  <w:vAlign w:val="center"/>
                </w:tcPr>
                <w:p>
                  <w:pPr>
                    <w:pStyle w:val="35"/>
                    <w:bidi w:val="0"/>
                    <w:rPr>
                      <w:rFonts w:hint="default"/>
                    </w:rPr>
                  </w:pPr>
                  <w:r>
                    <w:rPr>
                      <w:rFonts w:hint="default"/>
                    </w:rPr>
                    <w:t>排放口地理坐标</w:t>
                  </w:r>
                </w:p>
              </w:tc>
              <w:tc>
                <w:tcPr>
                  <w:tcW w:w="526" w:type="pct"/>
                  <w:vMerge w:val="restart"/>
                  <w:shd w:val="clear" w:color="auto" w:fill="FFFFFF"/>
                  <w:vAlign w:val="center"/>
                </w:tcPr>
                <w:p>
                  <w:pPr>
                    <w:pStyle w:val="35"/>
                    <w:bidi w:val="0"/>
                    <w:rPr>
                      <w:rFonts w:hint="default"/>
                    </w:rPr>
                  </w:pPr>
                  <w:r>
                    <w:rPr>
                      <w:rFonts w:hint="default"/>
                    </w:rPr>
                    <w:t>废水排</w:t>
                  </w:r>
                </w:p>
                <w:p>
                  <w:pPr>
                    <w:pStyle w:val="35"/>
                    <w:bidi w:val="0"/>
                    <w:rPr>
                      <w:rFonts w:hint="default"/>
                    </w:rPr>
                  </w:pPr>
                  <w:r>
                    <w:rPr>
                      <w:rFonts w:hint="default"/>
                    </w:rPr>
                    <w:t>放量/</w:t>
                  </w:r>
                </w:p>
                <w:p>
                  <w:pPr>
                    <w:pStyle w:val="35"/>
                    <w:bidi w:val="0"/>
                    <w:rPr>
                      <w:rFonts w:hint="default"/>
                    </w:rPr>
                  </w:pPr>
                  <w:r>
                    <w:rPr>
                      <w:rFonts w:hint="default"/>
                    </w:rPr>
                    <w:t>(万</w:t>
                  </w:r>
                </w:p>
                <w:p>
                  <w:pPr>
                    <w:pStyle w:val="35"/>
                    <w:bidi w:val="0"/>
                    <w:rPr>
                      <w:rFonts w:hint="default"/>
                    </w:rPr>
                  </w:pPr>
                  <w:r>
                    <w:rPr>
                      <w:rFonts w:hint="default"/>
                      <w:lang w:val="en-US" w:eastAsia="en-US"/>
                    </w:rPr>
                    <w:t>t/a)</w:t>
                  </w:r>
                </w:p>
              </w:tc>
              <w:tc>
                <w:tcPr>
                  <w:tcW w:w="345" w:type="pct"/>
                  <w:vMerge w:val="restart"/>
                  <w:shd w:val="clear" w:color="auto" w:fill="FFFFFF"/>
                  <w:vAlign w:val="center"/>
                </w:tcPr>
                <w:p>
                  <w:pPr>
                    <w:pStyle w:val="35"/>
                    <w:bidi w:val="0"/>
                    <w:rPr>
                      <w:rFonts w:hint="default"/>
                    </w:rPr>
                  </w:pPr>
                  <w:r>
                    <w:rPr>
                      <w:rFonts w:hint="default"/>
                    </w:rPr>
                    <w:t>排放</w:t>
                  </w:r>
                </w:p>
                <w:p>
                  <w:pPr>
                    <w:pStyle w:val="35"/>
                    <w:bidi w:val="0"/>
                    <w:rPr>
                      <w:rFonts w:hint="default"/>
                    </w:rPr>
                  </w:pPr>
                  <w:r>
                    <w:rPr>
                      <w:rFonts w:hint="default"/>
                    </w:rPr>
                    <w:t>去向</w:t>
                  </w:r>
                </w:p>
              </w:tc>
              <w:tc>
                <w:tcPr>
                  <w:tcW w:w="333" w:type="pct"/>
                  <w:vMerge w:val="restart"/>
                  <w:shd w:val="clear" w:color="auto" w:fill="FFFFFF"/>
                  <w:vAlign w:val="center"/>
                </w:tcPr>
                <w:p>
                  <w:pPr>
                    <w:pStyle w:val="35"/>
                    <w:bidi w:val="0"/>
                    <w:rPr>
                      <w:rFonts w:hint="default"/>
                    </w:rPr>
                  </w:pPr>
                  <w:r>
                    <w:rPr>
                      <w:rFonts w:hint="default"/>
                    </w:rPr>
                    <w:t>排</w:t>
                  </w:r>
                </w:p>
                <w:p>
                  <w:pPr>
                    <w:pStyle w:val="35"/>
                    <w:bidi w:val="0"/>
                    <w:rPr>
                      <w:rFonts w:hint="default"/>
                    </w:rPr>
                  </w:pPr>
                  <w:r>
                    <w:rPr>
                      <w:rFonts w:hint="default"/>
                    </w:rPr>
                    <w:t>放</w:t>
                  </w:r>
                </w:p>
                <w:p>
                  <w:pPr>
                    <w:pStyle w:val="35"/>
                    <w:bidi w:val="0"/>
                    <w:rPr>
                      <w:rFonts w:hint="default"/>
                    </w:rPr>
                  </w:pPr>
                  <w:r>
                    <w:rPr>
                      <w:rFonts w:hint="default"/>
                    </w:rPr>
                    <w:t>规</w:t>
                  </w:r>
                </w:p>
                <w:p>
                  <w:pPr>
                    <w:pStyle w:val="35"/>
                    <w:bidi w:val="0"/>
                    <w:rPr>
                      <w:rFonts w:hint="default"/>
                    </w:rPr>
                  </w:pPr>
                  <w:r>
                    <w:rPr>
                      <w:rFonts w:hint="default"/>
                    </w:rPr>
                    <w:t>律</w:t>
                  </w:r>
                </w:p>
              </w:tc>
              <w:tc>
                <w:tcPr>
                  <w:tcW w:w="246" w:type="pct"/>
                  <w:vMerge w:val="restart"/>
                  <w:shd w:val="clear" w:color="auto" w:fill="FFFFFF"/>
                  <w:vAlign w:val="center"/>
                </w:tcPr>
                <w:p>
                  <w:pPr>
                    <w:pStyle w:val="35"/>
                    <w:bidi w:val="0"/>
                    <w:rPr>
                      <w:rFonts w:hint="default"/>
                    </w:rPr>
                  </w:pPr>
                  <w:r>
                    <w:rPr>
                      <w:rFonts w:hint="default"/>
                    </w:rPr>
                    <w:t>间</w:t>
                  </w:r>
                </w:p>
                <w:p>
                  <w:pPr>
                    <w:pStyle w:val="35"/>
                    <w:bidi w:val="0"/>
                    <w:rPr>
                      <w:rFonts w:hint="default"/>
                    </w:rPr>
                  </w:pPr>
                  <w:r>
                    <w:rPr>
                      <w:rFonts w:hint="default"/>
                    </w:rPr>
                    <w:t>歇</w:t>
                  </w:r>
                </w:p>
                <w:p>
                  <w:pPr>
                    <w:pStyle w:val="35"/>
                    <w:bidi w:val="0"/>
                    <w:rPr>
                      <w:rFonts w:hint="default"/>
                    </w:rPr>
                  </w:pPr>
                  <w:r>
                    <w:rPr>
                      <w:rFonts w:hint="default"/>
                    </w:rPr>
                    <w:t>排 放 时 段</w:t>
                  </w:r>
                </w:p>
              </w:tc>
              <w:tc>
                <w:tcPr>
                  <w:tcW w:w="1511" w:type="pct"/>
                  <w:gridSpan w:val="3"/>
                  <w:shd w:val="clear" w:color="auto" w:fill="FFFFFF"/>
                  <w:vAlign w:val="center"/>
                </w:tcPr>
                <w:p>
                  <w:pPr>
                    <w:pStyle w:val="35"/>
                    <w:bidi w:val="0"/>
                    <w:rPr>
                      <w:rFonts w:hint="default"/>
                    </w:rPr>
                  </w:pPr>
                  <w:r>
                    <w:rPr>
                      <w:rFonts w:hint="default"/>
                    </w:rPr>
                    <w:t>污水处理厂基本信息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1361" w:hRule="exact"/>
                <w:jc w:val="center"/>
              </w:trPr>
              <w:tc>
                <w:tcPr>
                  <w:tcW w:w="256" w:type="pct"/>
                  <w:vMerge w:val="continue"/>
                  <w:shd w:val="clear" w:color="auto" w:fill="FFFFFF"/>
                  <w:vAlign w:val="center"/>
                </w:tcPr>
                <w:p>
                  <w:pPr>
                    <w:pStyle w:val="35"/>
                    <w:bidi w:val="0"/>
                    <w:rPr>
                      <w:rFonts w:hint="default"/>
                    </w:rPr>
                  </w:pPr>
                </w:p>
              </w:tc>
              <w:tc>
                <w:tcPr>
                  <w:tcW w:w="459" w:type="pct"/>
                  <w:vMerge w:val="continue"/>
                  <w:shd w:val="clear" w:color="auto" w:fill="FFFFFF"/>
                  <w:vAlign w:val="center"/>
                </w:tcPr>
                <w:p>
                  <w:pPr>
                    <w:pStyle w:val="35"/>
                    <w:bidi w:val="0"/>
                    <w:rPr>
                      <w:rFonts w:hint="default"/>
                    </w:rPr>
                  </w:pPr>
                </w:p>
              </w:tc>
              <w:tc>
                <w:tcPr>
                  <w:tcW w:w="677" w:type="pct"/>
                  <w:shd w:val="clear" w:color="auto" w:fill="FFFFFF"/>
                  <w:vAlign w:val="center"/>
                </w:tcPr>
                <w:p>
                  <w:pPr>
                    <w:pStyle w:val="35"/>
                    <w:bidi w:val="0"/>
                    <w:rPr>
                      <w:rFonts w:hint="default"/>
                    </w:rPr>
                  </w:pPr>
                  <w:r>
                    <w:rPr>
                      <w:rFonts w:hint="default"/>
                    </w:rPr>
                    <w:t>经度</w:t>
                  </w:r>
                </w:p>
              </w:tc>
              <w:tc>
                <w:tcPr>
                  <w:tcW w:w="644" w:type="pct"/>
                  <w:shd w:val="clear" w:color="auto" w:fill="FFFFFF"/>
                  <w:vAlign w:val="center"/>
                </w:tcPr>
                <w:p>
                  <w:pPr>
                    <w:pStyle w:val="35"/>
                    <w:bidi w:val="0"/>
                    <w:rPr>
                      <w:rFonts w:hint="default"/>
                    </w:rPr>
                  </w:pPr>
                  <w:r>
                    <w:rPr>
                      <w:rFonts w:hint="default"/>
                      <w:lang w:eastAsia="zh-CN"/>
                    </w:rPr>
                    <w:t>纬</w:t>
                  </w:r>
                  <w:r>
                    <w:rPr>
                      <w:rFonts w:hint="default"/>
                    </w:rPr>
                    <w:t>度</w:t>
                  </w:r>
                </w:p>
              </w:tc>
              <w:tc>
                <w:tcPr>
                  <w:tcW w:w="526" w:type="pct"/>
                  <w:vMerge w:val="continue"/>
                  <w:shd w:val="clear" w:color="auto" w:fill="FFFFFF"/>
                  <w:vAlign w:val="center"/>
                </w:tcPr>
                <w:p>
                  <w:pPr>
                    <w:pStyle w:val="35"/>
                    <w:bidi w:val="0"/>
                    <w:rPr>
                      <w:rFonts w:hint="default"/>
                    </w:rPr>
                  </w:pPr>
                </w:p>
              </w:tc>
              <w:tc>
                <w:tcPr>
                  <w:tcW w:w="345" w:type="pct"/>
                  <w:vMerge w:val="continue"/>
                  <w:shd w:val="clear" w:color="auto" w:fill="FFFFFF"/>
                  <w:vAlign w:val="center"/>
                </w:tcPr>
                <w:p>
                  <w:pPr>
                    <w:pStyle w:val="35"/>
                    <w:bidi w:val="0"/>
                    <w:rPr>
                      <w:rFonts w:hint="default"/>
                    </w:rPr>
                  </w:pPr>
                </w:p>
              </w:tc>
              <w:tc>
                <w:tcPr>
                  <w:tcW w:w="333" w:type="pct"/>
                  <w:vMerge w:val="continue"/>
                  <w:shd w:val="clear" w:color="auto" w:fill="FFFFFF"/>
                  <w:vAlign w:val="center"/>
                </w:tcPr>
                <w:p>
                  <w:pPr>
                    <w:pStyle w:val="35"/>
                    <w:bidi w:val="0"/>
                    <w:rPr>
                      <w:rFonts w:hint="default"/>
                    </w:rPr>
                  </w:pPr>
                </w:p>
              </w:tc>
              <w:tc>
                <w:tcPr>
                  <w:tcW w:w="246" w:type="pct"/>
                  <w:vMerge w:val="continue"/>
                  <w:shd w:val="clear" w:color="auto" w:fill="FFFFFF"/>
                  <w:vAlign w:val="center"/>
                </w:tcPr>
                <w:p>
                  <w:pPr>
                    <w:pStyle w:val="35"/>
                    <w:bidi w:val="0"/>
                    <w:rPr>
                      <w:rFonts w:hint="default"/>
                    </w:rPr>
                  </w:pPr>
                </w:p>
              </w:tc>
              <w:tc>
                <w:tcPr>
                  <w:tcW w:w="379" w:type="pct"/>
                  <w:shd w:val="clear" w:color="auto" w:fill="FFFFFF"/>
                  <w:vAlign w:val="center"/>
                </w:tcPr>
                <w:p>
                  <w:pPr>
                    <w:pStyle w:val="35"/>
                    <w:bidi w:val="0"/>
                    <w:rPr>
                      <w:rFonts w:hint="default"/>
                    </w:rPr>
                  </w:pPr>
                  <w:r>
                    <w:rPr>
                      <w:rFonts w:hint="default"/>
                    </w:rPr>
                    <w:t>名称</w:t>
                  </w:r>
                </w:p>
              </w:tc>
              <w:tc>
                <w:tcPr>
                  <w:tcW w:w="471" w:type="pct"/>
                  <w:shd w:val="clear" w:color="auto" w:fill="FFFFFF"/>
                  <w:vAlign w:val="center"/>
                </w:tcPr>
                <w:p>
                  <w:pPr>
                    <w:pStyle w:val="35"/>
                    <w:bidi w:val="0"/>
                    <w:rPr>
                      <w:rFonts w:hint="default"/>
                    </w:rPr>
                  </w:pPr>
                  <w:r>
                    <w:rPr>
                      <w:rFonts w:hint="default"/>
                    </w:rPr>
                    <w:t>污染 物种类</w:t>
                  </w:r>
                </w:p>
              </w:tc>
              <w:tc>
                <w:tcPr>
                  <w:tcW w:w="660" w:type="pct"/>
                  <w:shd w:val="clear" w:color="auto" w:fill="FFFFFF"/>
                  <w:vAlign w:val="center"/>
                </w:tcPr>
                <w:p>
                  <w:pPr>
                    <w:pStyle w:val="35"/>
                    <w:bidi w:val="0"/>
                    <w:rPr>
                      <w:rFonts w:hint="default"/>
                    </w:rPr>
                  </w:pPr>
                  <w:r>
                    <w:rPr>
                      <w:rFonts w:hint="eastAsia"/>
                      <w:lang w:val="en-US" w:eastAsia="zh-CN"/>
                    </w:rPr>
                    <w:t>《城镇污水处理厂污染物排放标准》（GB18918-2002）一级A标准</w:t>
                  </w:r>
                  <w:r>
                    <w:rPr>
                      <w:rFonts w:hint="default"/>
                    </w:rPr>
                    <w:t xml:space="preserve"> /（ </w:t>
                  </w:r>
                  <w:r>
                    <w:rPr>
                      <w:rFonts w:hint="default"/>
                      <w:lang w:val="en-US" w:eastAsia="en-US"/>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1304" w:hRule="exact"/>
                <w:jc w:val="center"/>
              </w:trPr>
              <w:tc>
                <w:tcPr>
                  <w:tcW w:w="256" w:type="pct"/>
                  <w:vMerge w:val="restart"/>
                  <w:shd w:val="clear" w:color="auto" w:fill="FFFFFF"/>
                  <w:vAlign w:val="center"/>
                </w:tcPr>
                <w:p>
                  <w:pPr>
                    <w:pStyle w:val="35"/>
                    <w:bidi w:val="0"/>
                    <w:rPr>
                      <w:rFonts w:hint="default"/>
                    </w:rPr>
                  </w:pPr>
                  <w:r>
                    <w:rPr>
                      <w:rFonts w:hint="default"/>
                    </w:rPr>
                    <w:t>1</w:t>
                  </w:r>
                </w:p>
              </w:tc>
              <w:tc>
                <w:tcPr>
                  <w:tcW w:w="459" w:type="pct"/>
                  <w:vMerge w:val="restart"/>
                  <w:shd w:val="clear" w:color="auto" w:fill="FFFFFF"/>
                  <w:vAlign w:val="center"/>
                </w:tcPr>
                <w:p>
                  <w:pPr>
                    <w:pStyle w:val="35"/>
                    <w:bidi w:val="0"/>
                    <w:rPr>
                      <w:rFonts w:hint="default"/>
                    </w:rPr>
                  </w:pPr>
                  <w:r>
                    <w:rPr>
                      <w:lang w:val="en-US" w:eastAsia="en-US"/>
                    </w:rPr>
                    <w:t>DW001</w:t>
                  </w:r>
                </w:p>
              </w:tc>
              <w:tc>
                <w:tcPr>
                  <w:tcW w:w="677" w:type="pct"/>
                  <w:vMerge w:val="restart"/>
                  <w:shd w:val="clear" w:color="auto" w:fill="FFFFFF"/>
                  <w:vAlign w:val="center"/>
                </w:tcPr>
                <w:p>
                  <w:pPr>
                    <w:pStyle w:val="35"/>
                    <w:bidi w:val="0"/>
                    <w:rPr>
                      <w:rFonts w:hint="default"/>
                    </w:rPr>
                  </w:pPr>
                  <w:r>
                    <w:rPr>
                      <w:rFonts w:hint="default" w:ascii="Times New Roman" w:hAnsi="Times New Roman" w:cs="Times New Roman"/>
                      <w:lang w:val="en-US" w:eastAsia="zh-CN"/>
                    </w:rPr>
                    <w:t>112°5′27.98″</w:t>
                  </w:r>
                </w:p>
              </w:tc>
              <w:tc>
                <w:tcPr>
                  <w:tcW w:w="644" w:type="pct"/>
                  <w:vMerge w:val="restart"/>
                  <w:shd w:val="clear" w:color="auto" w:fill="FFFFFF"/>
                  <w:vAlign w:val="center"/>
                </w:tcPr>
                <w:p>
                  <w:pPr>
                    <w:pStyle w:val="35"/>
                    <w:bidi w:val="0"/>
                    <w:rPr>
                      <w:rFonts w:hint="default"/>
                    </w:rPr>
                  </w:pPr>
                  <w:r>
                    <w:rPr>
                      <w:rFonts w:hint="default" w:ascii="Times New Roman" w:hAnsi="Times New Roman" w:cs="Times New Roman"/>
                      <w:lang w:val="en-US" w:eastAsia="zh-CN"/>
                    </w:rPr>
                    <w:t>26°47′7.93″</w:t>
                  </w:r>
                </w:p>
              </w:tc>
              <w:tc>
                <w:tcPr>
                  <w:tcW w:w="526" w:type="pct"/>
                  <w:vMerge w:val="restart"/>
                  <w:shd w:val="clear" w:color="auto" w:fill="FFFFFF"/>
                  <w:vAlign w:val="center"/>
                </w:tcPr>
                <w:p>
                  <w:pPr>
                    <w:pStyle w:val="35"/>
                    <w:bidi w:val="0"/>
                    <w:rPr>
                      <w:rFonts w:hint="default" w:eastAsia="宋体"/>
                      <w:lang w:val="en-US" w:eastAsia="zh-CN"/>
                    </w:rPr>
                  </w:pPr>
                  <w:r>
                    <w:rPr>
                      <w:rFonts w:hint="eastAsia"/>
                      <w:lang w:val="en-US" w:eastAsia="zh-CN"/>
                    </w:rPr>
                    <w:t>0.084</w:t>
                  </w:r>
                </w:p>
              </w:tc>
              <w:tc>
                <w:tcPr>
                  <w:tcW w:w="345" w:type="pct"/>
                  <w:vMerge w:val="restart"/>
                  <w:shd w:val="clear" w:color="auto" w:fill="FFFFFF"/>
                  <w:vAlign w:val="center"/>
                </w:tcPr>
                <w:p>
                  <w:pPr>
                    <w:pStyle w:val="35"/>
                    <w:bidi w:val="0"/>
                    <w:rPr>
                      <w:rFonts w:hint="default"/>
                    </w:rPr>
                  </w:pPr>
                  <w:r>
                    <w:rPr>
                      <w:rFonts w:hint="default"/>
                    </w:rPr>
                    <w:t>外</w:t>
                  </w:r>
                </w:p>
                <w:p>
                  <w:pPr>
                    <w:pStyle w:val="35"/>
                    <w:bidi w:val="0"/>
                    <w:rPr>
                      <w:rFonts w:hint="default"/>
                    </w:rPr>
                  </w:pPr>
                  <w:r>
                    <w:rPr>
                      <w:rFonts w:hint="default"/>
                    </w:rPr>
                    <w:t>排</w:t>
                  </w:r>
                </w:p>
              </w:tc>
              <w:tc>
                <w:tcPr>
                  <w:tcW w:w="333" w:type="pct"/>
                  <w:vMerge w:val="restart"/>
                  <w:shd w:val="clear" w:color="auto" w:fill="FFFFFF"/>
                  <w:vAlign w:val="center"/>
                </w:tcPr>
                <w:p>
                  <w:pPr>
                    <w:pStyle w:val="35"/>
                    <w:bidi w:val="0"/>
                    <w:rPr>
                      <w:rFonts w:hint="default"/>
                    </w:rPr>
                  </w:pPr>
                  <w:r>
                    <w:rPr>
                      <w:rFonts w:hint="default"/>
                    </w:rPr>
                    <w:t>间 接 排</w:t>
                  </w:r>
                </w:p>
                <w:p>
                  <w:pPr>
                    <w:pStyle w:val="35"/>
                    <w:bidi w:val="0"/>
                    <w:rPr>
                      <w:rFonts w:hint="default"/>
                    </w:rPr>
                  </w:pPr>
                  <w:r>
                    <w:rPr>
                      <w:rFonts w:hint="default"/>
                    </w:rPr>
                    <w:t>放</w:t>
                  </w:r>
                </w:p>
              </w:tc>
              <w:tc>
                <w:tcPr>
                  <w:tcW w:w="246" w:type="pct"/>
                  <w:vMerge w:val="restart"/>
                  <w:shd w:val="clear" w:color="auto" w:fill="FFFFFF"/>
                  <w:vAlign w:val="center"/>
                </w:tcPr>
                <w:p>
                  <w:pPr>
                    <w:pStyle w:val="35"/>
                    <w:bidi w:val="0"/>
                    <w:rPr>
                      <w:rFonts w:hint="default"/>
                    </w:rPr>
                  </w:pPr>
                  <w:r>
                    <w:rPr>
                      <w:rFonts w:hint="default"/>
                    </w:rPr>
                    <w:t>/</w:t>
                  </w:r>
                </w:p>
              </w:tc>
              <w:tc>
                <w:tcPr>
                  <w:tcW w:w="379" w:type="pct"/>
                  <w:vMerge w:val="restart"/>
                  <w:shd w:val="clear" w:color="auto" w:fill="FFFFFF"/>
                  <w:vAlign w:val="center"/>
                </w:tcPr>
                <w:p>
                  <w:pPr>
                    <w:pStyle w:val="35"/>
                    <w:bidi w:val="0"/>
                    <w:rPr>
                      <w:rFonts w:hint="default"/>
                    </w:rPr>
                  </w:pPr>
                  <w:r>
                    <w:rPr>
                      <w:rFonts w:hint="eastAsia"/>
                      <w:lang w:eastAsia="zh-CN"/>
                    </w:rPr>
                    <w:t>祁东县鱼陂污水厂</w:t>
                  </w:r>
                  <w:r>
                    <w:rPr>
                      <w:rFonts w:hint="default"/>
                    </w:rPr>
                    <w:t>厂</w:t>
                  </w:r>
                </w:p>
              </w:tc>
              <w:tc>
                <w:tcPr>
                  <w:tcW w:w="471" w:type="pct"/>
                  <w:shd w:val="clear" w:color="auto" w:fill="FFFFFF"/>
                  <w:vAlign w:val="center"/>
                </w:tcPr>
                <w:p>
                  <w:pPr>
                    <w:pStyle w:val="35"/>
                    <w:bidi w:val="0"/>
                    <w:rPr>
                      <w:rFonts w:hint="default"/>
                    </w:rPr>
                  </w:pPr>
                  <w:r>
                    <w:rPr>
                      <w:rFonts w:hint="eastAsia"/>
                      <w:lang w:val="en-US" w:eastAsia="zh-CN"/>
                    </w:rPr>
                    <w:t>COD</w:t>
                  </w:r>
                </w:p>
              </w:tc>
              <w:tc>
                <w:tcPr>
                  <w:tcW w:w="660" w:type="pct"/>
                  <w:shd w:val="clear" w:color="auto" w:fill="FFFFFF"/>
                  <w:vAlign w:val="center"/>
                </w:tcPr>
                <w:p>
                  <w:pPr>
                    <w:pStyle w:val="35"/>
                    <w:bidi w:val="0"/>
                    <w:rPr>
                      <w:rFonts w:hint="default"/>
                    </w:rPr>
                  </w:pPr>
                  <w:r>
                    <w:rPr>
                      <w:rFonts w:hint="eastAsia"/>
                      <w:lang w:val="en-US" w:eastAsia="zh-CN"/>
                    </w:rPr>
                    <w:t>5</w:t>
                  </w:r>
                  <w:r>
                    <w:rPr>
                      <w:rFonts w:hint="default"/>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40" w:hRule="exact"/>
                <w:jc w:val="center"/>
              </w:trPr>
              <w:tc>
                <w:tcPr>
                  <w:tcW w:w="256" w:type="pct"/>
                  <w:vMerge w:val="continue"/>
                  <w:shd w:val="clear" w:color="auto" w:fill="FFFFFF"/>
                  <w:vAlign w:val="center"/>
                </w:tcPr>
                <w:p>
                  <w:pPr>
                    <w:pStyle w:val="35"/>
                    <w:bidi w:val="0"/>
                    <w:rPr>
                      <w:rFonts w:hint="default"/>
                    </w:rPr>
                  </w:pPr>
                </w:p>
              </w:tc>
              <w:tc>
                <w:tcPr>
                  <w:tcW w:w="459" w:type="pct"/>
                  <w:vMerge w:val="continue"/>
                  <w:shd w:val="clear" w:color="auto" w:fill="FFFFFF"/>
                  <w:vAlign w:val="center"/>
                </w:tcPr>
                <w:p>
                  <w:pPr>
                    <w:pStyle w:val="35"/>
                    <w:bidi w:val="0"/>
                    <w:rPr>
                      <w:rFonts w:hint="default"/>
                    </w:rPr>
                  </w:pPr>
                </w:p>
              </w:tc>
              <w:tc>
                <w:tcPr>
                  <w:tcW w:w="677" w:type="pct"/>
                  <w:vMerge w:val="continue"/>
                  <w:shd w:val="clear" w:color="auto" w:fill="FFFFFF"/>
                  <w:vAlign w:val="center"/>
                </w:tcPr>
                <w:p>
                  <w:pPr>
                    <w:pStyle w:val="35"/>
                    <w:bidi w:val="0"/>
                    <w:rPr>
                      <w:rFonts w:hint="default"/>
                    </w:rPr>
                  </w:pPr>
                </w:p>
              </w:tc>
              <w:tc>
                <w:tcPr>
                  <w:tcW w:w="644" w:type="pct"/>
                  <w:vMerge w:val="continue"/>
                  <w:shd w:val="clear" w:color="auto" w:fill="FFFFFF"/>
                  <w:vAlign w:val="center"/>
                </w:tcPr>
                <w:p>
                  <w:pPr>
                    <w:pStyle w:val="35"/>
                    <w:bidi w:val="0"/>
                    <w:rPr>
                      <w:rFonts w:hint="default"/>
                    </w:rPr>
                  </w:pPr>
                </w:p>
              </w:tc>
              <w:tc>
                <w:tcPr>
                  <w:tcW w:w="526" w:type="pct"/>
                  <w:vMerge w:val="continue"/>
                  <w:shd w:val="clear" w:color="auto" w:fill="FFFFFF"/>
                  <w:vAlign w:val="center"/>
                </w:tcPr>
                <w:p>
                  <w:pPr>
                    <w:pStyle w:val="35"/>
                    <w:bidi w:val="0"/>
                    <w:rPr>
                      <w:rFonts w:hint="default"/>
                    </w:rPr>
                  </w:pPr>
                </w:p>
              </w:tc>
              <w:tc>
                <w:tcPr>
                  <w:tcW w:w="345" w:type="pct"/>
                  <w:vMerge w:val="continue"/>
                  <w:shd w:val="clear" w:color="auto" w:fill="FFFFFF"/>
                  <w:vAlign w:val="center"/>
                </w:tcPr>
                <w:p>
                  <w:pPr>
                    <w:pStyle w:val="35"/>
                    <w:bidi w:val="0"/>
                    <w:rPr>
                      <w:rFonts w:hint="default"/>
                    </w:rPr>
                  </w:pPr>
                </w:p>
              </w:tc>
              <w:tc>
                <w:tcPr>
                  <w:tcW w:w="333" w:type="pct"/>
                  <w:vMerge w:val="continue"/>
                  <w:shd w:val="clear" w:color="auto" w:fill="FFFFFF"/>
                  <w:vAlign w:val="center"/>
                </w:tcPr>
                <w:p>
                  <w:pPr>
                    <w:pStyle w:val="35"/>
                    <w:bidi w:val="0"/>
                    <w:rPr>
                      <w:rFonts w:hint="default"/>
                    </w:rPr>
                  </w:pPr>
                </w:p>
              </w:tc>
              <w:tc>
                <w:tcPr>
                  <w:tcW w:w="246" w:type="pct"/>
                  <w:vMerge w:val="continue"/>
                  <w:shd w:val="clear" w:color="auto" w:fill="FFFFFF"/>
                  <w:vAlign w:val="center"/>
                </w:tcPr>
                <w:p>
                  <w:pPr>
                    <w:pStyle w:val="35"/>
                    <w:bidi w:val="0"/>
                    <w:rPr>
                      <w:rFonts w:hint="default"/>
                    </w:rPr>
                  </w:pPr>
                </w:p>
              </w:tc>
              <w:tc>
                <w:tcPr>
                  <w:tcW w:w="379" w:type="pct"/>
                  <w:vMerge w:val="continue"/>
                  <w:shd w:val="clear" w:color="auto" w:fill="FFFFFF"/>
                  <w:vAlign w:val="center"/>
                </w:tcPr>
                <w:p>
                  <w:pPr>
                    <w:pStyle w:val="35"/>
                    <w:bidi w:val="0"/>
                    <w:rPr>
                      <w:rFonts w:hint="default"/>
                    </w:rPr>
                  </w:pPr>
                </w:p>
              </w:tc>
              <w:tc>
                <w:tcPr>
                  <w:tcW w:w="471" w:type="pct"/>
                  <w:shd w:val="clear" w:color="auto" w:fill="FFFFFF"/>
                  <w:vAlign w:val="center"/>
                </w:tcPr>
                <w:p>
                  <w:pPr>
                    <w:pStyle w:val="35"/>
                    <w:bidi w:val="0"/>
                    <w:rPr>
                      <w:rFonts w:hint="default"/>
                    </w:rPr>
                  </w:pPr>
                  <w:r>
                    <w:rPr>
                      <w:rFonts w:hint="default"/>
                    </w:rPr>
                    <w:t>氨氮</w:t>
                  </w:r>
                </w:p>
              </w:tc>
              <w:tc>
                <w:tcPr>
                  <w:tcW w:w="660" w:type="pct"/>
                  <w:shd w:val="clear" w:color="auto" w:fill="FFFFFF"/>
                  <w:vAlign w:val="center"/>
                </w:tcPr>
                <w:p>
                  <w:pPr>
                    <w:pStyle w:val="35"/>
                    <w:bidi w:val="0"/>
                    <w:rPr>
                      <w:rFonts w:hint="default"/>
                    </w:rPr>
                  </w:pPr>
                  <w:r>
                    <w:rPr>
                      <w:rFonts w:hint="default"/>
                    </w:rPr>
                    <w:t>8</w:t>
                  </w:r>
                </w:p>
              </w:tc>
            </w:tr>
          </w:tbl>
          <w:p>
            <w:pPr>
              <w:pStyle w:val="36"/>
              <w:bidi w:val="0"/>
            </w:pPr>
            <w:r>
              <w:rPr>
                <w:rFonts w:hint="eastAsia"/>
                <w:lang w:val="en-US" w:eastAsia="zh-CN"/>
              </w:rPr>
              <w:t xml:space="preserve">表 </w:t>
            </w:r>
            <w:r>
              <w:rPr>
                <w:rFonts w:hint="default"/>
                <w:lang w:val="en-US" w:eastAsia="zh-CN"/>
              </w:rPr>
              <w:t>4</w:t>
            </w:r>
            <w:r>
              <w:rPr>
                <w:rFonts w:hint="eastAsia"/>
                <w:lang w:val="en-US" w:eastAsia="zh-CN"/>
              </w:rPr>
              <w:t>.2</w:t>
            </w:r>
            <w:r>
              <w:rPr>
                <w:rFonts w:hint="default"/>
                <w:lang w:val="en-US" w:eastAsia="zh-CN"/>
              </w:rPr>
              <w:t>-1</w:t>
            </w:r>
            <w:r>
              <w:rPr>
                <w:rFonts w:hint="eastAsia"/>
                <w:lang w:val="en-US" w:eastAsia="zh-CN"/>
              </w:rPr>
              <w:t>3</w:t>
            </w:r>
            <w:r>
              <w:rPr>
                <w:rFonts w:hint="default"/>
                <w:lang w:val="en-US" w:eastAsia="zh-CN"/>
              </w:rPr>
              <w:t xml:space="preserve"> </w:t>
            </w:r>
            <w:r>
              <w:rPr>
                <w:rFonts w:hint="eastAsia"/>
                <w:lang w:val="en-US" w:eastAsia="zh-CN"/>
              </w:rPr>
              <w:t>废水污染物排放执行标准表</w:t>
            </w:r>
          </w:p>
          <w:tbl>
            <w:tblPr>
              <w:tblStyle w:val="3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 w:type="dxa"/>
                <w:bottom w:w="0" w:type="dxa"/>
                <w:right w:w="10" w:type="dxa"/>
              </w:tblCellMar>
            </w:tblPr>
            <w:tblGrid>
              <w:gridCol w:w="607"/>
              <w:gridCol w:w="1003"/>
              <w:gridCol w:w="1061"/>
              <w:gridCol w:w="2780"/>
              <w:gridCol w:w="24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40" w:hRule="exact"/>
                <w:jc w:val="center"/>
              </w:trPr>
              <w:tc>
                <w:tcPr>
                  <w:tcW w:w="385" w:type="pct"/>
                  <w:vMerge w:val="restart"/>
                  <w:shd w:val="clear" w:color="auto" w:fill="FFFFFF"/>
                  <w:vAlign w:val="center"/>
                </w:tcPr>
                <w:p>
                  <w:pPr>
                    <w:pStyle w:val="35"/>
                    <w:bidi w:val="0"/>
                  </w:pPr>
                  <w:r>
                    <w:t>序号</w:t>
                  </w:r>
                </w:p>
              </w:tc>
              <w:tc>
                <w:tcPr>
                  <w:tcW w:w="636" w:type="pct"/>
                  <w:vMerge w:val="restart"/>
                  <w:shd w:val="clear" w:color="auto" w:fill="FFFFFF"/>
                  <w:vAlign w:val="center"/>
                </w:tcPr>
                <w:p>
                  <w:pPr>
                    <w:pStyle w:val="35"/>
                    <w:bidi w:val="0"/>
                  </w:pPr>
                  <w:r>
                    <w:t>排放口编</w:t>
                  </w:r>
                </w:p>
              </w:tc>
              <w:tc>
                <w:tcPr>
                  <w:tcW w:w="672" w:type="pct"/>
                  <w:vMerge w:val="restart"/>
                  <w:shd w:val="clear" w:color="auto" w:fill="FFFFFF"/>
                  <w:vAlign w:val="center"/>
                </w:tcPr>
                <w:p>
                  <w:pPr>
                    <w:pStyle w:val="35"/>
                    <w:bidi w:val="0"/>
                  </w:pPr>
                  <w:r>
                    <w:t>污染物种类</w:t>
                  </w:r>
                </w:p>
              </w:tc>
              <w:tc>
                <w:tcPr>
                  <w:tcW w:w="3306" w:type="pct"/>
                  <w:gridSpan w:val="2"/>
                  <w:shd w:val="clear" w:color="auto" w:fill="FFFFFF"/>
                  <w:vAlign w:val="center"/>
                </w:tcPr>
                <w:p>
                  <w:pPr>
                    <w:pStyle w:val="35"/>
                    <w:bidi w:val="0"/>
                  </w:pPr>
                  <w:r>
                    <w:t>国家或地方污染物排放标准及其他按规定商定的排放协议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40" w:hRule="exact"/>
                <w:jc w:val="center"/>
              </w:trPr>
              <w:tc>
                <w:tcPr>
                  <w:tcW w:w="385" w:type="pct"/>
                  <w:vMerge w:val="continue"/>
                  <w:shd w:val="clear" w:color="auto" w:fill="FFFFFF"/>
                  <w:vAlign w:val="center"/>
                </w:tcPr>
                <w:p>
                  <w:pPr>
                    <w:pStyle w:val="35"/>
                    <w:bidi w:val="0"/>
                  </w:pPr>
                </w:p>
              </w:tc>
              <w:tc>
                <w:tcPr>
                  <w:tcW w:w="636" w:type="pct"/>
                  <w:vMerge w:val="continue"/>
                  <w:shd w:val="clear" w:color="auto" w:fill="FFFFFF"/>
                  <w:vAlign w:val="center"/>
                </w:tcPr>
                <w:p>
                  <w:pPr>
                    <w:pStyle w:val="35"/>
                    <w:bidi w:val="0"/>
                  </w:pPr>
                </w:p>
              </w:tc>
              <w:tc>
                <w:tcPr>
                  <w:tcW w:w="672" w:type="pct"/>
                  <w:vMerge w:val="continue"/>
                  <w:shd w:val="clear" w:color="auto" w:fill="FFFFFF"/>
                  <w:vAlign w:val="center"/>
                </w:tcPr>
                <w:p>
                  <w:pPr>
                    <w:pStyle w:val="35"/>
                    <w:bidi w:val="0"/>
                  </w:pPr>
                </w:p>
              </w:tc>
              <w:tc>
                <w:tcPr>
                  <w:tcW w:w="1761" w:type="pct"/>
                  <w:shd w:val="clear" w:color="auto" w:fill="FFFFFF"/>
                  <w:vAlign w:val="center"/>
                </w:tcPr>
                <w:p>
                  <w:pPr>
                    <w:pStyle w:val="35"/>
                    <w:bidi w:val="0"/>
                  </w:pPr>
                  <w:r>
                    <w:t>名称</w:t>
                  </w:r>
                </w:p>
              </w:tc>
              <w:tc>
                <w:tcPr>
                  <w:tcW w:w="1544" w:type="pct"/>
                  <w:shd w:val="clear" w:color="auto" w:fill="FFFFFF"/>
                  <w:vAlign w:val="center"/>
                </w:tcPr>
                <w:p>
                  <w:pPr>
                    <w:pStyle w:val="35"/>
                    <w:bidi w:val="0"/>
                  </w:pPr>
                  <w:r>
                    <w:t>浓度限值/</w:t>
                  </w:r>
                  <w:r>
                    <w:rPr>
                      <w:lang w:val="en-US" w:eastAsia="en-US"/>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40" w:hRule="exact"/>
                <w:jc w:val="center"/>
              </w:trPr>
              <w:tc>
                <w:tcPr>
                  <w:tcW w:w="385" w:type="pct"/>
                  <w:vMerge w:val="restart"/>
                  <w:shd w:val="clear" w:color="auto" w:fill="FFFFFF"/>
                  <w:vAlign w:val="center"/>
                </w:tcPr>
                <w:p>
                  <w:pPr>
                    <w:pStyle w:val="35"/>
                    <w:bidi w:val="0"/>
                  </w:pPr>
                  <w:r>
                    <w:t>1</w:t>
                  </w:r>
                </w:p>
              </w:tc>
              <w:tc>
                <w:tcPr>
                  <w:tcW w:w="636" w:type="pct"/>
                  <w:vMerge w:val="restart"/>
                  <w:shd w:val="clear" w:color="auto" w:fill="FFFFFF"/>
                  <w:vAlign w:val="center"/>
                </w:tcPr>
                <w:p>
                  <w:pPr>
                    <w:pStyle w:val="35"/>
                    <w:bidi w:val="0"/>
                  </w:pPr>
                  <w:r>
                    <w:rPr>
                      <w:lang w:val="en-US" w:eastAsia="en-US"/>
                    </w:rPr>
                    <w:t>DW001</w:t>
                  </w:r>
                </w:p>
              </w:tc>
              <w:tc>
                <w:tcPr>
                  <w:tcW w:w="672" w:type="pct"/>
                  <w:shd w:val="clear" w:color="auto" w:fill="FFFFFF"/>
                  <w:vAlign w:val="center"/>
                </w:tcPr>
                <w:p>
                  <w:pPr>
                    <w:pStyle w:val="35"/>
                    <w:bidi w:val="0"/>
                  </w:pPr>
                  <w:r>
                    <w:rPr>
                      <w:rFonts w:hint="eastAsia"/>
                      <w:lang w:val="en-US" w:eastAsia="zh-CN"/>
                    </w:rPr>
                    <w:t>COD</w:t>
                  </w:r>
                </w:p>
              </w:tc>
              <w:tc>
                <w:tcPr>
                  <w:tcW w:w="1761" w:type="pct"/>
                  <w:vMerge w:val="restart"/>
                  <w:shd w:val="clear" w:color="auto" w:fill="FFFFFF"/>
                  <w:vAlign w:val="center"/>
                </w:tcPr>
                <w:p>
                  <w:pPr>
                    <w:pStyle w:val="35"/>
                    <w:bidi w:val="0"/>
                  </w:pPr>
                  <w:r>
                    <w:rPr>
                      <w:rFonts w:hint="default" w:ascii="Times New Roman" w:hAnsi="Times New Roman" w:eastAsia="宋体" w:cs="Times New Roman"/>
                      <w:b w:val="0"/>
                      <w:bCs w:val="0"/>
                      <w:i w:val="0"/>
                      <w:iCs w:val="0"/>
                      <w:spacing w:val="0"/>
                      <w:position w:val="0"/>
                      <w:sz w:val="21"/>
                      <w:szCs w:val="21"/>
                      <w:u w:val="none" w:color="auto"/>
                    </w:rPr>
                    <w:t>《污水综合排放标准》（GB8978-1996）表4中三级标准</w:t>
                  </w:r>
                </w:p>
              </w:tc>
              <w:tc>
                <w:tcPr>
                  <w:tcW w:w="1544" w:type="pct"/>
                  <w:shd w:val="clear" w:color="auto" w:fill="FFFFFF"/>
                  <w:vAlign w:val="center"/>
                </w:tcPr>
                <w:p>
                  <w:pPr>
                    <w:pStyle w:val="35"/>
                    <w:bidi w:val="0"/>
                    <w:rPr>
                      <w:rFonts w:hint="eastAsia" w:eastAsia="宋体"/>
                      <w:lang w:val="en-US" w:eastAsia="zh-CN"/>
                    </w:rPr>
                  </w:pPr>
                  <w:r>
                    <w:t>50</w:t>
                  </w:r>
                  <w:r>
                    <w:rPr>
                      <w:rFonts w:hint="eastAsia"/>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510" w:hRule="exact"/>
                <w:jc w:val="center"/>
              </w:trPr>
              <w:tc>
                <w:tcPr>
                  <w:tcW w:w="385" w:type="pct"/>
                  <w:vMerge w:val="continue"/>
                  <w:shd w:val="clear" w:color="auto" w:fill="FFFFFF"/>
                  <w:vAlign w:val="center"/>
                </w:tcPr>
                <w:p>
                  <w:pPr>
                    <w:pStyle w:val="35"/>
                    <w:bidi w:val="0"/>
                  </w:pPr>
                </w:p>
              </w:tc>
              <w:tc>
                <w:tcPr>
                  <w:tcW w:w="636" w:type="pct"/>
                  <w:vMerge w:val="continue"/>
                  <w:shd w:val="clear" w:color="auto" w:fill="FFFFFF"/>
                  <w:vAlign w:val="center"/>
                </w:tcPr>
                <w:p>
                  <w:pPr>
                    <w:pStyle w:val="35"/>
                    <w:bidi w:val="0"/>
                  </w:pPr>
                </w:p>
              </w:tc>
              <w:tc>
                <w:tcPr>
                  <w:tcW w:w="672" w:type="pct"/>
                  <w:shd w:val="clear" w:color="auto" w:fill="FFFFFF"/>
                  <w:vAlign w:val="center"/>
                </w:tcPr>
                <w:p>
                  <w:pPr>
                    <w:pStyle w:val="35"/>
                    <w:bidi w:val="0"/>
                  </w:pPr>
                  <w:r>
                    <w:t>氨氮</w:t>
                  </w:r>
                </w:p>
              </w:tc>
              <w:tc>
                <w:tcPr>
                  <w:tcW w:w="1761" w:type="pct"/>
                  <w:vMerge w:val="continue"/>
                  <w:shd w:val="clear" w:color="auto" w:fill="FFFFFF"/>
                  <w:vAlign w:val="center"/>
                </w:tcPr>
                <w:p>
                  <w:pPr>
                    <w:pStyle w:val="35"/>
                    <w:bidi w:val="0"/>
                  </w:pPr>
                </w:p>
              </w:tc>
              <w:tc>
                <w:tcPr>
                  <w:tcW w:w="1544" w:type="pct"/>
                  <w:shd w:val="clear" w:color="auto" w:fill="FFFFFF"/>
                  <w:vAlign w:val="center"/>
                </w:tcPr>
                <w:p>
                  <w:pPr>
                    <w:pStyle w:val="35"/>
                    <w:bidi w:val="0"/>
                    <w:rPr>
                      <w:rFonts w:hint="default" w:eastAsia="宋体"/>
                      <w:lang w:val="en-US" w:eastAsia="zh-CN"/>
                    </w:rPr>
                  </w:pPr>
                  <w:r>
                    <w:rPr>
                      <w:rFonts w:hint="eastAsia"/>
                      <w:lang w:val="en-US" w:eastAsia="zh-CN"/>
                    </w:rPr>
                    <w:t>/</w:t>
                  </w:r>
                </w:p>
              </w:tc>
            </w:tr>
          </w:tbl>
          <w:p>
            <w:pPr>
              <w:pStyle w:val="36"/>
              <w:bidi w:val="0"/>
            </w:pPr>
            <w:r>
              <w:rPr>
                <w:rFonts w:hint="eastAsia"/>
                <w:lang w:val="en-US" w:eastAsia="zh-CN"/>
              </w:rPr>
              <w:t xml:space="preserve">表 </w:t>
            </w:r>
            <w:r>
              <w:rPr>
                <w:rFonts w:hint="default"/>
                <w:lang w:val="en-US" w:eastAsia="zh-CN"/>
              </w:rPr>
              <w:t>4</w:t>
            </w:r>
            <w:r>
              <w:rPr>
                <w:rFonts w:hint="eastAsia"/>
                <w:lang w:val="en-US" w:eastAsia="zh-CN"/>
              </w:rPr>
              <w:t>.2</w:t>
            </w:r>
            <w:r>
              <w:rPr>
                <w:rFonts w:hint="default"/>
                <w:lang w:val="en-US" w:eastAsia="zh-CN"/>
              </w:rPr>
              <w:t>-1</w:t>
            </w:r>
            <w:r>
              <w:rPr>
                <w:rFonts w:hint="eastAsia"/>
                <w:lang w:val="en-US" w:eastAsia="zh-CN"/>
              </w:rPr>
              <w:t>4</w:t>
            </w:r>
            <w:r>
              <w:rPr>
                <w:rFonts w:hint="default"/>
                <w:lang w:val="en-US" w:eastAsia="zh-CN"/>
              </w:rPr>
              <w:t xml:space="preserve"> </w:t>
            </w:r>
            <w:r>
              <w:rPr>
                <w:rFonts w:hint="eastAsia"/>
                <w:lang w:val="en-US" w:eastAsia="zh-CN"/>
              </w:rPr>
              <w:t>废水污染物排放信息表</w:t>
            </w:r>
          </w:p>
          <w:tbl>
            <w:tblPr>
              <w:tblStyle w:val="3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 w:type="dxa"/>
                <w:bottom w:w="0" w:type="dxa"/>
                <w:right w:w="10" w:type="dxa"/>
              </w:tblCellMar>
            </w:tblPr>
            <w:tblGrid>
              <w:gridCol w:w="1899"/>
              <w:gridCol w:w="1323"/>
              <w:gridCol w:w="1373"/>
              <w:gridCol w:w="1345"/>
              <w:gridCol w:w="19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567" w:hRule="exact"/>
                <w:jc w:val="center"/>
              </w:trPr>
              <w:tc>
                <w:tcPr>
                  <w:tcW w:w="1203" w:type="pct"/>
                  <w:shd w:val="clear" w:color="auto" w:fill="FFFFFF"/>
                  <w:vAlign w:val="center"/>
                </w:tcPr>
                <w:p>
                  <w:pPr>
                    <w:pStyle w:val="35"/>
                    <w:bidi w:val="0"/>
                    <w:jc w:val="center"/>
                  </w:pPr>
                  <w:r>
                    <w:t>序号</w:t>
                  </w:r>
                </w:p>
              </w:tc>
              <w:tc>
                <w:tcPr>
                  <w:tcW w:w="838" w:type="pct"/>
                  <w:shd w:val="clear" w:color="auto" w:fill="FFFFFF"/>
                  <w:vAlign w:val="center"/>
                </w:tcPr>
                <w:p>
                  <w:pPr>
                    <w:pStyle w:val="35"/>
                    <w:bidi w:val="0"/>
                    <w:jc w:val="center"/>
                  </w:pPr>
                  <w:r>
                    <w:t>排放口编号</w:t>
                  </w:r>
                </w:p>
              </w:tc>
              <w:tc>
                <w:tcPr>
                  <w:tcW w:w="870" w:type="pct"/>
                  <w:shd w:val="clear" w:color="auto" w:fill="FFFFFF"/>
                  <w:vAlign w:val="center"/>
                </w:tcPr>
                <w:p>
                  <w:pPr>
                    <w:pStyle w:val="35"/>
                    <w:bidi w:val="0"/>
                    <w:jc w:val="center"/>
                  </w:pPr>
                  <w:r>
                    <w:t>污染物种类</w:t>
                  </w:r>
                </w:p>
              </w:tc>
              <w:tc>
                <w:tcPr>
                  <w:tcW w:w="852" w:type="pct"/>
                  <w:shd w:val="clear" w:color="auto" w:fill="FFFFFF"/>
                  <w:vAlign w:val="center"/>
                </w:tcPr>
                <w:p>
                  <w:pPr>
                    <w:pStyle w:val="35"/>
                    <w:bidi w:val="0"/>
                    <w:jc w:val="center"/>
                  </w:pPr>
                  <w:r>
                    <w:t>排放浓度</w:t>
                  </w:r>
                </w:p>
                <w:p>
                  <w:pPr>
                    <w:pStyle w:val="35"/>
                    <w:bidi w:val="0"/>
                    <w:jc w:val="center"/>
                  </w:pPr>
                  <w:r>
                    <w:rPr>
                      <w:lang w:val="en-US" w:eastAsia="en-US"/>
                    </w:rPr>
                    <w:t>（mg/L）</w:t>
                  </w:r>
                </w:p>
              </w:tc>
              <w:tc>
                <w:tcPr>
                  <w:tcW w:w="1235" w:type="pct"/>
                  <w:shd w:val="clear" w:color="auto" w:fill="FFFFFF"/>
                  <w:vAlign w:val="center"/>
                </w:tcPr>
                <w:p>
                  <w:pPr>
                    <w:pStyle w:val="35"/>
                    <w:bidi w:val="0"/>
                    <w:jc w:val="center"/>
                  </w:pPr>
                  <w:r>
                    <w:t>年排放量</w:t>
                  </w:r>
                  <w:r>
                    <w:rPr>
                      <w:lang w:val="en-US" w:eastAsia="en-US"/>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40" w:hRule="exact"/>
                <w:jc w:val="center"/>
              </w:trPr>
              <w:tc>
                <w:tcPr>
                  <w:tcW w:w="1203" w:type="pct"/>
                  <w:vMerge w:val="restart"/>
                  <w:shd w:val="clear" w:color="auto" w:fill="FFFFFF"/>
                  <w:vAlign w:val="center"/>
                </w:tcPr>
                <w:p>
                  <w:pPr>
                    <w:pStyle w:val="35"/>
                    <w:bidi w:val="0"/>
                    <w:jc w:val="center"/>
                  </w:pPr>
                  <w:r>
                    <w:t>1</w:t>
                  </w:r>
                </w:p>
              </w:tc>
              <w:tc>
                <w:tcPr>
                  <w:tcW w:w="838" w:type="pct"/>
                  <w:vMerge w:val="restart"/>
                  <w:shd w:val="clear" w:color="auto" w:fill="FFFFFF"/>
                  <w:vAlign w:val="center"/>
                </w:tcPr>
                <w:p>
                  <w:pPr>
                    <w:pStyle w:val="35"/>
                    <w:bidi w:val="0"/>
                    <w:jc w:val="center"/>
                  </w:pPr>
                  <w:r>
                    <w:rPr>
                      <w:lang w:val="en-US" w:eastAsia="en-US"/>
                    </w:rPr>
                    <w:t>DW001</w:t>
                  </w:r>
                </w:p>
              </w:tc>
              <w:tc>
                <w:tcPr>
                  <w:tcW w:w="870" w:type="pct"/>
                  <w:shd w:val="clear" w:color="auto" w:fill="FFFFFF"/>
                  <w:vAlign w:val="center"/>
                </w:tcPr>
                <w:p>
                  <w:pPr>
                    <w:pStyle w:val="35"/>
                    <w:bidi w:val="0"/>
                    <w:jc w:val="center"/>
                  </w:pPr>
                  <w:r>
                    <w:rPr>
                      <w:rFonts w:hint="eastAsia"/>
                      <w:lang w:val="en-US" w:eastAsia="zh-CN"/>
                    </w:rPr>
                    <w:t>COD</w:t>
                  </w:r>
                </w:p>
              </w:tc>
              <w:tc>
                <w:tcPr>
                  <w:tcW w:w="852" w:type="pct"/>
                  <w:shd w:val="clear" w:color="auto" w:fill="FFFFFF"/>
                  <w:vAlign w:val="center"/>
                </w:tcPr>
                <w:p>
                  <w:pPr>
                    <w:pStyle w:val="35"/>
                    <w:bidi w:val="0"/>
                    <w:jc w:val="center"/>
                  </w:pPr>
                  <w:r>
                    <w:t>50</w:t>
                  </w:r>
                </w:p>
              </w:tc>
              <w:tc>
                <w:tcPr>
                  <w:tcW w:w="1235" w:type="pct"/>
                  <w:shd w:val="clear" w:color="auto" w:fill="FFFFFF"/>
                  <w:vAlign w:val="center"/>
                </w:tcPr>
                <w:p>
                  <w:pPr>
                    <w:pStyle w:val="35"/>
                    <w:bidi w:val="0"/>
                    <w:jc w:val="center"/>
                    <w:rPr>
                      <w:rFonts w:hint="default" w:eastAsia="宋体"/>
                      <w:lang w:val="en-US" w:eastAsia="zh-CN"/>
                    </w:rPr>
                  </w:pPr>
                  <w:r>
                    <w:rPr>
                      <w:rFonts w:hint="eastAsia"/>
                      <w:lang w:val="en-US" w:eastAsia="zh-CN"/>
                    </w:rPr>
                    <w:t>0.042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40" w:hRule="exact"/>
                <w:jc w:val="center"/>
              </w:trPr>
              <w:tc>
                <w:tcPr>
                  <w:tcW w:w="1203" w:type="pct"/>
                  <w:vMerge w:val="continue"/>
                  <w:shd w:val="clear" w:color="auto" w:fill="FFFFFF"/>
                  <w:vAlign w:val="center"/>
                </w:tcPr>
                <w:p>
                  <w:pPr>
                    <w:pStyle w:val="35"/>
                    <w:bidi w:val="0"/>
                    <w:jc w:val="center"/>
                  </w:pPr>
                </w:p>
              </w:tc>
              <w:tc>
                <w:tcPr>
                  <w:tcW w:w="838" w:type="pct"/>
                  <w:vMerge w:val="continue"/>
                  <w:shd w:val="clear" w:color="auto" w:fill="FFFFFF"/>
                  <w:vAlign w:val="center"/>
                </w:tcPr>
                <w:p>
                  <w:pPr>
                    <w:pStyle w:val="35"/>
                    <w:bidi w:val="0"/>
                    <w:jc w:val="center"/>
                  </w:pPr>
                </w:p>
              </w:tc>
              <w:tc>
                <w:tcPr>
                  <w:tcW w:w="870" w:type="pct"/>
                  <w:shd w:val="clear" w:color="auto" w:fill="FFFFFF"/>
                  <w:vAlign w:val="center"/>
                </w:tcPr>
                <w:p>
                  <w:pPr>
                    <w:pStyle w:val="35"/>
                    <w:bidi w:val="0"/>
                    <w:jc w:val="center"/>
                  </w:pPr>
                  <w:r>
                    <w:t>氨氮</w:t>
                  </w:r>
                </w:p>
              </w:tc>
              <w:tc>
                <w:tcPr>
                  <w:tcW w:w="852" w:type="pct"/>
                  <w:shd w:val="clear" w:color="auto" w:fill="FFFFFF"/>
                  <w:vAlign w:val="center"/>
                </w:tcPr>
                <w:p>
                  <w:pPr>
                    <w:pStyle w:val="35"/>
                    <w:bidi w:val="0"/>
                    <w:jc w:val="center"/>
                  </w:pPr>
                  <w:r>
                    <w:rPr>
                      <w:lang w:val="en-US" w:eastAsia="en-US"/>
                    </w:rPr>
                    <w:t>8</w:t>
                  </w:r>
                </w:p>
              </w:tc>
              <w:tc>
                <w:tcPr>
                  <w:tcW w:w="1235" w:type="pct"/>
                  <w:shd w:val="clear" w:color="auto" w:fill="FFFFFF"/>
                  <w:vAlign w:val="center"/>
                </w:tcPr>
                <w:p>
                  <w:pPr>
                    <w:pStyle w:val="35"/>
                    <w:bidi w:val="0"/>
                    <w:jc w:val="center"/>
                    <w:rPr>
                      <w:rFonts w:hint="default" w:eastAsia="宋体"/>
                      <w:lang w:val="en-US" w:eastAsia="zh-CN"/>
                    </w:rPr>
                  </w:pPr>
                  <w:r>
                    <w:rPr>
                      <w:rFonts w:hint="eastAsia"/>
                      <w:lang w:val="en-US" w:eastAsia="zh-CN"/>
                    </w:rPr>
                    <w:t>0.007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40" w:hRule="exact"/>
                <w:jc w:val="center"/>
              </w:trPr>
              <w:tc>
                <w:tcPr>
                  <w:tcW w:w="1203" w:type="pct"/>
                  <w:vMerge w:val="restart"/>
                  <w:shd w:val="clear" w:color="auto" w:fill="FFFFFF"/>
                  <w:vAlign w:val="center"/>
                </w:tcPr>
                <w:p>
                  <w:pPr>
                    <w:pStyle w:val="35"/>
                    <w:bidi w:val="0"/>
                    <w:jc w:val="center"/>
                  </w:pPr>
                  <w:r>
                    <w:t>全厂排放口合计</w:t>
                  </w:r>
                </w:p>
              </w:tc>
              <w:tc>
                <w:tcPr>
                  <w:tcW w:w="2560" w:type="pct"/>
                  <w:gridSpan w:val="3"/>
                  <w:shd w:val="clear" w:color="auto" w:fill="FFFFFF"/>
                  <w:vAlign w:val="center"/>
                </w:tcPr>
                <w:p>
                  <w:pPr>
                    <w:pStyle w:val="35"/>
                    <w:bidi w:val="0"/>
                    <w:jc w:val="center"/>
                  </w:pPr>
                  <w:r>
                    <w:rPr>
                      <w:rFonts w:hint="eastAsia"/>
                      <w:lang w:val="en-US" w:eastAsia="zh-CN"/>
                    </w:rPr>
                    <w:t>COD</w:t>
                  </w:r>
                </w:p>
              </w:tc>
              <w:tc>
                <w:tcPr>
                  <w:tcW w:w="1235" w:type="pct"/>
                  <w:shd w:val="clear" w:color="auto" w:fill="FFFFFF"/>
                  <w:vAlign w:val="center"/>
                </w:tcPr>
                <w:p>
                  <w:pPr>
                    <w:pStyle w:val="35"/>
                    <w:bidi w:val="0"/>
                    <w:jc w:val="center"/>
                    <w:rPr>
                      <w:rFonts w:hint="default" w:ascii="Times New Roman" w:hAnsi="Times New Roman" w:eastAsia="宋体" w:cs="Times New Roman"/>
                      <w:snapToGrid w:val="0"/>
                      <w:spacing w:val="6"/>
                      <w:kern w:val="2"/>
                      <w:sz w:val="21"/>
                      <w:szCs w:val="21"/>
                      <w:lang w:val="en-US" w:eastAsia="zh-CN" w:bidi="ar-SA"/>
                    </w:rPr>
                  </w:pPr>
                  <w:r>
                    <w:rPr>
                      <w:rFonts w:hint="eastAsia"/>
                      <w:lang w:val="en-US" w:eastAsia="zh-CN"/>
                    </w:rPr>
                    <w:t>0.042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40" w:hRule="exact"/>
                <w:jc w:val="center"/>
              </w:trPr>
              <w:tc>
                <w:tcPr>
                  <w:tcW w:w="1203" w:type="pct"/>
                  <w:vMerge w:val="continue"/>
                  <w:shd w:val="clear" w:color="auto" w:fill="FFFFFF"/>
                  <w:vAlign w:val="center"/>
                </w:tcPr>
                <w:p>
                  <w:pPr>
                    <w:pStyle w:val="35"/>
                    <w:bidi w:val="0"/>
                    <w:jc w:val="center"/>
                  </w:pPr>
                </w:p>
              </w:tc>
              <w:tc>
                <w:tcPr>
                  <w:tcW w:w="2560" w:type="pct"/>
                  <w:gridSpan w:val="3"/>
                  <w:shd w:val="clear" w:color="auto" w:fill="FFFFFF"/>
                  <w:vAlign w:val="center"/>
                </w:tcPr>
                <w:p>
                  <w:pPr>
                    <w:pStyle w:val="35"/>
                    <w:bidi w:val="0"/>
                    <w:jc w:val="center"/>
                  </w:pPr>
                  <w:r>
                    <w:t>氨氮</w:t>
                  </w:r>
                </w:p>
              </w:tc>
              <w:tc>
                <w:tcPr>
                  <w:tcW w:w="1235" w:type="pct"/>
                  <w:shd w:val="clear" w:color="auto" w:fill="FFFFFF"/>
                  <w:vAlign w:val="center"/>
                </w:tcPr>
                <w:p>
                  <w:pPr>
                    <w:pStyle w:val="35"/>
                    <w:bidi w:val="0"/>
                    <w:jc w:val="center"/>
                    <w:rPr>
                      <w:rFonts w:hint="default" w:ascii="Times New Roman" w:hAnsi="Times New Roman" w:eastAsia="宋体" w:cs="Times New Roman"/>
                      <w:snapToGrid w:val="0"/>
                      <w:spacing w:val="6"/>
                      <w:kern w:val="2"/>
                      <w:sz w:val="21"/>
                      <w:szCs w:val="21"/>
                      <w:lang w:val="en-US" w:eastAsia="zh-CN" w:bidi="ar-SA"/>
                    </w:rPr>
                  </w:pPr>
                  <w:r>
                    <w:rPr>
                      <w:rFonts w:hint="eastAsia"/>
                      <w:lang w:val="en-US" w:eastAsia="zh-CN"/>
                    </w:rPr>
                    <w:t>0.007</w:t>
                  </w:r>
                </w:p>
              </w:tc>
            </w:tr>
          </w:tbl>
          <w:p>
            <w:pPr>
              <w:pStyle w:val="14"/>
              <w:bidi w:val="0"/>
              <w:rPr>
                <w:rFonts w:hint="eastAsia"/>
                <w:lang w:val="en-US" w:eastAsia="zh-CN"/>
              </w:rPr>
            </w:pPr>
            <w:r>
              <w:rPr>
                <w:rFonts w:hint="eastAsia"/>
                <w:lang w:val="en-US" w:eastAsia="zh-CN"/>
              </w:rPr>
              <w:t>2.5地表水环境影响评价</w:t>
            </w:r>
          </w:p>
          <w:p>
            <w:pPr>
              <w:pStyle w:val="14"/>
              <w:bidi w:val="0"/>
            </w:pPr>
            <w:r>
              <w:t>本项目污水采取的水污染控制措施为隔油</w:t>
            </w:r>
            <w:r>
              <w:rPr>
                <w:rFonts w:hint="eastAsia"/>
                <w:lang w:eastAsia="zh-CN"/>
              </w:rPr>
              <w:t>沉淀</w:t>
            </w:r>
            <w:r>
              <w:t>池</w:t>
            </w:r>
            <w:r>
              <w:rPr>
                <w:rFonts w:hint="eastAsia"/>
                <w:lang w:eastAsia="zh-CN"/>
              </w:rPr>
              <w:t>、</w:t>
            </w:r>
            <w:r>
              <w:t>化粪池处理后排入</w:t>
            </w:r>
            <w:r>
              <w:rPr>
                <w:rFonts w:hint="eastAsia"/>
                <w:lang w:eastAsia="zh-CN"/>
              </w:rPr>
              <w:t>市政污水管网进入祁东县鱼陂污水厂</w:t>
            </w:r>
            <w:r>
              <w:t>处理达《城镇污水处理厂污染物排放标准》</w:t>
            </w:r>
            <w:r>
              <w:rPr>
                <w:lang w:val="en-US" w:eastAsia="en-US"/>
              </w:rPr>
              <w:t xml:space="preserve">(GB18918-2002) </w:t>
            </w:r>
            <w:r>
              <w:t>一级</w:t>
            </w:r>
            <w:r>
              <w:rPr>
                <w:lang w:val="en-US" w:eastAsia="en-US"/>
              </w:rPr>
              <w:t>A</w:t>
            </w:r>
            <w:r>
              <w:t>标准后排入</w:t>
            </w:r>
            <w:r>
              <w:rPr>
                <w:rFonts w:hint="eastAsia"/>
                <w:lang w:eastAsia="zh-CN"/>
              </w:rPr>
              <w:t>洪桥小溪</w:t>
            </w:r>
            <w:r>
              <w:rPr>
                <w:rFonts w:hint="eastAsia"/>
                <w:lang w:val="en-US" w:eastAsia="zh-CN"/>
              </w:rPr>
              <w:t>。</w:t>
            </w:r>
            <w:r>
              <w:t>本项目的建设对地表水环境影响是可接受的。</w:t>
            </w:r>
          </w:p>
          <w:p>
            <w:pPr>
              <w:pStyle w:val="14"/>
              <w:bidi w:val="0"/>
              <w:rPr>
                <w:rFonts w:hint="eastAsia"/>
                <w:lang w:val="en-US" w:eastAsia="zh-CN"/>
              </w:rPr>
            </w:pPr>
            <w:r>
              <w:rPr>
                <w:rFonts w:hint="eastAsia"/>
                <w:lang w:val="en-US" w:eastAsia="zh-CN"/>
              </w:rPr>
              <w:t>2.6监测要求</w:t>
            </w:r>
          </w:p>
          <w:p>
            <w:pPr>
              <w:pStyle w:val="14"/>
              <w:bidi w:val="0"/>
              <w:rPr>
                <w:rFonts w:hint="eastAsia"/>
                <w:lang w:val="en-US" w:eastAsia="zh-CN"/>
              </w:rPr>
            </w:pPr>
            <w:r>
              <w:rPr>
                <w:rFonts w:hint="eastAsia"/>
                <w:lang w:val="en-US" w:eastAsia="zh-CN"/>
              </w:rPr>
              <w:t>依据</w:t>
            </w:r>
            <w:r>
              <w:rPr>
                <w:rFonts w:hint="eastAsia" w:eastAsia="宋体" w:cs="Times New Roman"/>
                <w:b w:val="0"/>
                <w:bCs w:val="0"/>
                <w:i w:val="0"/>
                <w:iCs w:val="0"/>
                <w:color w:val="auto"/>
                <w:spacing w:val="0"/>
                <w:kern w:val="44"/>
                <w:position w:val="0"/>
                <w:sz w:val="24"/>
                <w:szCs w:val="24"/>
                <w:u w:val="none" w:color="auto"/>
                <w:lang w:val="en-US" w:eastAsia="zh-CN" w:bidi="ar-SA"/>
              </w:rPr>
              <w:t>《排污许可证申请与核发技术规范 储油库、加油站》（HJ1118-2020）及</w:t>
            </w:r>
            <w:r>
              <w:rPr>
                <w:rFonts w:hint="eastAsia"/>
                <w:lang w:val="en-US" w:eastAsia="zh-CN"/>
              </w:rPr>
              <w:t>本项目废水排放情况，对本项目废水的监测要求见下表：</w:t>
            </w:r>
          </w:p>
          <w:p>
            <w:pPr>
              <w:pStyle w:val="36"/>
              <w:bidi w:val="0"/>
              <w:rPr>
                <w:rFonts w:hint="eastAsia"/>
                <w:lang w:val="en-US" w:eastAsia="zh-CN"/>
              </w:rPr>
            </w:pPr>
            <w:r>
              <w:rPr>
                <w:rFonts w:hint="eastAsia"/>
                <w:lang w:val="en-US" w:eastAsia="zh-CN"/>
              </w:rPr>
              <w:t>表4.2-15 项目废水监测要求</w:t>
            </w:r>
          </w:p>
          <w:tbl>
            <w:tblPr>
              <w:tblStyle w:val="31"/>
              <w:tblW w:w="4998"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1611"/>
              <w:gridCol w:w="1879"/>
              <w:gridCol w:w="3335"/>
              <w:gridCol w:w="1060"/>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21" w:type="pct"/>
                  <w:tcBorders>
                    <w:top w:val="single" w:color="auto" w:sz="4" w:space="0"/>
                    <w:left w:val="single" w:color="auto" w:sz="4" w:space="0"/>
                    <w:bottom w:val="single" w:color="auto" w:sz="4" w:space="0"/>
                    <w:right w:val="single" w:color="auto" w:sz="4" w:space="0"/>
                  </w:tcBorders>
                  <w:vAlign w:val="center"/>
                </w:tcPr>
                <w:p>
                  <w:pPr>
                    <w:pStyle w:val="35"/>
                    <w:bidi w:val="0"/>
                    <w:rPr>
                      <w:rFonts w:hint="default"/>
                    </w:rPr>
                  </w:pPr>
                  <w:r>
                    <w:rPr>
                      <w:rFonts w:hint="default"/>
                    </w:rPr>
                    <w:t>类别</w:t>
                  </w:r>
                </w:p>
              </w:tc>
              <w:tc>
                <w:tcPr>
                  <w:tcW w:w="1191" w:type="pct"/>
                  <w:tcBorders>
                    <w:top w:val="single" w:color="auto" w:sz="4" w:space="0"/>
                    <w:left w:val="single" w:color="auto" w:sz="4" w:space="0"/>
                    <w:bottom w:val="single" w:color="auto" w:sz="4" w:space="0"/>
                    <w:right w:val="single" w:color="auto" w:sz="4" w:space="0"/>
                  </w:tcBorders>
                  <w:vAlign w:val="center"/>
                </w:tcPr>
                <w:p>
                  <w:pPr>
                    <w:pStyle w:val="35"/>
                    <w:bidi w:val="0"/>
                    <w:rPr>
                      <w:rFonts w:hint="default"/>
                    </w:rPr>
                  </w:pPr>
                  <w:r>
                    <w:rPr>
                      <w:rFonts w:hint="default"/>
                    </w:rPr>
                    <w:t>监测点位置</w:t>
                  </w:r>
                </w:p>
              </w:tc>
              <w:tc>
                <w:tcPr>
                  <w:tcW w:w="2114" w:type="pct"/>
                  <w:tcBorders>
                    <w:top w:val="single" w:color="auto" w:sz="4" w:space="0"/>
                    <w:left w:val="single" w:color="auto" w:sz="4" w:space="0"/>
                    <w:bottom w:val="single" w:color="auto" w:sz="4" w:space="0"/>
                    <w:right w:val="single" w:color="auto" w:sz="4" w:space="0"/>
                  </w:tcBorders>
                  <w:vAlign w:val="center"/>
                </w:tcPr>
                <w:p>
                  <w:pPr>
                    <w:pStyle w:val="35"/>
                    <w:bidi w:val="0"/>
                    <w:rPr>
                      <w:rFonts w:hint="default"/>
                    </w:rPr>
                  </w:pPr>
                  <w:r>
                    <w:rPr>
                      <w:rFonts w:hint="default"/>
                    </w:rPr>
                    <w:t>监测项目</w:t>
                  </w:r>
                </w:p>
              </w:tc>
              <w:tc>
                <w:tcPr>
                  <w:tcW w:w="672" w:type="pct"/>
                  <w:tcBorders>
                    <w:top w:val="single" w:color="auto" w:sz="4" w:space="0"/>
                    <w:left w:val="single" w:color="auto" w:sz="4" w:space="0"/>
                    <w:bottom w:val="single" w:color="auto" w:sz="4" w:space="0"/>
                    <w:right w:val="single" w:color="auto" w:sz="4" w:space="0"/>
                  </w:tcBorders>
                  <w:vAlign w:val="center"/>
                </w:tcPr>
                <w:p>
                  <w:pPr>
                    <w:pStyle w:val="35"/>
                    <w:bidi w:val="0"/>
                    <w:rPr>
                      <w:rFonts w:hint="default"/>
                    </w:rPr>
                  </w:pPr>
                  <w:r>
                    <w:rPr>
                      <w:rFonts w:hint="default"/>
                    </w:rPr>
                    <w:t>监测频次</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21" w:type="pct"/>
                  <w:tcBorders>
                    <w:top w:val="single" w:color="auto" w:sz="4" w:space="0"/>
                    <w:left w:val="single" w:color="auto" w:sz="4" w:space="0"/>
                    <w:bottom w:val="single" w:color="auto" w:sz="4" w:space="0"/>
                    <w:right w:val="single" w:color="auto" w:sz="4" w:space="0"/>
                  </w:tcBorders>
                  <w:vAlign w:val="center"/>
                </w:tcPr>
                <w:p>
                  <w:pPr>
                    <w:pStyle w:val="35"/>
                    <w:bidi w:val="0"/>
                    <w:rPr>
                      <w:rFonts w:hint="eastAsia"/>
                      <w:lang w:val="en-US" w:eastAsia="zh-CN"/>
                    </w:rPr>
                  </w:pPr>
                  <w:r>
                    <w:rPr>
                      <w:rFonts w:hint="eastAsia"/>
                      <w:lang w:val="en-US" w:eastAsia="zh-CN"/>
                    </w:rPr>
                    <w:t>废水</w:t>
                  </w:r>
                </w:p>
              </w:tc>
              <w:tc>
                <w:tcPr>
                  <w:tcW w:w="1191" w:type="pct"/>
                  <w:tcBorders>
                    <w:top w:val="single" w:color="auto" w:sz="4" w:space="0"/>
                    <w:left w:val="single" w:color="auto" w:sz="4" w:space="0"/>
                    <w:bottom w:val="single" w:color="auto" w:sz="4" w:space="0"/>
                    <w:right w:val="single" w:color="auto" w:sz="4" w:space="0"/>
                  </w:tcBorders>
                  <w:vAlign w:val="center"/>
                </w:tcPr>
                <w:p>
                  <w:pPr>
                    <w:pStyle w:val="35"/>
                    <w:bidi w:val="0"/>
                    <w:rPr>
                      <w:rFonts w:hint="eastAsia"/>
                      <w:lang w:val="en-US" w:eastAsia="zh-CN"/>
                    </w:rPr>
                  </w:pPr>
                  <w:r>
                    <w:rPr>
                      <w:rFonts w:hint="eastAsia"/>
                      <w:lang w:val="en-US" w:eastAsia="zh-CN"/>
                    </w:rPr>
                    <w:t>废水总排口</w:t>
                  </w:r>
                </w:p>
              </w:tc>
              <w:tc>
                <w:tcPr>
                  <w:tcW w:w="2114" w:type="pct"/>
                  <w:tcBorders>
                    <w:top w:val="single" w:color="auto" w:sz="4" w:space="0"/>
                    <w:left w:val="single" w:color="auto" w:sz="4" w:space="0"/>
                    <w:bottom w:val="single" w:color="auto" w:sz="4" w:space="0"/>
                    <w:right w:val="single" w:color="auto" w:sz="4" w:space="0"/>
                  </w:tcBorders>
                  <w:vAlign w:val="center"/>
                </w:tcPr>
                <w:p>
                  <w:pPr>
                    <w:pStyle w:val="35"/>
                    <w:bidi w:val="0"/>
                    <w:rPr>
                      <w:rFonts w:hint="eastAsia" w:eastAsia="宋体"/>
                      <w:lang w:eastAsia="zh-CN"/>
                    </w:rPr>
                  </w:pPr>
                  <w:r>
                    <w:rPr>
                      <w:lang w:val="en-US" w:eastAsia="en-US"/>
                    </w:rPr>
                    <w:t>pH</w:t>
                  </w:r>
                  <w:r>
                    <w:t>值、</w:t>
                  </w:r>
                  <w:r>
                    <w:rPr>
                      <w:lang w:val="en-US" w:eastAsia="en-US"/>
                    </w:rPr>
                    <w:t>COD、SS、</w:t>
                  </w:r>
                  <w:r>
                    <w:t>氨氮、</w:t>
                  </w:r>
                  <w:r>
                    <w:rPr>
                      <w:rFonts w:hint="eastAsia"/>
                      <w:lang w:eastAsia="zh-CN"/>
                    </w:rPr>
                    <w:t>石油类</w:t>
                  </w:r>
                </w:p>
              </w:tc>
              <w:tc>
                <w:tcPr>
                  <w:tcW w:w="672" w:type="pct"/>
                  <w:tcBorders>
                    <w:top w:val="single" w:color="auto" w:sz="4" w:space="0"/>
                    <w:left w:val="single" w:color="auto" w:sz="4" w:space="0"/>
                    <w:bottom w:val="single" w:color="auto" w:sz="4" w:space="0"/>
                    <w:right w:val="single" w:color="auto" w:sz="4" w:space="0"/>
                  </w:tcBorders>
                  <w:vAlign w:val="center"/>
                </w:tcPr>
                <w:p>
                  <w:pPr>
                    <w:pStyle w:val="35"/>
                    <w:bidi w:val="0"/>
                    <w:rPr>
                      <w:rFonts w:hint="default"/>
                    </w:rPr>
                  </w:pPr>
                  <w:r>
                    <w:rPr>
                      <w:lang w:val="en-US" w:eastAsia="zh-CN"/>
                    </w:rPr>
                    <w:t>1 次/</w:t>
                  </w:r>
                  <w:r>
                    <w:rPr>
                      <w:rFonts w:hint="eastAsia"/>
                      <w:lang w:val="en-US" w:eastAsia="zh-CN"/>
                    </w:rPr>
                    <w:t>季</w:t>
                  </w:r>
                </w:p>
              </w:tc>
            </w:tr>
          </w:tbl>
          <w:p>
            <w:pPr>
              <w:pStyle w:val="14"/>
              <w:bidi w:val="0"/>
              <w:rPr>
                <w:rFonts w:hint="default"/>
              </w:rPr>
            </w:pPr>
            <w:r>
              <w:rPr>
                <w:rFonts w:hint="eastAsia"/>
                <w:lang w:val="en-US" w:eastAsia="zh-CN"/>
              </w:rPr>
              <w:t>3</w:t>
            </w:r>
            <w:r>
              <w:rPr>
                <w:rFonts w:hint="default"/>
              </w:rPr>
              <w:t>、噪声</w:t>
            </w:r>
          </w:p>
          <w:p>
            <w:pPr>
              <w:pStyle w:val="14"/>
              <w:bidi w:val="0"/>
              <w:rPr>
                <w:rFonts w:hint="eastAsia" w:eastAsia="宋体"/>
                <w:lang w:val="en-US" w:eastAsia="zh-CN"/>
              </w:rPr>
            </w:pPr>
            <w:r>
              <w:rPr>
                <w:rFonts w:hint="eastAsia"/>
                <w:lang w:val="en-US" w:eastAsia="zh-CN"/>
              </w:rPr>
              <w:t>3.1噪声源强分析</w:t>
            </w:r>
          </w:p>
          <w:p>
            <w:pPr>
              <w:pStyle w:val="14"/>
              <w:bidi w:val="0"/>
            </w:pPr>
            <w:r>
              <w:rPr>
                <w:rFonts w:hint="eastAsia"/>
                <w:lang w:val="en-US" w:eastAsia="zh-CN"/>
              </w:rPr>
              <w:t>项目噪声主要为车辆进出加油站时产生的交通噪声和加油机等噪声，根据相关资料，泵类设备运行噪声值一般为70～75dB（A）。潜油泵运行噪声较低，且布置在地下，噪声传至地面后对外环境影响较小。</w:t>
            </w:r>
          </w:p>
          <w:p>
            <w:pPr>
              <w:pStyle w:val="36"/>
              <w:bidi w:val="0"/>
              <w:rPr>
                <w:rFonts w:hint="eastAsia"/>
              </w:rPr>
            </w:pPr>
            <w:r>
              <w:rPr>
                <w:rFonts w:hint="eastAsia"/>
              </w:rPr>
              <w:t>表</w:t>
            </w:r>
            <w:r>
              <w:t xml:space="preserve"> </w:t>
            </w:r>
            <w:r>
              <w:rPr>
                <w:rFonts w:hint="eastAsia"/>
                <w:lang w:val="en-US" w:eastAsia="zh-CN"/>
              </w:rPr>
              <w:t>4.2-16</w:t>
            </w:r>
            <w:r>
              <w:rPr>
                <w:rFonts w:hint="eastAsia"/>
              </w:rPr>
              <w:t>项目噪声产生及治理方式</w:t>
            </w:r>
          </w:p>
          <w:tbl>
            <w:tblPr>
              <w:tblStyle w:val="31"/>
              <w:tblW w:w="4998" w:type="pct"/>
              <w:tblInd w:w="1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397"/>
              <w:gridCol w:w="1210"/>
              <w:gridCol w:w="538"/>
              <w:gridCol w:w="914"/>
              <w:gridCol w:w="3681"/>
              <w:gridCol w:w="11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2" w:type="pct"/>
                  <w:tcBorders>
                    <w:tl2br w:val="nil"/>
                    <w:tr2bl w:val="nil"/>
                  </w:tcBorders>
                  <w:noWrap w:val="0"/>
                  <w:vAlign w:val="center"/>
                </w:tcPr>
                <w:p>
                  <w:pPr>
                    <w:pStyle w:val="35"/>
                    <w:bidi w:val="0"/>
                    <w:rPr>
                      <w:rFonts w:hint="default"/>
                    </w:rPr>
                  </w:pPr>
                  <w:r>
                    <w:rPr>
                      <w:rFonts w:hint="default"/>
                    </w:rPr>
                    <w:t>序号</w:t>
                  </w:r>
                </w:p>
              </w:tc>
              <w:tc>
                <w:tcPr>
                  <w:tcW w:w="766" w:type="pct"/>
                  <w:tcBorders>
                    <w:tl2br w:val="nil"/>
                    <w:tr2bl w:val="nil"/>
                  </w:tcBorders>
                  <w:noWrap w:val="0"/>
                  <w:vAlign w:val="center"/>
                </w:tcPr>
                <w:p>
                  <w:pPr>
                    <w:pStyle w:val="35"/>
                    <w:bidi w:val="0"/>
                    <w:rPr>
                      <w:rFonts w:hint="default"/>
                    </w:rPr>
                  </w:pPr>
                  <w:r>
                    <w:rPr>
                      <w:rFonts w:hint="default"/>
                    </w:rPr>
                    <w:t>设备名称</w:t>
                  </w:r>
                </w:p>
              </w:tc>
              <w:tc>
                <w:tcPr>
                  <w:tcW w:w="341" w:type="pct"/>
                  <w:tcBorders>
                    <w:tl2br w:val="nil"/>
                    <w:tr2bl w:val="nil"/>
                  </w:tcBorders>
                  <w:noWrap w:val="0"/>
                  <w:vAlign w:val="center"/>
                </w:tcPr>
                <w:p>
                  <w:pPr>
                    <w:pStyle w:val="35"/>
                    <w:bidi w:val="0"/>
                    <w:rPr>
                      <w:rFonts w:hint="default"/>
                    </w:rPr>
                  </w:pPr>
                  <w:r>
                    <w:rPr>
                      <w:rFonts w:hint="default"/>
                    </w:rPr>
                    <w:t>工作特性</w:t>
                  </w:r>
                </w:p>
              </w:tc>
              <w:tc>
                <w:tcPr>
                  <w:tcW w:w="579" w:type="pct"/>
                  <w:tcBorders>
                    <w:tl2br w:val="nil"/>
                    <w:tr2bl w:val="nil"/>
                  </w:tcBorders>
                  <w:noWrap w:val="0"/>
                  <w:vAlign w:val="center"/>
                </w:tcPr>
                <w:p>
                  <w:pPr>
                    <w:pStyle w:val="35"/>
                    <w:bidi w:val="0"/>
                    <w:rPr>
                      <w:rFonts w:hint="default"/>
                    </w:rPr>
                  </w:pPr>
                  <w:r>
                    <w:rPr>
                      <w:rFonts w:hint="default"/>
                    </w:rPr>
                    <w:t>源强 dB(A)</w:t>
                  </w:r>
                </w:p>
              </w:tc>
              <w:tc>
                <w:tcPr>
                  <w:tcW w:w="2331" w:type="pct"/>
                  <w:tcBorders>
                    <w:tl2br w:val="nil"/>
                    <w:tr2bl w:val="nil"/>
                  </w:tcBorders>
                  <w:noWrap w:val="0"/>
                  <w:vAlign w:val="center"/>
                </w:tcPr>
                <w:p>
                  <w:pPr>
                    <w:pStyle w:val="35"/>
                    <w:bidi w:val="0"/>
                    <w:rPr>
                      <w:rFonts w:hint="default"/>
                    </w:rPr>
                  </w:pPr>
                  <w:r>
                    <w:rPr>
                      <w:rFonts w:hint="default"/>
                    </w:rPr>
                    <w:t>采取措施</w:t>
                  </w:r>
                </w:p>
              </w:tc>
              <w:tc>
                <w:tcPr>
                  <w:tcW w:w="728" w:type="pct"/>
                  <w:tcBorders>
                    <w:tl2br w:val="nil"/>
                    <w:tr2bl w:val="nil"/>
                  </w:tcBorders>
                  <w:noWrap w:val="0"/>
                  <w:vAlign w:val="center"/>
                </w:tcPr>
                <w:p>
                  <w:pPr>
                    <w:pStyle w:val="35"/>
                    <w:bidi w:val="0"/>
                    <w:rPr>
                      <w:rFonts w:hint="default"/>
                      <w:lang w:val="en-US" w:eastAsia="zh-CN"/>
                    </w:rPr>
                  </w:pPr>
                  <w:r>
                    <w:rPr>
                      <w:rFonts w:hint="eastAsia"/>
                      <w:lang w:val="en-US" w:eastAsia="zh-CN"/>
                    </w:rPr>
                    <w:t>排放强度</w:t>
                  </w:r>
                  <w:r>
                    <w:rPr>
                      <w:rFonts w:hint="default"/>
                      <w:lang w:val="en-US" w:eastAsia="zh-CN"/>
                    </w:rPr>
                    <w:t>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2" w:type="pct"/>
                  <w:tcBorders>
                    <w:tl2br w:val="nil"/>
                    <w:tr2bl w:val="nil"/>
                  </w:tcBorders>
                  <w:noWrap w:val="0"/>
                  <w:vAlign w:val="center"/>
                </w:tcPr>
                <w:p>
                  <w:pPr>
                    <w:pStyle w:val="35"/>
                    <w:bidi w:val="0"/>
                    <w:rPr>
                      <w:rFonts w:hint="default"/>
                    </w:rPr>
                  </w:pPr>
                  <w:r>
                    <w:rPr>
                      <w:rFonts w:hint="default"/>
                      <w:lang w:val="en-US" w:eastAsia="zh-CN"/>
                    </w:rPr>
                    <w:t>1</w:t>
                  </w:r>
                </w:p>
              </w:tc>
              <w:tc>
                <w:tcPr>
                  <w:tcW w:w="766" w:type="pct"/>
                  <w:tcBorders>
                    <w:tl2br w:val="nil"/>
                    <w:tr2bl w:val="nil"/>
                  </w:tcBorders>
                  <w:noWrap w:val="0"/>
                  <w:vAlign w:val="center"/>
                </w:tcPr>
                <w:p>
                  <w:pPr>
                    <w:pStyle w:val="35"/>
                    <w:bidi w:val="0"/>
                    <w:rPr>
                      <w:rFonts w:hint="default"/>
                      <w:lang w:val="en-US" w:eastAsia="zh-CN"/>
                    </w:rPr>
                  </w:pPr>
                  <w:r>
                    <w:rPr>
                      <w:rFonts w:hint="eastAsia"/>
                      <w:lang w:val="en-US" w:eastAsia="zh-CN"/>
                    </w:rPr>
                    <w:t>潜油泵</w:t>
                  </w:r>
                </w:p>
              </w:tc>
              <w:tc>
                <w:tcPr>
                  <w:tcW w:w="341" w:type="pct"/>
                  <w:tcBorders>
                    <w:tl2br w:val="nil"/>
                    <w:tr2bl w:val="nil"/>
                  </w:tcBorders>
                  <w:noWrap w:val="0"/>
                  <w:vAlign w:val="center"/>
                </w:tcPr>
                <w:p>
                  <w:pPr>
                    <w:pStyle w:val="35"/>
                    <w:bidi w:val="0"/>
                    <w:rPr>
                      <w:rFonts w:hint="default"/>
                      <w:lang w:val="en-US" w:eastAsia="zh-CN"/>
                    </w:rPr>
                  </w:pPr>
                  <w:r>
                    <w:rPr>
                      <w:rFonts w:hint="eastAsia"/>
                      <w:lang w:val="en-US" w:eastAsia="zh-CN"/>
                    </w:rPr>
                    <w:t>间断</w:t>
                  </w:r>
                </w:p>
              </w:tc>
              <w:tc>
                <w:tcPr>
                  <w:tcW w:w="579" w:type="pct"/>
                  <w:tcBorders>
                    <w:tl2br w:val="nil"/>
                    <w:tr2bl w:val="nil"/>
                  </w:tcBorders>
                  <w:noWrap w:val="0"/>
                  <w:vAlign w:val="center"/>
                </w:tcPr>
                <w:p>
                  <w:pPr>
                    <w:pStyle w:val="35"/>
                    <w:bidi w:val="0"/>
                    <w:rPr>
                      <w:rFonts w:hint="default"/>
                      <w:lang w:val="en-US" w:eastAsia="zh-CN"/>
                    </w:rPr>
                  </w:pPr>
                  <w:r>
                    <w:rPr>
                      <w:rFonts w:hint="eastAsia"/>
                      <w:lang w:val="en-US" w:eastAsia="zh-CN"/>
                    </w:rPr>
                    <w:t>70~80</w:t>
                  </w:r>
                </w:p>
              </w:tc>
              <w:tc>
                <w:tcPr>
                  <w:tcW w:w="2331" w:type="pct"/>
                  <w:tcBorders>
                    <w:tl2br w:val="nil"/>
                    <w:tr2bl w:val="nil"/>
                  </w:tcBorders>
                  <w:noWrap w:val="0"/>
                  <w:vAlign w:val="center"/>
                </w:tcPr>
                <w:p>
                  <w:pPr>
                    <w:pStyle w:val="35"/>
                    <w:bidi w:val="0"/>
                    <w:rPr>
                      <w:rFonts w:hint="default"/>
                      <w:lang w:val="en-US" w:eastAsia="zh-CN"/>
                    </w:rPr>
                  </w:pPr>
                  <w:r>
                    <w:rPr>
                      <w:rFonts w:hint="default"/>
                      <w:lang w:val="en-US" w:eastAsia="zh-CN"/>
                    </w:rPr>
                    <w:t>位于地下；降噪量约20dB（A）</w:t>
                  </w:r>
                </w:p>
              </w:tc>
              <w:tc>
                <w:tcPr>
                  <w:tcW w:w="728" w:type="pct"/>
                  <w:tcBorders>
                    <w:tl2br w:val="nil"/>
                    <w:tr2bl w:val="nil"/>
                  </w:tcBorders>
                  <w:noWrap w:val="0"/>
                  <w:vAlign w:val="center"/>
                </w:tcPr>
                <w:p>
                  <w:pPr>
                    <w:pStyle w:val="35"/>
                    <w:bidi w:val="0"/>
                    <w:rPr>
                      <w:rFonts w:hint="default"/>
                      <w:lang w:val="en-US" w:eastAsia="zh-CN"/>
                    </w:rPr>
                  </w:pPr>
                  <w:r>
                    <w:rPr>
                      <w:rFonts w:hint="eastAsia"/>
                      <w:lang w:val="en-US" w:eastAsia="zh-CN"/>
                    </w:rPr>
                    <w:t>50~60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2" w:type="pct"/>
                  <w:tcBorders>
                    <w:tl2br w:val="nil"/>
                    <w:tr2bl w:val="nil"/>
                  </w:tcBorders>
                  <w:noWrap w:val="0"/>
                  <w:vAlign w:val="center"/>
                </w:tcPr>
                <w:p>
                  <w:pPr>
                    <w:pStyle w:val="35"/>
                    <w:bidi w:val="0"/>
                    <w:rPr>
                      <w:rFonts w:hint="default"/>
                      <w:lang w:val="en-US" w:eastAsia="zh-CN"/>
                    </w:rPr>
                  </w:pPr>
                  <w:r>
                    <w:rPr>
                      <w:rFonts w:hint="eastAsia"/>
                      <w:lang w:val="en-US" w:eastAsia="zh-CN"/>
                    </w:rPr>
                    <w:t>2</w:t>
                  </w:r>
                </w:p>
              </w:tc>
              <w:tc>
                <w:tcPr>
                  <w:tcW w:w="766" w:type="pct"/>
                  <w:tcBorders>
                    <w:tl2br w:val="nil"/>
                    <w:tr2bl w:val="nil"/>
                  </w:tcBorders>
                  <w:noWrap w:val="0"/>
                  <w:vAlign w:val="center"/>
                </w:tcPr>
                <w:p>
                  <w:pPr>
                    <w:pStyle w:val="35"/>
                    <w:bidi w:val="0"/>
                    <w:rPr>
                      <w:rFonts w:hint="default"/>
                      <w:lang w:val="en-US" w:eastAsia="zh-CN"/>
                    </w:rPr>
                  </w:pPr>
                  <w:r>
                    <w:rPr>
                      <w:rFonts w:hint="eastAsia"/>
                      <w:lang w:val="en-US" w:eastAsia="zh-CN"/>
                    </w:rPr>
                    <w:t>加油机</w:t>
                  </w:r>
                </w:p>
              </w:tc>
              <w:tc>
                <w:tcPr>
                  <w:tcW w:w="341" w:type="pct"/>
                  <w:tcBorders>
                    <w:tl2br w:val="nil"/>
                    <w:tr2bl w:val="nil"/>
                  </w:tcBorders>
                  <w:noWrap w:val="0"/>
                  <w:vAlign w:val="center"/>
                </w:tcPr>
                <w:p>
                  <w:pPr>
                    <w:pStyle w:val="35"/>
                    <w:bidi w:val="0"/>
                    <w:rPr>
                      <w:rFonts w:hint="eastAsia"/>
                      <w:lang w:val="en-US" w:eastAsia="zh-CN"/>
                    </w:rPr>
                  </w:pPr>
                  <w:r>
                    <w:rPr>
                      <w:rFonts w:hint="eastAsia"/>
                      <w:lang w:val="en-US" w:eastAsia="zh-CN"/>
                    </w:rPr>
                    <w:t>间断</w:t>
                  </w:r>
                </w:p>
              </w:tc>
              <w:tc>
                <w:tcPr>
                  <w:tcW w:w="579" w:type="pct"/>
                  <w:tcBorders>
                    <w:tl2br w:val="nil"/>
                    <w:tr2bl w:val="nil"/>
                  </w:tcBorders>
                  <w:noWrap w:val="0"/>
                  <w:vAlign w:val="center"/>
                </w:tcPr>
                <w:p>
                  <w:pPr>
                    <w:pStyle w:val="35"/>
                    <w:bidi w:val="0"/>
                    <w:rPr>
                      <w:rFonts w:hint="default"/>
                      <w:lang w:val="en-US" w:eastAsia="zh-CN"/>
                    </w:rPr>
                  </w:pPr>
                  <w:r>
                    <w:rPr>
                      <w:rFonts w:hint="eastAsia"/>
                      <w:lang w:val="en-US" w:eastAsia="zh-CN"/>
                    </w:rPr>
                    <w:t>50~55</w:t>
                  </w:r>
                </w:p>
              </w:tc>
              <w:tc>
                <w:tcPr>
                  <w:tcW w:w="2331" w:type="pct"/>
                  <w:tcBorders>
                    <w:tl2br w:val="nil"/>
                    <w:tr2bl w:val="nil"/>
                  </w:tcBorders>
                  <w:noWrap w:val="0"/>
                  <w:vAlign w:val="center"/>
                </w:tcPr>
                <w:p>
                  <w:pPr>
                    <w:pStyle w:val="35"/>
                    <w:bidi w:val="0"/>
                    <w:rPr>
                      <w:rFonts w:hint="default"/>
                      <w:lang w:val="zh-CN" w:eastAsia="zh-CN"/>
                    </w:rPr>
                  </w:pPr>
                  <w:r>
                    <w:rPr>
                      <w:rFonts w:hint="default"/>
                      <w:lang w:val="zh-CN" w:eastAsia="zh-CN"/>
                    </w:rPr>
                    <w:t>选用低噪声设备；降噪量约5dB（A）</w:t>
                  </w:r>
                </w:p>
              </w:tc>
              <w:tc>
                <w:tcPr>
                  <w:tcW w:w="728" w:type="pct"/>
                  <w:tcBorders>
                    <w:tl2br w:val="nil"/>
                    <w:tr2bl w:val="nil"/>
                  </w:tcBorders>
                  <w:noWrap w:val="0"/>
                  <w:vAlign w:val="center"/>
                </w:tcPr>
                <w:p>
                  <w:pPr>
                    <w:pStyle w:val="35"/>
                    <w:bidi w:val="0"/>
                    <w:rPr>
                      <w:rFonts w:hint="default"/>
                      <w:lang w:val="en-US" w:eastAsia="zh-CN"/>
                    </w:rPr>
                  </w:pPr>
                  <w:r>
                    <w:rPr>
                      <w:rFonts w:hint="eastAsia"/>
                      <w:lang w:val="en-US" w:eastAsia="zh-CN"/>
                    </w:rPr>
                    <w:t>40~50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2" w:type="pct"/>
                  <w:tcBorders>
                    <w:tl2br w:val="nil"/>
                    <w:tr2bl w:val="nil"/>
                  </w:tcBorders>
                  <w:noWrap w:val="0"/>
                  <w:vAlign w:val="center"/>
                </w:tcPr>
                <w:p>
                  <w:pPr>
                    <w:pStyle w:val="35"/>
                    <w:bidi w:val="0"/>
                    <w:rPr>
                      <w:rFonts w:hint="default"/>
                      <w:lang w:val="en-US" w:eastAsia="zh-CN"/>
                    </w:rPr>
                  </w:pPr>
                  <w:r>
                    <w:rPr>
                      <w:rFonts w:hint="eastAsia"/>
                      <w:lang w:val="en-US" w:eastAsia="zh-CN"/>
                    </w:rPr>
                    <w:t>3</w:t>
                  </w:r>
                </w:p>
              </w:tc>
              <w:tc>
                <w:tcPr>
                  <w:tcW w:w="766" w:type="pct"/>
                  <w:tcBorders>
                    <w:tl2br w:val="nil"/>
                    <w:tr2bl w:val="nil"/>
                  </w:tcBorders>
                  <w:noWrap w:val="0"/>
                  <w:vAlign w:val="center"/>
                </w:tcPr>
                <w:p>
                  <w:pPr>
                    <w:pStyle w:val="35"/>
                    <w:bidi w:val="0"/>
                    <w:rPr>
                      <w:rFonts w:hint="default"/>
                      <w:lang w:val="en-US" w:eastAsia="zh-CN"/>
                    </w:rPr>
                  </w:pPr>
                  <w:r>
                    <w:rPr>
                      <w:rFonts w:hint="eastAsia"/>
                      <w:lang w:val="en-US" w:eastAsia="zh-CN"/>
                    </w:rPr>
                    <w:t>进出车辆</w:t>
                  </w:r>
                </w:p>
              </w:tc>
              <w:tc>
                <w:tcPr>
                  <w:tcW w:w="341" w:type="pct"/>
                  <w:tcBorders>
                    <w:tl2br w:val="nil"/>
                    <w:tr2bl w:val="nil"/>
                  </w:tcBorders>
                  <w:noWrap w:val="0"/>
                  <w:vAlign w:val="center"/>
                </w:tcPr>
                <w:p>
                  <w:pPr>
                    <w:pStyle w:val="35"/>
                    <w:bidi w:val="0"/>
                    <w:rPr>
                      <w:rFonts w:hint="eastAsia"/>
                      <w:lang w:val="en-US" w:eastAsia="zh-CN"/>
                    </w:rPr>
                  </w:pPr>
                  <w:r>
                    <w:rPr>
                      <w:rFonts w:hint="eastAsia"/>
                      <w:lang w:val="en-US" w:eastAsia="zh-CN"/>
                    </w:rPr>
                    <w:t>间断</w:t>
                  </w:r>
                </w:p>
              </w:tc>
              <w:tc>
                <w:tcPr>
                  <w:tcW w:w="579" w:type="pct"/>
                  <w:tcBorders>
                    <w:tl2br w:val="nil"/>
                    <w:tr2bl w:val="nil"/>
                  </w:tcBorders>
                  <w:noWrap w:val="0"/>
                  <w:vAlign w:val="center"/>
                </w:tcPr>
                <w:p>
                  <w:pPr>
                    <w:pStyle w:val="35"/>
                    <w:bidi w:val="0"/>
                    <w:rPr>
                      <w:rFonts w:hint="default"/>
                      <w:lang w:val="en-US" w:eastAsia="zh-CN"/>
                    </w:rPr>
                  </w:pPr>
                  <w:r>
                    <w:rPr>
                      <w:rFonts w:hint="eastAsia"/>
                      <w:lang w:val="en-US" w:eastAsia="zh-CN"/>
                    </w:rPr>
                    <w:t>65~70</w:t>
                  </w:r>
                </w:p>
              </w:tc>
              <w:tc>
                <w:tcPr>
                  <w:tcW w:w="2331" w:type="pct"/>
                  <w:tcBorders>
                    <w:tl2br w:val="nil"/>
                    <w:tr2bl w:val="nil"/>
                  </w:tcBorders>
                  <w:noWrap w:val="0"/>
                  <w:vAlign w:val="center"/>
                </w:tcPr>
                <w:p>
                  <w:pPr>
                    <w:pStyle w:val="35"/>
                    <w:bidi w:val="0"/>
                    <w:rPr>
                      <w:rFonts w:hint="default"/>
                      <w:lang w:val="en-US" w:eastAsia="zh-CN"/>
                    </w:rPr>
                  </w:pPr>
                  <w:r>
                    <w:rPr>
                      <w:rFonts w:hint="eastAsia"/>
                      <w:lang w:val="en-US" w:eastAsia="zh-CN"/>
                    </w:rPr>
                    <w:t>/</w:t>
                  </w:r>
                </w:p>
              </w:tc>
              <w:tc>
                <w:tcPr>
                  <w:tcW w:w="728" w:type="pct"/>
                  <w:tcBorders>
                    <w:tl2br w:val="nil"/>
                    <w:tr2bl w:val="nil"/>
                  </w:tcBorders>
                  <w:noWrap w:val="0"/>
                  <w:vAlign w:val="center"/>
                </w:tcPr>
                <w:p>
                  <w:pPr>
                    <w:pStyle w:val="35"/>
                    <w:bidi w:val="0"/>
                    <w:rPr>
                      <w:rFonts w:hint="eastAsia"/>
                      <w:lang w:val="en-US" w:eastAsia="zh-CN"/>
                    </w:rPr>
                  </w:pPr>
                  <w:r>
                    <w:rPr>
                      <w:rFonts w:hint="eastAsia"/>
                      <w:lang w:val="en-US" w:eastAsia="zh-CN"/>
                    </w:rPr>
                    <w:t>65~70</w:t>
                  </w:r>
                </w:p>
              </w:tc>
            </w:tr>
          </w:tbl>
          <w:p>
            <w:pPr>
              <w:pStyle w:val="14"/>
              <w:bidi w:val="0"/>
              <w:rPr>
                <w:rFonts w:hint="eastAsia"/>
                <w:lang w:val="en-US" w:eastAsia="zh-CN"/>
              </w:rPr>
            </w:pPr>
            <w:r>
              <w:rPr>
                <w:rFonts w:hint="eastAsia"/>
                <w:lang w:val="en-US" w:eastAsia="zh-CN"/>
              </w:rPr>
              <w:t>3.2声达标分析</w:t>
            </w:r>
          </w:p>
          <w:p>
            <w:pPr>
              <w:pStyle w:val="14"/>
              <w:bidi w:val="0"/>
              <w:rPr>
                <w:rFonts w:hint="eastAsia"/>
                <w:lang w:eastAsia="zh-CN"/>
              </w:rPr>
            </w:pPr>
            <w:r>
              <w:t>采用噪声预测模式进行预测计算</w:t>
            </w:r>
            <w:r>
              <w:rPr>
                <w:rFonts w:hint="eastAsia"/>
                <w:lang w:eastAsia="zh-CN"/>
              </w:rPr>
              <w:t>。</w:t>
            </w:r>
          </w:p>
          <w:p>
            <w:pPr>
              <w:pStyle w:val="14"/>
              <w:bidi w:val="0"/>
            </w:pPr>
            <w:r>
              <w:t>根据《环境影响评价技术导则-声环境》（HJ2.4-20</w:t>
            </w:r>
            <w:r>
              <w:rPr>
                <w:rFonts w:hint="eastAsia"/>
                <w:lang w:val="en-US" w:eastAsia="zh-CN"/>
              </w:rPr>
              <w:t>21</w:t>
            </w:r>
            <w:r>
              <w:t>）的技术要求，将一个由多个点声源组成的复合声源，即把</w:t>
            </w:r>
            <w:r>
              <w:rPr>
                <w:rFonts w:hint="eastAsia"/>
                <w:lang w:eastAsia="zh-CN"/>
              </w:rPr>
              <w:t>生产车间</w:t>
            </w:r>
            <w:r>
              <w:t>综合利用设施视为点声源</w:t>
            </w:r>
            <w:r>
              <w:rPr>
                <w:rFonts w:hint="eastAsia"/>
                <w:lang w:eastAsia="zh-CN"/>
              </w:rPr>
              <w:t>。</w:t>
            </w:r>
            <w:r>
              <w:t>本次评价采取导则上推荐模式。</w:t>
            </w:r>
          </w:p>
          <w:p>
            <w:pPr>
              <w:ind w:firstLine="480"/>
            </w:pPr>
            <w:r>
              <w:rPr>
                <w:rFonts w:hint="eastAsia" w:ascii="宋体" w:hAnsi="宋体" w:eastAsia="宋体" w:cs="宋体"/>
              </w:rPr>
              <w:t>①</w:t>
            </w:r>
            <w:r>
              <w:t>声级计算</w:t>
            </w:r>
          </w:p>
          <w:p>
            <w:pPr>
              <w:ind w:firstLine="480"/>
            </w:pPr>
            <w:r>
              <w:t>建设项目声源在预测点产生的等效声级贡献值（Leqg）计算公式：</w:t>
            </w:r>
          </w:p>
          <w:p>
            <w:pPr>
              <w:ind w:firstLine="480"/>
              <w:jc w:val="center"/>
            </w:pPr>
            <w:r>
              <w:drawing>
                <wp:inline distT="0" distB="0" distL="114300" distR="114300">
                  <wp:extent cx="2111375" cy="428625"/>
                  <wp:effectExtent l="0" t="0" r="0" b="8890"/>
                  <wp:docPr id="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7"/>
                          <pic:cNvPicPr>
                            <a:picLocks noChangeAspect="1"/>
                          </pic:cNvPicPr>
                        </pic:nvPicPr>
                        <pic:blipFill>
                          <a:blip r:embed="rId21"/>
                          <a:stretch>
                            <a:fillRect/>
                          </a:stretch>
                        </pic:blipFill>
                        <pic:spPr>
                          <a:xfrm>
                            <a:off x="0" y="0"/>
                            <a:ext cx="2111375" cy="428625"/>
                          </a:xfrm>
                          <a:prstGeom prst="rect">
                            <a:avLst/>
                          </a:prstGeom>
                          <a:noFill/>
                          <a:ln>
                            <a:noFill/>
                          </a:ln>
                        </pic:spPr>
                      </pic:pic>
                    </a:graphicData>
                  </a:graphic>
                </wp:inline>
              </w:drawing>
            </w:r>
          </w:p>
          <w:p>
            <w:pPr>
              <w:ind w:firstLine="480"/>
            </w:pPr>
            <w:r>
              <w:t>式中：L</w:t>
            </w:r>
            <w:r>
              <w:rPr>
                <w:vertAlign w:val="subscript"/>
              </w:rPr>
              <w:t>eqg</w:t>
            </w:r>
            <w:r>
              <w:t>---建设项目声源在预测点的等效声级贡献值，dB（A）；</w:t>
            </w:r>
          </w:p>
          <w:p>
            <w:pPr>
              <w:ind w:firstLine="1200" w:firstLineChars="500"/>
            </w:pPr>
            <w:r>
              <w:t>L</w:t>
            </w:r>
            <w:r>
              <w:rPr>
                <w:vertAlign w:val="subscript"/>
              </w:rPr>
              <w:t>Ai</w:t>
            </w:r>
            <w:r>
              <w:t xml:space="preserve"> ---i声源在预测点产生的A声级，dB（A）；</w:t>
            </w:r>
          </w:p>
          <w:p>
            <w:pPr>
              <w:ind w:firstLine="1200" w:firstLineChars="500"/>
            </w:pPr>
            <w:r>
              <w:t>T  ---预测计算的时间段，s；</w:t>
            </w:r>
          </w:p>
          <w:p>
            <w:pPr>
              <w:ind w:firstLine="1200" w:firstLineChars="500"/>
            </w:pPr>
            <w:r>
              <w:t>ti  ---i声源在T时段内的运行时间，s。</w:t>
            </w:r>
          </w:p>
          <w:p>
            <w:pPr>
              <w:ind w:firstLine="480"/>
            </w:pPr>
            <w:r>
              <w:rPr>
                <w:rFonts w:hint="eastAsia" w:ascii="宋体" w:hAnsi="宋体" w:eastAsia="宋体" w:cs="宋体"/>
              </w:rPr>
              <w:t>②</w:t>
            </w:r>
            <w:r>
              <w:t>预测点的预测等效声级（Leq）计算公式</w:t>
            </w:r>
          </w:p>
          <w:p>
            <w:pPr>
              <w:ind w:firstLine="480"/>
              <w:jc w:val="center"/>
            </w:pPr>
            <w:r>
              <w:drawing>
                <wp:inline distT="0" distB="0" distL="114300" distR="114300">
                  <wp:extent cx="2285365" cy="361950"/>
                  <wp:effectExtent l="0" t="0" r="0" b="0"/>
                  <wp:docPr id="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8"/>
                          <pic:cNvPicPr>
                            <a:picLocks noChangeAspect="1"/>
                          </pic:cNvPicPr>
                        </pic:nvPicPr>
                        <pic:blipFill>
                          <a:blip r:embed="rId22"/>
                          <a:stretch>
                            <a:fillRect/>
                          </a:stretch>
                        </pic:blipFill>
                        <pic:spPr>
                          <a:xfrm>
                            <a:off x="0" y="0"/>
                            <a:ext cx="2285365" cy="361950"/>
                          </a:xfrm>
                          <a:prstGeom prst="rect">
                            <a:avLst/>
                          </a:prstGeom>
                          <a:noFill/>
                          <a:ln>
                            <a:noFill/>
                          </a:ln>
                        </pic:spPr>
                      </pic:pic>
                    </a:graphicData>
                  </a:graphic>
                </wp:inline>
              </w:drawing>
            </w:r>
          </w:p>
          <w:p>
            <w:pPr>
              <w:ind w:firstLine="480"/>
            </w:pPr>
            <w:r>
              <w:t>式中：L</w:t>
            </w:r>
            <w:r>
              <w:rPr>
                <w:vertAlign w:val="subscript"/>
              </w:rPr>
              <w:t>eqg</w:t>
            </w:r>
            <w:r>
              <w:t>---建设项目声源在预测点的等效声级贡献值，dB（A）；</w:t>
            </w:r>
          </w:p>
          <w:p>
            <w:pPr>
              <w:ind w:firstLine="1200" w:firstLineChars="500"/>
            </w:pPr>
            <w:r>
              <w:t>L</w:t>
            </w:r>
            <w:r>
              <w:rPr>
                <w:vertAlign w:val="subscript"/>
              </w:rPr>
              <w:t>eqb</w:t>
            </w:r>
            <w:r>
              <w:t>---预测点的背景值，dB（A）。</w:t>
            </w:r>
          </w:p>
          <w:p>
            <w:pPr>
              <w:ind w:firstLine="480"/>
            </w:pPr>
            <w:r>
              <w:rPr>
                <w:rFonts w:hint="eastAsia" w:ascii="宋体" w:hAnsi="宋体" w:eastAsia="宋体" w:cs="宋体"/>
              </w:rPr>
              <w:t>③</w:t>
            </w:r>
            <w:r>
              <w:t>户外声传播衰减计算</w:t>
            </w:r>
          </w:p>
          <w:p>
            <w:pPr>
              <w:ind w:firstLine="480"/>
            </w:pPr>
            <w:r>
              <w:t>户外声传播衰减包括几何发散（A</w:t>
            </w:r>
            <w:r>
              <w:rPr>
                <w:vertAlign w:val="subscript"/>
              </w:rPr>
              <w:t>div</w:t>
            </w:r>
            <w:r>
              <w:t>）、大气吸收（A</w:t>
            </w:r>
            <w:r>
              <w:rPr>
                <w:vertAlign w:val="subscript"/>
              </w:rPr>
              <w:t>atm</w:t>
            </w:r>
            <w:r>
              <w:t>）、地面效应（A</w:t>
            </w:r>
            <w:r>
              <w:rPr>
                <w:vertAlign w:val="subscript"/>
              </w:rPr>
              <w:t>gr</w:t>
            </w:r>
            <w:r>
              <w:t>）屏障屏蔽（A</w:t>
            </w:r>
            <w:r>
              <w:rPr>
                <w:vertAlign w:val="subscript"/>
              </w:rPr>
              <w:t>bar</w:t>
            </w:r>
            <w:r>
              <w:t>）、其他多方面效应（A</w:t>
            </w:r>
            <w:r>
              <w:rPr>
                <w:vertAlign w:val="subscript"/>
              </w:rPr>
              <w:t>misc</w:t>
            </w:r>
            <w:r>
              <w:t>）引起的衰减。</w:t>
            </w:r>
          </w:p>
          <w:p>
            <w:pPr>
              <w:ind w:firstLine="480"/>
            </w:pPr>
            <w:r>
              <w:t>距声源点r处的A声级按下式计算：</w:t>
            </w:r>
          </w:p>
          <w:p>
            <w:pPr>
              <w:ind w:firstLine="480"/>
            </w:pPr>
            <w:r>
              <w:t>L</w:t>
            </w:r>
            <w:r>
              <w:rPr>
                <w:vertAlign w:val="subscript"/>
              </w:rPr>
              <w:t>p</w:t>
            </w:r>
            <w:r>
              <w:t>（r）=L</w:t>
            </w:r>
            <w:r>
              <w:rPr>
                <w:vertAlign w:val="subscript"/>
              </w:rPr>
              <w:t>p</w:t>
            </w:r>
            <w:r>
              <w:t>（r</w:t>
            </w:r>
            <w:r>
              <w:rPr>
                <w:vertAlign w:val="subscript"/>
              </w:rPr>
              <w:t>0</w:t>
            </w:r>
            <w:r>
              <w:t>）-（A</w:t>
            </w:r>
            <w:r>
              <w:rPr>
                <w:vertAlign w:val="subscript"/>
              </w:rPr>
              <w:t>div</w:t>
            </w:r>
            <w:r>
              <w:t xml:space="preserve"> + A</w:t>
            </w:r>
            <w:r>
              <w:rPr>
                <w:vertAlign w:val="subscript"/>
              </w:rPr>
              <w:t xml:space="preserve">atm </w:t>
            </w:r>
            <w:r>
              <w:t>+ A</w:t>
            </w:r>
            <w:r>
              <w:rPr>
                <w:vertAlign w:val="subscript"/>
              </w:rPr>
              <w:t>gr</w:t>
            </w:r>
            <w:r>
              <w:t xml:space="preserve"> + A</w:t>
            </w:r>
            <w:r>
              <w:rPr>
                <w:vertAlign w:val="subscript"/>
              </w:rPr>
              <w:t>bar</w:t>
            </w:r>
            <w:r>
              <w:t xml:space="preserve"> + A</w:t>
            </w:r>
            <w:r>
              <w:rPr>
                <w:vertAlign w:val="subscript"/>
              </w:rPr>
              <w:t>misc</w:t>
            </w:r>
            <w:r>
              <w:t>）</w:t>
            </w:r>
          </w:p>
          <w:p>
            <w:pPr>
              <w:ind w:firstLine="480"/>
            </w:pPr>
            <w:r>
              <w:t>在预测中考虑反射引起的修正、屏障引起的衰减、双绕射、室内声源等效室外声源等影响和计算方法。</w:t>
            </w:r>
          </w:p>
          <w:p>
            <w:pPr>
              <w:pStyle w:val="14"/>
              <w:bidi w:val="0"/>
            </w:pPr>
            <w:r>
              <w:rPr>
                <w:rFonts w:hint="eastAsia"/>
                <w:lang w:val="en-US" w:eastAsia="zh-CN"/>
              </w:rPr>
              <w:t>3）</w:t>
            </w:r>
            <w:r>
              <w:t>预测结果与评价</w:t>
            </w:r>
          </w:p>
          <w:p>
            <w:pPr>
              <w:pStyle w:val="14"/>
              <w:bidi w:val="0"/>
            </w:pPr>
            <w:r>
              <w:t>对项目厂区边界的噪声贡献值进行预测，预测结果见</w:t>
            </w:r>
            <w:r>
              <w:rPr>
                <w:rFonts w:hint="eastAsia"/>
                <w:lang w:eastAsia="zh-CN"/>
              </w:rPr>
              <w:t>下</w:t>
            </w:r>
            <w:r>
              <w:t>表。</w:t>
            </w:r>
          </w:p>
          <w:p>
            <w:pPr>
              <w:pStyle w:val="36"/>
              <w:bidi w:val="0"/>
            </w:pPr>
            <w:r>
              <w:t>表</w:t>
            </w:r>
            <w:r>
              <w:rPr>
                <w:rFonts w:hint="eastAsia"/>
                <w:lang w:val="en-US" w:eastAsia="zh-CN"/>
              </w:rPr>
              <w:t>4</w:t>
            </w:r>
            <w:r>
              <w:t>.2-</w:t>
            </w:r>
            <w:r>
              <w:rPr>
                <w:rFonts w:hint="eastAsia"/>
                <w:lang w:val="en-US" w:eastAsia="zh-CN"/>
              </w:rPr>
              <w:t>17</w:t>
            </w:r>
            <w:r>
              <w:t xml:space="preserve"> 拟建项目厂界的噪声影响分析 单位：dB(A)</w:t>
            </w:r>
          </w:p>
          <w:tbl>
            <w:tblPr>
              <w:tblStyle w:val="31"/>
              <w:tblW w:w="7900" w:type="dxa"/>
              <w:jc w:val="center"/>
              <w:tblLayout w:type="autofit"/>
              <w:tblCellMar>
                <w:top w:w="0" w:type="dxa"/>
                <w:left w:w="10" w:type="dxa"/>
                <w:bottom w:w="0" w:type="dxa"/>
                <w:right w:w="10" w:type="dxa"/>
              </w:tblCellMar>
            </w:tblPr>
            <w:tblGrid>
              <w:gridCol w:w="1184"/>
              <w:gridCol w:w="915"/>
              <w:gridCol w:w="1337"/>
              <w:gridCol w:w="1530"/>
              <w:gridCol w:w="1350"/>
              <w:gridCol w:w="1584"/>
            </w:tblGrid>
            <w:tr>
              <w:tblPrEx>
                <w:tblCellMar>
                  <w:top w:w="0" w:type="dxa"/>
                  <w:left w:w="10" w:type="dxa"/>
                  <w:bottom w:w="0" w:type="dxa"/>
                  <w:right w:w="10" w:type="dxa"/>
                </w:tblCellMar>
              </w:tblPrEx>
              <w:trPr>
                <w:trHeight w:val="737" w:hRule="exact"/>
                <w:jc w:val="center"/>
              </w:trPr>
              <w:tc>
                <w:tcPr>
                  <w:tcW w:w="750" w:type="pct"/>
                  <w:vMerge w:val="restart"/>
                  <w:tcBorders>
                    <w:top w:val="single" w:color="auto" w:sz="4" w:space="0"/>
                    <w:left w:val="single" w:color="auto" w:sz="4" w:space="0"/>
                  </w:tcBorders>
                  <w:shd w:val="clear" w:color="auto" w:fill="FFFFFF"/>
                  <w:noWrap w:val="0"/>
                  <w:vAlign w:val="center"/>
                </w:tcPr>
                <w:p>
                  <w:pPr>
                    <w:pStyle w:val="35"/>
                    <w:bidi w:val="0"/>
                  </w:pPr>
                  <w:r>
                    <w:rPr>
                      <w:rFonts w:hint="default"/>
                    </w:rPr>
                    <w:t>设备名称</w:t>
                  </w:r>
                </w:p>
              </w:tc>
              <w:tc>
                <w:tcPr>
                  <w:tcW w:w="579" w:type="pct"/>
                  <w:vMerge w:val="restart"/>
                  <w:tcBorders>
                    <w:top w:val="single" w:color="auto" w:sz="4" w:space="0"/>
                    <w:left w:val="single" w:color="auto" w:sz="4" w:space="0"/>
                    <w:right w:val="single" w:color="auto" w:sz="4" w:space="0"/>
                  </w:tcBorders>
                  <w:shd w:val="clear" w:color="auto" w:fill="FFFFFF"/>
                  <w:noWrap w:val="0"/>
                  <w:vAlign w:val="center"/>
                </w:tcPr>
                <w:p>
                  <w:pPr>
                    <w:pStyle w:val="35"/>
                    <w:bidi w:val="0"/>
                    <w:jc w:val="center"/>
                    <w:rPr>
                      <w:rFonts w:ascii="Times New Roman" w:hAnsi="Times New Roman" w:eastAsia="宋体" w:cs="Times New Roman"/>
                      <w:kern w:val="0"/>
                      <w:sz w:val="21"/>
                      <w:szCs w:val="21"/>
                      <w:lang w:val="en-US" w:eastAsia="zh-CN" w:bidi="ar-SA"/>
                    </w:rPr>
                  </w:pPr>
                  <w:r>
                    <w:t>治理后噪声叠加值</w:t>
                  </w:r>
                </w:p>
              </w:tc>
              <w:tc>
                <w:tcPr>
                  <w:tcW w:w="3670" w:type="pct"/>
                  <w:gridSpan w:val="4"/>
                  <w:tcBorders>
                    <w:top w:val="single" w:color="auto" w:sz="4" w:space="0"/>
                    <w:left w:val="single" w:color="auto" w:sz="4" w:space="0"/>
                    <w:right w:val="single" w:color="auto" w:sz="4" w:space="0"/>
                  </w:tcBorders>
                  <w:shd w:val="clear" w:color="auto" w:fill="FFFFFF"/>
                  <w:noWrap w:val="0"/>
                  <w:vAlign w:val="center"/>
                </w:tcPr>
                <w:p>
                  <w:pPr>
                    <w:pStyle w:val="35"/>
                    <w:bidi w:val="0"/>
                    <w:jc w:val="center"/>
                  </w:pPr>
                  <w:r>
                    <w:t>噪声贡献值</w:t>
                  </w:r>
                </w:p>
              </w:tc>
            </w:tr>
            <w:tr>
              <w:tblPrEx>
                <w:tblCellMar>
                  <w:top w:w="0" w:type="dxa"/>
                  <w:left w:w="10" w:type="dxa"/>
                  <w:bottom w:w="0" w:type="dxa"/>
                  <w:right w:w="10" w:type="dxa"/>
                </w:tblCellMar>
              </w:tblPrEx>
              <w:trPr>
                <w:trHeight w:val="737" w:hRule="exact"/>
                <w:jc w:val="center"/>
              </w:trPr>
              <w:tc>
                <w:tcPr>
                  <w:tcW w:w="750" w:type="pct"/>
                  <w:vMerge w:val="continue"/>
                  <w:tcBorders>
                    <w:left w:val="single" w:color="auto" w:sz="4" w:space="0"/>
                  </w:tcBorders>
                  <w:shd w:val="clear" w:color="auto" w:fill="FFFFFF"/>
                  <w:noWrap w:val="0"/>
                  <w:vAlign w:val="center"/>
                </w:tcPr>
                <w:p>
                  <w:pPr>
                    <w:pStyle w:val="35"/>
                    <w:bidi w:val="0"/>
                    <w:jc w:val="center"/>
                  </w:pPr>
                </w:p>
              </w:tc>
              <w:tc>
                <w:tcPr>
                  <w:tcW w:w="579" w:type="pct"/>
                  <w:vMerge w:val="continue"/>
                  <w:tcBorders>
                    <w:left w:val="single" w:color="auto" w:sz="4" w:space="0"/>
                    <w:right w:val="single" w:color="auto" w:sz="4" w:space="0"/>
                  </w:tcBorders>
                  <w:shd w:val="clear" w:color="auto" w:fill="FFFFFF"/>
                  <w:noWrap w:val="0"/>
                  <w:vAlign w:val="center"/>
                </w:tcPr>
                <w:p>
                  <w:pPr>
                    <w:pStyle w:val="35"/>
                    <w:bidi w:val="0"/>
                    <w:jc w:val="center"/>
                    <w:rPr>
                      <w:rFonts w:ascii="Times New Roman" w:hAnsi="Times New Roman" w:eastAsia="宋体" w:cs="Times New Roman"/>
                      <w:kern w:val="0"/>
                      <w:sz w:val="21"/>
                      <w:szCs w:val="21"/>
                      <w:lang w:val="en-US" w:eastAsia="zh-CN" w:bidi="ar-SA"/>
                    </w:rPr>
                  </w:pPr>
                </w:p>
              </w:tc>
              <w:tc>
                <w:tcPr>
                  <w:tcW w:w="846" w:type="pct"/>
                  <w:tcBorders>
                    <w:top w:val="single" w:color="auto" w:sz="4" w:space="0"/>
                    <w:left w:val="single" w:color="auto" w:sz="4" w:space="0"/>
                  </w:tcBorders>
                  <w:shd w:val="clear" w:color="auto" w:fill="FFFFFF"/>
                  <w:noWrap w:val="0"/>
                  <w:vAlign w:val="center"/>
                </w:tcPr>
                <w:p>
                  <w:pPr>
                    <w:pStyle w:val="35"/>
                    <w:bidi w:val="0"/>
                    <w:jc w:val="center"/>
                  </w:pPr>
                  <w:r>
                    <w:t>距东厂界</w:t>
                  </w:r>
                  <w:r>
                    <w:rPr>
                      <w:rFonts w:hint="eastAsia"/>
                      <w:lang w:val="en-US" w:eastAsia="zh-CN"/>
                    </w:rPr>
                    <w:t>14</w:t>
                  </w:r>
                  <w:r>
                    <w:t>米</w:t>
                  </w:r>
                </w:p>
              </w:tc>
              <w:tc>
                <w:tcPr>
                  <w:tcW w:w="968" w:type="pct"/>
                  <w:tcBorders>
                    <w:top w:val="single" w:color="auto" w:sz="4" w:space="0"/>
                    <w:left w:val="single" w:color="auto" w:sz="4" w:space="0"/>
                  </w:tcBorders>
                  <w:shd w:val="clear" w:color="auto" w:fill="FFFFFF"/>
                  <w:noWrap w:val="0"/>
                  <w:vAlign w:val="center"/>
                </w:tcPr>
                <w:p>
                  <w:pPr>
                    <w:pStyle w:val="35"/>
                    <w:bidi w:val="0"/>
                    <w:jc w:val="center"/>
                  </w:pPr>
                  <w:r>
                    <w:t>距南厂界</w:t>
                  </w:r>
                  <w:r>
                    <w:rPr>
                      <w:rFonts w:hint="eastAsia"/>
                      <w:lang w:val="en-US" w:eastAsia="zh-CN"/>
                    </w:rPr>
                    <w:t>11</w:t>
                  </w:r>
                  <w:r>
                    <w:t>米</w:t>
                  </w:r>
                </w:p>
              </w:tc>
              <w:tc>
                <w:tcPr>
                  <w:tcW w:w="854" w:type="pct"/>
                  <w:tcBorders>
                    <w:top w:val="single" w:color="auto" w:sz="4" w:space="0"/>
                    <w:left w:val="single" w:color="auto" w:sz="4" w:space="0"/>
                  </w:tcBorders>
                  <w:shd w:val="clear" w:color="auto" w:fill="FFFFFF"/>
                  <w:noWrap w:val="0"/>
                  <w:vAlign w:val="center"/>
                </w:tcPr>
                <w:p>
                  <w:pPr>
                    <w:pStyle w:val="35"/>
                    <w:bidi w:val="0"/>
                    <w:jc w:val="center"/>
                  </w:pPr>
                  <w:r>
                    <w:t>距西厂界</w:t>
                  </w:r>
                  <w:r>
                    <w:rPr>
                      <w:rFonts w:hint="eastAsia"/>
                      <w:lang w:val="en-US" w:eastAsia="zh-CN"/>
                    </w:rPr>
                    <w:t>52</w:t>
                  </w:r>
                  <w:r>
                    <w:t>米</w:t>
                  </w:r>
                </w:p>
              </w:tc>
              <w:tc>
                <w:tcPr>
                  <w:tcW w:w="1001" w:type="pct"/>
                  <w:tcBorders>
                    <w:top w:val="single" w:color="auto" w:sz="4" w:space="0"/>
                    <w:left w:val="single" w:color="auto" w:sz="4" w:space="0"/>
                    <w:right w:val="single" w:color="auto" w:sz="4" w:space="0"/>
                  </w:tcBorders>
                  <w:shd w:val="clear" w:color="auto" w:fill="FFFFFF"/>
                  <w:noWrap w:val="0"/>
                  <w:vAlign w:val="center"/>
                </w:tcPr>
                <w:p>
                  <w:pPr>
                    <w:pStyle w:val="35"/>
                    <w:bidi w:val="0"/>
                    <w:jc w:val="center"/>
                  </w:pPr>
                  <w:r>
                    <w:t>距北厂界</w:t>
                  </w:r>
                  <w:r>
                    <w:rPr>
                      <w:rFonts w:hint="eastAsia"/>
                      <w:lang w:val="en-US" w:eastAsia="zh-CN"/>
                    </w:rPr>
                    <w:t>20</w:t>
                  </w:r>
                  <w:r>
                    <w:t>米</w:t>
                  </w:r>
                </w:p>
              </w:tc>
            </w:tr>
            <w:tr>
              <w:tblPrEx>
                <w:tblCellMar>
                  <w:top w:w="0" w:type="dxa"/>
                  <w:left w:w="10" w:type="dxa"/>
                  <w:bottom w:w="0" w:type="dxa"/>
                  <w:right w:w="10" w:type="dxa"/>
                </w:tblCellMar>
              </w:tblPrEx>
              <w:trPr>
                <w:trHeight w:val="737" w:hRule="exact"/>
                <w:jc w:val="center"/>
              </w:trPr>
              <w:tc>
                <w:tcPr>
                  <w:tcW w:w="750" w:type="pct"/>
                  <w:tcBorders>
                    <w:top w:val="single" w:color="auto" w:sz="4" w:space="0"/>
                    <w:left w:val="single" w:color="auto" w:sz="4" w:space="0"/>
                    <w:bottom w:val="single" w:color="auto" w:sz="4" w:space="0"/>
                  </w:tcBorders>
                  <w:shd w:val="clear" w:color="auto" w:fill="FFFFFF"/>
                  <w:noWrap w:val="0"/>
                  <w:vAlign w:val="center"/>
                </w:tcPr>
                <w:p>
                  <w:pPr>
                    <w:pStyle w:val="35"/>
                    <w:bidi w:val="0"/>
                    <w:rPr>
                      <w:rFonts w:hint="default" w:eastAsia="宋体"/>
                      <w:lang w:val="en-US" w:eastAsia="zh-CN"/>
                    </w:rPr>
                  </w:pPr>
                  <w:r>
                    <w:rPr>
                      <w:rFonts w:hint="eastAsia"/>
                      <w:lang w:val="en-US" w:eastAsia="zh-CN"/>
                    </w:rPr>
                    <w:t>加油区</w:t>
                  </w:r>
                </w:p>
              </w:tc>
              <w:tc>
                <w:tcPr>
                  <w:tcW w:w="579" w:type="pct"/>
                  <w:tcBorders>
                    <w:top w:val="single" w:color="auto" w:sz="4" w:space="0"/>
                    <w:left w:val="single" w:color="auto" w:sz="4" w:space="0"/>
                    <w:bottom w:val="single" w:color="auto" w:sz="4" w:space="0"/>
                  </w:tcBorders>
                  <w:shd w:val="clear" w:color="auto" w:fill="FFFFFF"/>
                  <w:noWrap w:val="0"/>
                  <w:vAlign w:val="center"/>
                </w:tcPr>
                <w:p>
                  <w:pPr>
                    <w:pStyle w:val="35"/>
                    <w:bidi w:val="0"/>
                    <w:jc w:val="center"/>
                    <w:rPr>
                      <w:rFonts w:hint="eastAsia" w:ascii="Times New Roman" w:hAnsi="Times New Roman" w:eastAsia="宋体" w:cs="Times New Roman"/>
                      <w:kern w:val="0"/>
                      <w:sz w:val="21"/>
                      <w:szCs w:val="21"/>
                      <w:lang w:val="en-US" w:eastAsia="zh-CN" w:bidi="ar-SA"/>
                    </w:rPr>
                  </w:pPr>
                  <w:r>
                    <w:rPr>
                      <w:rFonts w:hint="eastAsia"/>
                      <w:lang w:val="en-US" w:eastAsia="zh-CN"/>
                    </w:rPr>
                    <w:t>56.19</w:t>
                  </w:r>
                </w:p>
              </w:tc>
              <w:tc>
                <w:tcPr>
                  <w:tcW w:w="846" w:type="pct"/>
                  <w:tcBorders>
                    <w:top w:val="single" w:color="auto" w:sz="4" w:space="0"/>
                    <w:left w:val="single" w:color="auto" w:sz="4" w:space="0"/>
                    <w:bottom w:val="single" w:color="auto" w:sz="4" w:space="0"/>
                  </w:tcBorders>
                  <w:shd w:val="clear" w:color="auto" w:fill="FFFFFF"/>
                  <w:noWrap w:val="0"/>
                  <w:vAlign w:val="center"/>
                </w:tcPr>
                <w:p>
                  <w:pPr>
                    <w:pStyle w:val="35"/>
                    <w:bidi w:val="0"/>
                    <w:jc w:val="center"/>
                    <w:rPr>
                      <w:rFonts w:hint="default" w:eastAsia="宋体"/>
                      <w:lang w:val="en-US" w:eastAsia="zh-CN"/>
                    </w:rPr>
                  </w:pPr>
                  <w:r>
                    <w:rPr>
                      <w:rFonts w:hint="eastAsia" w:eastAsia="宋体"/>
                      <w:lang w:val="en-US" w:eastAsia="zh-CN"/>
                    </w:rPr>
                    <w:t>33.26</w:t>
                  </w:r>
                </w:p>
              </w:tc>
              <w:tc>
                <w:tcPr>
                  <w:tcW w:w="968" w:type="pct"/>
                  <w:tcBorders>
                    <w:top w:val="single" w:color="auto" w:sz="4" w:space="0"/>
                    <w:left w:val="single" w:color="auto" w:sz="4" w:space="0"/>
                    <w:bottom w:val="single" w:color="auto" w:sz="4" w:space="0"/>
                  </w:tcBorders>
                  <w:shd w:val="clear" w:color="auto" w:fill="FFFFFF"/>
                  <w:noWrap w:val="0"/>
                  <w:vAlign w:val="center"/>
                </w:tcPr>
                <w:p>
                  <w:pPr>
                    <w:pStyle w:val="35"/>
                    <w:bidi w:val="0"/>
                    <w:jc w:val="center"/>
                    <w:rPr>
                      <w:rFonts w:hint="default" w:eastAsia="宋体"/>
                      <w:lang w:val="en-US" w:eastAsia="zh-CN"/>
                    </w:rPr>
                  </w:pPr>
                  <w:r>
                    <w:rPr>
                      <w:rFonts w:hint="eastAsia" w:eastAsia="宋体"/>
                      <w:lang w:val="en-US" w:eastAsia="zh-CN"/>
                    </w:rPr>
                    <w:t>35.36</w:t>
                  </w:r>
                </w:p>
              </w:tc>
              <w:tc>
                <w:tcPr>
                  <w:tcW w:w="854" w:type="pct"/>
                  <w:tcBorders>
                    <w:top w:val="single" w:color="auto" w:sz="4" w:space="0"/>
                    <w:left w:val="single" w:color="auto" w:sz="4" w:space="0"/>
                    <w:bottom w:val="single" w:color="auto" w:sz="4" w:space="0"/>
                  </w:tcBorders>
                  <w:shd w:val="clear" w:color="auto" w:fill="FFFFFF"/>
                  <w:noWrap w:val="0"/>
                  <w:vAlign w:val="center"/>
                </w:tcPr>
                <w:p>
                  <w:pPr>
                    <w:pStyle w:val="35"/>
                    <w:bidi w:val="0"/>
                    <w:jc w:val="center"/>
                    <w:rPr>
                      <w:rFonts w:hint="default" w:eastAsia="宋体"/>
                      <w:lang w:val="en-US" w:eastAsia="zh-CN"/>
                    </w:rPr>
                  </w:pPr>
                  <w:r>
                    <w:rPr>
                      <w:rFonts w:hint="eastAsia" w:eastAsia="宋体"/>
                      <w:lang w:val="en-US" w:eastAsia="zh-CN"/>
                    </w:rPr>
                    <w:t>21.86</w:t>
                  </w:r>
                </w:p>
              </w:tc>
              <w:tc>
                <w:tcPr>
                  <w:tcW w:w="1001" w:type="pct"/>
                  <w:tcBorders>
                    <w:top w:val="single" w:color="auto" w:sz="4" w:space="0"/>
                    <w:left w:val="single" w:color="auto" w:sz="4" w:space="0"/>
                    <w:bottom w:val="single" w:color="auto" w:sz="4" w:space="0"/>
                    <w:right w:val="single" w:color="auto" w:sz="4" w:space="0"/>
                  </w:tcBorders>
                  <w:shd w:val="clear" w:color="auto" w:fill="FFFFFF"/>
                  <w:noWrap w:val="0"/>
                  <w:vAlign w:val="center"/>
                </w:tcPr>
                <w:p>
                  <w:pPr>
                    <w:pStyle w:val="35"/>
                    <w:bidi w:val="0"/>
                    <w:jc w:val="center"/>
                    <w:rPr>
                      <w:rFonts w:hint="default" w:eastAsia="宋体"/>
                      <w:lang w:val="en-US" w:eastAsia="zh-CN"/>
                    </w:rPr>
                  </w:pPr>
                  <w:r>
                    <w:rPr>
                      <w:rFonts w:hint="eastAsia" w:eastAsia="宋体"/>
                      <w:lang w:val="en-US" w:eastAsia="zh-CN"/>
                    </w:rPr>
                    <w:t>30.16</w:t>
                  </w:r>
                </w:p>
              </w:tc>
            </w:tr>
          </w:tbl>
          <w:p>
            <w:pPr>
              <w:pStyle w:val="14"/>
              <w:bidi w:val="0"/>
            </w:pPr>
            <w:r>
              <w:t>由上表可知，建设项目生产设备产生的噪声经墙体隔声和距离衰减后，厂界</w:t>
            </w:r>
            <w:r>
              <w:rPr>
                <w:rFonts w:hint="eastAsia"/>
                <w:lang w:eastAsia="zh-CN"/>
              </w:rPr>
              <w:t>东、西、南面</w:t>
            </w:r>
            <w:r>
              <w:t>噪声</w:t>
            </w:r>
            <w:r>
              <w:rPr>
                <w:rFonts w:hint="eastAsia"/>
                <w:lang w:eastAsia="zh-CN"/>
              </w:rPr>
              <w:t>满足</w:t>
            </w:r>
            <w:r>
              <w:t>《工业企业厂界环境噪声排放标准》</w:t>
            </w:r>
            <w:r>
              <w:rPr>
                <w:lang w:val="en-US" w:eastAsia="en-US"/>
              </w:rPr>
              <w:t xml:space="preserve">(GB12348-2008) </w:t>
            </w:r>
            <w:r>
              <w:rPr>
                <w:rFonts w:hint="eastAsia"/>
                <w:lang w:val="en-US" w:eastAsia="zh-CN"/>
              </w:rPr>
              <w:t>2</w:t>
            </w:r>
            <w:r>
              <w:t>类标准要求</w:t>
            </w:r>
            <w:r>
              <w:rPr>
                <w:rFonts w:hint="eastAsia"/>
                <w:lang w:eastAsia="zh-CN"/>
              </w:rPr>
              <w:t>，</w:t>
            </w:r>
            <w:r>
              <w:t>厂界</w:t>
            </w:r>
            <w:r>
              <w:rPr>
                <w:rFonts w:hint="eastAsia"/>
                <w:lang w:eastAsia="zh-CN"/>
              </w:rPr>
              <w:t>北面</w:t>
            </w:r>
            <w:r>
              <w:t>噪声</w:t>
            </w:r>
            <w:r>
              <w:rPr>
                <w:rFonts w:hint="eastAsia"/>
                <w:lang w:eastAsia="zh-CN"/>
              </w:rPr>
              <w:t>满足</w:t>
            </w:r>
            <w:r>
              <w:t>《工业企业厂界环境噪声排放标准》</w:t>
            </w:r>
            <w:r>
              <w:rPr>
                <w:lang w:val="en-US" w:eastAsia="en-US"/>
              </w:rPr>
              <w:t xml:space="preserve">(GB12348-2008) </w:t>
            </w:r>
            <w:r>
              <w:rPr>
                <w:rFonts w:hint="eastAsia"/>
                <w:lang w:val="en-US" w:eastAsia="zh-CN"/>
              </w:rPr>
              <w:t>4</w:t>
            </w:r>
            <w:r>
              <w:t>类标准要求。</w:t>
            </w:r>
          </w:p>
          <w:p>
            <w:pPr>
              <w:pStyle w:val="14"/>
              <w:ind w:firstLine="480"/>
            </w:pPr>
            <w:r>
              <w:t>根据周边敏感目标调查，距离</w:t>
            </w:r>
            <w:r>
              <w:rPr>
                <w:rFonts w:hint="eastAsia"/>
                <w:lang w:eastAsia="zh-CN"/>
              </w:rPr>
              <w:t>厂</w:t>
            </w:r>
            <w:r>
              <w:t>区较近的敏感点为项目</w:t>
            </w:r>
            <w:r>
              <w:rPr>
                <w:rFonts w:hint="eastAsia"/>
                <w:lang w:eastAsia="zh-CN"/>
              </w:rPr>
              <w:t>东南</w:t>
            </w:r>
            <w:r>
              <w:t>侧</w:t>
            </w:r>
            <w:r>
              <w:rPr>
                <w:rFonts w:hint="eastAsia"/>
                <w:lang w:val="en-US" w:eastAsia="zh-CN"/>
              </w:rPr>
              <w:t>25</w:t>
            </w:r>
            <w:r>
              <w:t>m处居民点，项目噪声对敏感点影响预测情况见</w:t>
            </w:r>
            <w:r>
              <w:rPr>
                <w:rFonts w:hint="eastAsia"/>
              </w:rPr>
              <w:t>下</w:t>
            </w:r>
            <w:r>
              <w:t>表。</w:t>
            </w:r>
          </w:p>
          <w:p>
            <w:pPr>
              <w:pStyle w:val="36"/>
              <w:bidi w:val="0"/>
            </w:pPr>
            <w:r>
              <w:t xml:space="preserve">表 </w:t>
            </w:r>
            <w:r>
              <w:rPr>
                <w:rFonts w:hint="eastAsia"/>
                <w:lang w:val="en-US" w:eastAsia="zh-CN"/>
              </w:rPr>
              <w:t>4.2-18</w:t>
            </w:r>
            <w:r>
              <w:t xml:space="preserve">项目噪声对各敏感点影响预测值 </w:t>
            </w:r>
          </w:p>
          <w:tbl>
            <w:tblPr>
              <w:tblStyle w:val="31"/>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2542"/>
              <w:gridCol w:w="1190"/>
              <w:gridCol w:w="1463"/>
              <w:gridCol w:w="1522"/>
              <w:gridCol w:w="11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610" w:type="pct"/>
                  <w:noWrap w:val="0"/>
                  <w:vAlign w:val="center"/>
                </w:tcPr>
                <w:p>
                  <w:pPr>
                    <w:pStyle w:val="35"/>
                    <w:jc w:val="center"/>
                    <w:rPr>
                      <w:rFonts w:hint="default" w:ascii="Times New Roman" w:hAnsi="Times New Roman" w:cs="Times New Roman"/>
                    </w:rPr>
                  </w:pPr>
                  <w:r>
                    <w:rPr>
                      <w:rFonts w:hint="default" w:ascii="Times New Roman" w:hAnsi="Times New Roman" w:cs="Times New Roman"/>
                    </w:rPr>
                    <w:t>敏感点</w:t>
                  </w:r>
                </w:p>
              </w:tc>
              <w:tc>
                <w:tcPr>
                  <w:tcW w:w="754" w:type="pct"/>
                  <w:noWrap w:val="0"/>
                  <w:vAlign w:val="center"/>
                </w:tcPr>
                <w:p>
                  <w:pPr>
                    <w:pStyle w:val="35"/>
                    <w:jc w:val="center"/>
                    <w:rPr>
                      <w:rFonts w:hint="default" w:ascii="Times New Roman" w:hAnsi="Times New Roman" w:cs="Times New Roman"/>
                    </w:rPr>
                  </w:pPr>
                  <w:r>
                    <w:rPr>
                      <w:rFonts w:hint="default" w:ascii="Times New Roman" w:hAnsi="Times New Roman" w:cs="Times New Roman"/>
                    </w:rPr>
                    <w:t>环境背景值</w:t>
                  </w:r>
                </w:p>
              </w:tc>
              <w:tc>
                <w:tcPr>
                  <w:tcW w:w="927" w:type="pct"/>
                  <w:noWrap w:val="0"/>
                  <w:vAlign w:val="center"/>
                </w:tcPr>
                <w:p>
                  <w:pPr>
                    <w:pStyle w:val="35"/>
                    <w:jc w:val="center"/>
                    <w:rPr>
                      <w:rFonts w:hint="default" w:ascii="Times New Roman" w:hAnsi="Times New Roman" w:cs="Times New Roman"/>
                    </w:rPr>
                  </w:pPr>
                  <w:r>
                    <w:rPr>
                      <w:rFonts w:hint="default" w:ascii="Times New Roman" w:hAnsi="Times New Roman" w:cs="Times New Roman"/>
                    </w:rPr>
                    <w:t>项目贡献值</w:t>
                  </w:r>
                </w:p>
              </w:tc>
              <w:tc>
                <w:tcPr>
                  <w:tcW w:w="964" w:type="pct"/>
                  <w:noWrap w:val="0"/>
                  <w:vAlign w:val="center"/>
                </w:tcPr>
                <w:p>
                  <w:pPr>
                    <w:pStyle w:val="35"/>
                    <w:jc w:val="center"/>
                    <w:rPr>
                      <w:rFonts w:hint="default" w:ascii="Times New Roman" w:hAnsi="Times New Roman" w:cs="Times New Roman"/>
                    </w:rPr>
                  </w:pPr>
                  <w:r>
                    <w:rPr>
                      <w:rFonts w:hint="default" w:ascii="Times New Roman" w:hAnsi="Times New Roman" w:cs="Times New Roman"/>
                    </w:rPr>
                    <w:t>噪声预测值</w:t>
                  </w:r>
                </w:p>
              </w:tc>
              <w:tc>
                <w:tcPr>
                  <w:tcW w:w="743" w:type="pct"/>
                  <w:noWrap w:val="0"/>
                  <w:vAlign w:val="center"/>
                </w:tcPr>
                <w:p>
                  <w:pPr>
                    <w:pStyle w:val="35"/>
                    <w:jc w:val="center"/>
                    <w:rPr>
                      <w:rFonts w:hint="default" w:ascii="Times New Roman" w:hAnsi="Times New Roman" w:cs="Times New Roman"/>
                    </w:rPr>
                  </w:pPr>
                  <w:r>
                    <w:rPr>
                      <w:rFonts w:hint="default" w:ascii="Times New Roman" w:hAnsi="Times New Roman" w:cs="Times New Roman"/>
                    </w:rPr>
                    <w:t>标准值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610" w:type="pct"/>
                  <w:vMerge w:val="restart"/>
                  <w:noWrap w:val="0"/>
                  <w:vAlign w:val="center"/>
                </w:tcPr>
                <w:p>
                  <w:pPr>
                    <w:pStyle w:val="35"/>
                    <w:jc w:val="center"/>
                    <w:rPr>
                      <w:rFonts w:hint="default" w:ascii="Times New Roman" w:hAnsi="Times New Roman" w:cs="Times New Roman"/>
                    </w:rPr>
                  </w:pPr>
                  <w:r>
                    <w:rPr>
                      <w:rFonts w:hint="default" w:ascii="Times New Roman" w:hAnsi="Times New Roman" w:cs="Times New Roman"/>
                    </w:rPr>
                    <w:t>项目</w:t>
                  </w:r>
                  <w:r>
                    <w:rPr>
                      <w:rFonts w:hint="default" w:ascii="Times New Roman" w:hAnsi="Times New Roman" w:cs="Times New Roman"/>
                      <w:lang w:eastAsia="zh-CN"/>
                    </w:rPr>
                    <w:t>东南</w:t>
                  </w:r>
                  <w:r>
                    <w:rPr>
                      <w:rFonts w:hint="default" w:ascii="Times New Roman" w:hAnsi="Times New Roman" w:cs="Times New Roman"/>
                    </w:rPr>
                    <w:t>侧</w:t>
                  </w:r>
                  <w:r>
                    <w:rPr>
                      <w:rFonts w:hint="eastAsia" w:cs="Times New Roman"/>
                      <w:lang w:val="en-US" w:eastAsia="zh-CN"/>
                    </w:rPr>
                    <w:t>2</w:t>
                  </w:r>
                  <w:r>
                    <w:rPr>
                      <w:rFonts w:hint="default" w:ascii="Times New Roman" w:hAnsi="Times New Roman" w:cs="Times New Roman"/>
                      <w:lang w:val="en-US" w:eastAsia="zh-CN"/>
                    </w:rPr>
                    <w:t>5</w:t>
                  </w:r>
                  <w:r>
                    <w:rPr>
                      <w:rFonts w:hint="default" w:ascii="Times New Roman" w:hAnsi="Times New Roman" w:cs="Times New Roman"/>
                    </w:rPr>
                    <w:t>m处居民点</w:t>
                  </w:r>
                </w:p>
              </w:tc>
              <w:tc>
                <w:tcPr>
                  <w:tcW w:w="754" w:type="pct"/>
                  <w:noWrap w:val="0"/>
                  <w:vAlign w:val="center"/>
                </w:tcPr>
                <w:p>
                  <w:pPr>
                    <w:pStyle w:val="35"/>
                    <w:jc w:val="center"/>
                    <w:rPr>
                      <w:rFonts w:hint="default" w:ascii="Times New Roman" w:hAnsi="Times New Roman" w:eastAsia="宋体" w:cs="Times New Roman"/>
                      <w:lang w:val="en-US" w:eastAsia="zh-CN"/>
                    </w:rPr>
                  </w:pPr>
                  <w:r>
                    <w:rPr>
                      <w:rFonts w:hint="eastAsia" w:cs="Times New Roman"/>
                      <w:lang w:val="en-US" w:eastAsia="zh-CN"/>
                    </w:rPr>
                    <w:t>53.5</w:t>
                  </w:r>
                </w:p>
              </w:tc>
              <w:tc>
                <w:tcPr>
                  <w:tcW w:w="927" w:type="pct"/>
                  <w:noWrap w:val="0"/>
                  <w:vAlign w:val="center"/>
                </w:tcPr>
                <w:p>
                  <w:pPr>
                    <w:pStyle w:val="35"/>
                    <w:jc w:val="center"/>
                    <w:rPr>
                      <w:rFonts w:hint="default" w:ascii="Times New Roman" w:hAnsi="Times New Roman" w:eastAsia="宋体" w:cs="Times New Roman"/>
                      <w:lang w:val="en-US" w:eastAsia="zh-CN"/>
                    </w:rPr>
                  </w:pPr>
                  <w:r>
                    <w:rPr>
                      <w:rFonts w:hint="eastAsia" w:cs="Times New Roman"/>
                      <w:lang w:val="en-US" w:eastAsia="zh-CN"/>
                    </w:rPr>
                    <w:t>35.36</w:t>
                  </w:r>
                </w:p>
              </w:tc>
              <w:tc>
                <w:tcPr>
                  <w:tcW w:w="964" w:type="pct"/>
                  <w:noWrap w:val="0"/>
                  <w:vAlign w:val="center"/>
                </w:tcPr>
                <w:p>
                  <w:pPr>
                    <w:pStyle w:val="35"/>
                    <w:jc w:val="center"/>
                    <w:rPr>
                      <w:rFonts w:hint="default" w:ascii="Times New Roman" w:hAnsi="Times New Roman" w:eastAsia="宋体" w:cs="Times New Roman"/>
                      <w:kern w:val="0"/>
                      <w:sz w:val="21"/>
                      <w:szCs w:val="21"/>
                      <w:lang w:val="en-US" w:eastAsia="zh-CN" w:bidi="ar-SA"/>
                    </w:rPr>
                  </w:pPr>
                  <w:r>
                    <w:rPr>
                      <w:rFonts w:hint="eastAsia" w:cs="Times New Roman"/>
                      <w:lang w:val="en-US" w:eastAsia="zh-CN"/>
                    </w:rPr>
                    <w:t>53.7</w:t>
                  </w:r>
                </w:p>
              </w:tc>
              <w:tc>
                <w:tcPr>
                  <w:tcW w:w="743" w:type="pct"/>
                  <w:noWrap w:val="0"/>
                  <w:vAlign w:val="center"/>
                </w:tcPr>
                <w:p>
                  <w:pPr>
                    <w:pStyle w:val="35"/>
                    <w:jc w:val="center"/>
                    <w:rPr>
                      <w:rFonts w:hint="default" w:ascii="Times New Roman" w:hAnsi="Times New Roman" w:cs="Times New Roman"/>
                    </w:rPr>
                  </w:pPr>
                  <w:r>
                    <w:rPr>
                      <w:rFonts w:hint="default" w:ascii="Times New Roman" w:hAnsi="Times New Roman" w:cs="Times New Roman"/>
                    </w:rPr>
                    <w:t>昼间≤60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610" w:type="pct"/>
                  <w:vMerge w:val="continue"/>
                  <w:noWrap w:val="0"/>
                  <w:vAlign w:val="center"/>
                </w:tcPr>
                <w:p>
                  <w:pPr>
                    <w:pStyle w:val="35"/>
                    <w:jc w:val="center"/>
                    <w:rPr>
                      <w:rFonts w:hint="default" w:ascii="Times New Roman" w:hAnsi="Times New Roman" w:cs="Times New Roman"/>
                    </w:rPr>
                  </w:pPr>
                </w:p>
              </w:tc>
              <w:tc>
                <w:tcPr>
                  <w:tcW w:w="754" w:type="pct"/>
                  <w:noWrap w:val="0"/>
                  <w:vAlign w:val="center"/>
                </w:tcPr>
                <w:p>
                  <w:pPr>
                    <w:pStyle w:val="35"/>
                    <w:jc w:val="center"/>
                    <w:rPr>
                      <w:rFonts w:hint="default" w:ascii="Times New Roman" w:hAnsi="Times New Roman" w:cs="Times New Roman"/>
                      <w:lang w:val="en-US" w:eastAsia="zh-CN"/>
                    </w:rPr>
                  </w:pPr>
                  <w:r>
                    <w:rPr>
                      <w:rFonts w:hint="eastAsia" w:cs="Times New Roman"/>
                      <w:lang w:val="en-US" w:eastAsia="zh-CN"/>
                    </w:rPr>
                    <w:t>43.9</w:t>
                  </w:r>
                </w:p>
              </w:tc>
              <w:tc>
                <w:tcPr>
                  <w:tcW w:w="927" w:type="pct"/>
                  <w:noWrap w:val="0"/>
                  <w:vAlign w:val="center"/>
                </w:tcPr>
                <w:p>
                  <w:pPr>
                    <w:pStyle w:val="35"/>
                    <w:jc w:val="center"/>
                    <w:rPr>
                      <w:rFonts w:hint="default" w:ascii="Times New Roman" w:hAnsi="Times New Roman" w:eastAsia="宋体" w:cs="Times New Roman"/>
                      <w:lang w:val="en-US" w:eastAsia="zh-CN"/>
                    </w:rPr>
                  </w:pPr>
                  <w:r>
                    <w:rPr>
                      <w:rFonts w:hint="eastAsia" w:cs="Times New Roman"/>
                      <w:lang w:val="en-US" w:eastAsia="zh-CN"/>
                    </w:rPr>
                    <w:t>35.36</w:t>
                  </w:r>
                </w:p>
              </w:tc>
              <w:tc>
                <w:tcPr>
                  <w:tcW w:w="964" w:type="pct"/>
                  <w:noWrap w:val="0"/>
                  <w:vAlign w:val="center"/>
                </w:tcPr>
                <w:p>
                  <w:pPr>
                    <w:pStyle w:val="35"/>
                    <w:jc w:val="center"/>
                    <w:rPr>
                      <w:rFonts w:hint="default" w:ascii="Times New Roman" w:hAnsi="Times New Roman" w:eastAsia="宋体" w:cs="Times New Roman"/>
                      <w:kern w:val="0"/>
                      <w:sz w:val="21"/>
                      <w:szCs w:val="21"/>
                      <w:lang w:val="en-US" w:eastAsia="zh-CN" w:bidi="ar-SA"/>
                    </w:rPr>
                  </w:pPr>
                  <w:r>
                    <w:rPr>
                      <w:rFonts w:hint="eastAsia" w:cs="Times New Roman"/>
                      <w:lang w:val="en-US" w:eastAsia="zh-CN"/>
                    </w:rPr>
                    <w:t>44.5</w:t>
                  </w:r>
                </w:p>
              </w:tc>
              <w:tc>
                <w:tcPr>
                  <w:tcW w:w="743" w:type="pct"/>
                  <w:noWrap w:val="0"/>
                  <w:vAlign w:val="center"/>
                </w:tcPr>
                <w:p>
                  <w:pPr>
                    <w:pStyle w:val="35"/>
                    <w:jc w:val="center"/>
                    <w:rPr>
                      <w:rFonts w:hint="default" w:ascii="Times New Roman" w:hAnsi="Times New Roman" w:cs="Times New Roman"/>
                    </w:rPr>
                  </w:pPr>
                  <w:r>
                    <w:rPr>
                      <w:rFonts w:hint="default" w:ascii="Times New Roman" w:hAnsi="Times New Roman" w:cs="Times New Roman"/>
                      <w:lang w:eastAsia="zh-CN"/>
                    </w:rPr>
                    <w:t>夜</w:t>
                  </w:r>
                  <w:r>
                    <w:rPr>
                      <w:rFonts w:hint="default" w:ascii="Times New Roman" w:hAnsi="Times New Roman" w:cs="Times New Roman"/>
                    </w:rPr>
                    <w:t>间≤</w:t>
                  </w:r>
                  <w:r>
                    <w:rPr>
                      <w:rFonts w:hint="default" w:ascii="Times New Roman" w:hAnsi="Times New Roman" w:cs="Times New Roman"/>
                      <w:lang w:val="en-US" w:eastAsia="zh-CN"/>
                    </w:rPr>
                    <w:t>5</w:t>
                  </w:r>
                  <w:r>
                    <w:rPr>
                      <w:rFonts w:hint="default" w:ascii="Times New Roman" w:hAnsi="Times New Roman" w:cs="Times New Roman"/>
                    </w:rPr>
                    <w:t>0</w:t>
                  </w:r>
                </w:p>
              </w:tc>
            </w:tr>
          </w:tbl>
          <w:p>
            <w:pPr>
              <w:pStyle w:val="14"/>
              <w:bidi w:val="0"/>
              <w:rPr>
                <w:rFonts w:hint="eastAsia"/>
                <w:lang w:eastAsia="zh-CN"/>
              </w:rPr>
            </w:pPr>
            <w:r>
              <w:t>由上述分析结果可知，本项目生产设备经基础减振、隔声及距离衰减后，经预测周边敏感点处噪声值均可满足《声环境质量标准》（GB3096-2008）中的 2类标准。项目生产过程中产生的噪声对周边环境影响不大</w:t>
            </w:r>
            <w:r>
              <w:rPr>
                <w:rFonts w:hint="eastAsia"/>
                <w:lang w:eastAsia="zh-CN"/>
              </w:rPr>
              <w:t>。</w:t>
            </w:r>
            <w:r>
              <w:t>因此</w:t>
            </w:r>
            <w:r>
              <w:rPr>
                <w:rFonts w:hint="eastAsia"/>
                <w:lang w:eastAsia="zh-CN"/>
              </w:rPr>
              <w:t>，</w:t>
            </w:r>
            <w:r>
              <w:t>为确保边界噪声达标</w:t>
            </w:r>
            <w:r>
              <w:rPr>
                <w:rFonts w:hint="eastAsia"/>
                <w:lang w:eastAsia="zh-CN"/>
              </w:rPr>
              <w:t>，</w:t>
            </w:r>
            <w:r>
              <w:t>建设单位还应采取有效措施减少噪声的影响</w:t>
            </w:r>
            <w:r>
              <w:rPr>
                <w:rFonts w:hint="eastAsia"/>
                <w:lang w:eastAsia="zh-CN"/>
              </w:rPr>
              <w:t>，</w:t>
            </w:r>
            <w:r>
              <w:t>建议建设单位采取以下措施</w:t>
            </w:r>
            <w:r>
              <w:rPr>
                <w:rFonts w:hint="eastAsia"/>
                <w:lang w:eastAsia="zh-CN"/>
              </w:rPr>
              <w:t>：</w:t>
            </w:r>
          </w:p>
          <w:p>
            <w:pPr>
              <w:pStyle w:val="14"/>
              <w:bidi w:val="0"/>
              <w:rPr>
                <w:rFonts w:hint="eastAsia"/>
                <w:lang w:val="en-US" w:eastAsia="zh-CN"/>
              </w:rPr>
            </w:pPr>
            <w:r>
              <w:rPr>
                <w:rFonts w:hint="eastAsia"/>
                <w:lang w:val="en-US" w:eastAsia="zh-CN"/>
              </w:rPr>
              <w:t>为减小项目营运期各类噪声对周边敏感目标的影响，环评建议应采取以下降噪措施：</w:t>
            </w:r>
          </w:p>
          <w:p>
            <w:pPr>
              <w:pStyle w:val="14"/>
              <w:bidi w:val="0"/>
              <w:rPr>
                <w:rFonts w:hint="eastAsia"/>
                <w:lang w:val="en-US" w:eastAsia="zh-CN"/>
              </w:rPr>
            </w:pPr>
            <w:r>
              <w:rPr>
                <w:rFonts w:hint="eastAsia"/>
                <w:lang w:val="en-US" w:eastAsia="zh-CN"/>
              </w:rPr>
              <w:t>①加油泵选用低噪声设备，并设置减振垫；</w:t>
            </w:r>
          </w:p>
          <w:p>
            <w:pPr>
              <w:pStyle w:val="14"/>
              <w:bidi w:val="0"/>
              <w:rPr>
                <w:rFonts w:hint="eastAsia"/>
                <w:lang w:val="en-US" w:eastAsia="zh-CN"/>
              </w:rPr>
            </w:pPr>
            <w:r>
              <w:rPr>
                <w:rFonts w:hint="eastAsia"/>
                <w:lang w:val="en-US" w:eastAsia="zh-CN"/>
              </w:rPr>
              <w:t>②出入区域内来往的机动车严格管理，采取车辆进站时减速、禁止鸣笛、加油时车辆熄火和平稳启动等措施，使区域内的交通噪声降到最低值；</w:t>
            </w:r>
          </w:p>
          <w:p>
            <w:pPr>
              <w:pStyle w:val="14"/>
              <w:bidi w:val="0"/>
            </w:pPr>
            <w:r>
              <w:rPr>
                <w:rFonts w:hint="eastAsia"/>
                <w:lang w:val="en-US" w:eastAsia="zh-CN"/>
              </w:rPr>
              <w:t>③加强厂区绿化，并在厂界周边种植高大树木吸声降噪</w:t>
            </w:r>
            <w:r>
              <w:t>。</w:t>
            </w:r>
          </w:p>
          <w:p>
            <w:pPr>
              <w:pStyle w:val="14"/>
              <w:bidi w:val="0"/>
            </w:pPr>
            <w:r>
              <w:rPr>
                <w:rFonts w:hint="eastAsia"/>
                <w:color w:val="000000"/>
                <w:spacing w:val="0"/>
                <w:w w:val="100"/>
                <w:position w:val="0"/>
                <w:lang w:val="en-US" w:eastAsia="zh-CN"/>
              </w:rPr>
              <w:t>3.3噪声</w:t>
            </w:r>
            <w:r>
              <w:rPr>
                <w:color w:val="000000"/>
                <w:spacing w:val="0"/>
                <w:w w:val="100"/>
                <w:position w:val="0"/>
              </w:rPr>
              <w:t>污染防</w:t>
            </w:r>
            <w:r>
              <w:rPr>
                <w:rFonts w:hint="eastAsia"/>
                <w:color w:val="000000"/>
                <w:spacing w:val="0"/>
                <w:w w:val="100"/>
                <w:position w:val="0"/>
                <w:lang w:eastAsia="zh-CN"/>
              </w:rPr>
              <w:t>汉</w:t>
            </w:r>
            <w:r>
              <w:rPr>
                <w:color w:val="000000"/>
                <w:spacing w:val="0"/>
                <w:w w:val="100"/>
                <w:position w:val="0"/>
              </w:rPr>
              <w:t>的</w:t>
            </w:r>
            <w:r>
              <w:rPr>
                <w:rFonts w:hint="eastAsia"/>
                <w:color w:val="000000"/>
                <w:spacing w:val="0"/>
                <w:w w:val="100"/>
                <w:position w:val="0"/>
                <w:lang w:eastAsia="zh-CN"/>
              </w:rPr>
              <w:t>可</w:t>
            </w:r>
            <w:r>
              <w:rPr>
                <w:color w:val="000000"/>
                <w:spacing w:val="0"/>
                <w:w w:val="100"/>
                <w:position w:val="0"/>
              </w:rPr>
              <w:t>行</w:t>
            </w:r>
            <w:r>
              <w:rPr>
                <w:rFonts w:hint="eastAsia"/>
                <w:color w:val="000000"/>
                <w:spacing w:val="0"/>
                <w:w w:val="100"/>
                <w:position w:val="0"/>
                <w:lang w:eastAsia="zh-CN"/>
              </w:rPr>
              <w:t>性分</w:t>
            </w:r>
            <w:r>
              <w:rPr>
                <w:color w:val="000000"/>
                <w:spacing w:val="0"/>
                <w:w w:val="100"/>
                <w:position w:val="0"/>
              </w:rPr>
              <w:t>析</w:t>
            </w:r>
          </w:p>
          <w:p>
            <w:pPr>
              <w:pStyle w:val="14"/>
              <w:bidi w:val="0"/>
              <w:rPr>
                <w:rFonts w:hint="eastAsia"/>
                <w:lang w:val="en-US" w:eastAsia="zh-CN"/>
              </w:rPr>
            </w:pPr>
            <w:r>
              <w:t>加油泵选用低噪声设备，并设置减振垫；出入区域内来往的机动车严格管理，采取车辆进站时减速、禁止鸣笛、加油时车辆熄火和平稳启动</w:t>
            </w:r>
            <w:r>
              <w:rPr>
                <w:rFonts w:hint="eastAsia"/>
                <w:lang w:eastAsia="zh-CN"/>
              </w:rPr>
              <w:t>；</w:t>
            </w:r>
            <w:r>
              <w:rPr>
                <w:rFonts w:hint="eastAsia"/>
                <w:lang w:val="en-US" w:eastAsia="zh-CN"/>
              </w:rPr>
              <w:t>在厂界周边种植高大树木吸声降噪</w:t>
            </w:r>
            <w:r>
              <w:t>等措施。以上噪声治理措施容易实施，技术成熟可靠，投资费用较少，在经济上是可行的。</w:t>
            </w:r>
          </w:p>
          <w:p>
            <w:pPr>
              <w:pStyle w:val="14"/>
              <w:bidi w:val="0"/>
              <w:rPr>
                <w:rFonts w:hint="eastAsia"/>
                <w:lang w:val="en-US" w:eastAsia="zh-CN"/>
              </w:rPr>
            </w:pPr>
            <w:r>
              <w:rPr>
                <w:rFonts w:hint="eastAsia"/>
                <w:lang w:val="en-US" w:eastAsia="zh-CN"/>
              </w:rPr>
              <w:t>3.4监测要求</w:t>
            </w:r>
          </w:p>
          <w:p>
            <w:pPr>
              <w:pStyle w:val="36"/>
              <w:bidi w:val="0"/>
              <w:rPr>
                <w:rFonts w:hint="eastAsia"/>
                <w:lang w:val="en-US" w:eastAsia="zh-CN"/>
              </w:rPr>
            </w:pPr>
            <w:r>
              <w:rPr>
                <w:rFonts w:hint="eastAsia"/>
                <w:lang w:val="en-US" w:eastAsia="zh-CN"/>
              </w:rPr>
              <w:t>表4.2-19建设项目噪声监测要求</w:t>
            </w:r>
          </w:p>
          <w:tbl>
            <w:tblPr>
              <w:tblStyle w:val="3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770"/>
              <w:gridCol w:w="1053"/>
              <w:gridCol w:w="1599"/>
              <w:gridCol w:w="1126"/>
              <w:gridCol w:w="33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88" w:type="pct"/>
                  <w:tcBorders>
                    <w:tl2br w:val="nil"/>
                    <w:tr2bl w:val="nil"/>
                  </w:tcBorders>
                  <w:noWrap w:val="0"/>
                  <w:vAlign w:val="center"/>
                </w:tcPr>
                <w:p>
                  <w:pPr>
                    <w:pStyle w:val="35"/>
                    <w:bidi w:val="0"/>
                    <w:rPr>
                      <w:rFonts w:hint="default"/>
                    </w:rPr>
                  </w:pPr>
                  <w:r>
                    <w:rPr>
                      <w:rFonts w:hint="default"/>
                    </w:rPr>
                    <w:t>项目</w:t>
                  </w:r>
                </w:p>
              </w:tc>
              <w:tc>
                <w:tcPr>
                  <w:tcW w:w="667" w:type="pct"/>
                  <w:tcBorders>
                    <w:tl2br w:val="nil"/>
                    <w:tr2bl w:val="nil"/>
                  </w:tcBorders>
                  <w:noWrap w:val="0"/>
                  <w:vAlign w:val="center"/>
                </w:tcPr>
                <w:p>
                  <w:pPr>
                    <w:pStyle w:val="35"/>
                    <w:bidi w:val="0"/>
                    <w:rPr>
                      <w:rFonts w:hint="default"/>
                    </w:rPr>
                  </w:pPr>
                  <w:r>
                    <w:rPr>
                      <w:rFonts w:hint="default"/>
                    </w:rPr>
                    <w:t>监测位置</w:t>
                  </w:r>
                </w:p>
              </w:tc>
              <w:tc>
                <w:tcPr>
                  <w:tcW w:w="1013" w:type="pct"/>
                  <w:tcBorders>
                    <w:tl2br w:val="nil"/>
                    <w:tr2bl w:val="nil"/>
                  </w:tcBorders>
                  <w:noWrap w:val="0"/>
                  <w:vAlign w:val="center"/>
                </w:tcPr>
                <w:p>
                  <w:pPr>
                    <w:pStyle w:val="35"/>
                    <w:bidi w:val="0"/>
                    <w:rPr>
                      <w:rFonts w:hint="default"/>
                    </w:rPr>
                  </w:pPr>
                  <w:r>
                    <w:rPr>
                      <w:rFonts w:hint="default"/>
                    </w:rPr>
                    <w:t>监测因子</w:t>
                  </w:r>
                </w:p>
              </w:tc>
              <w:tc>
                <w:tcPr>
                  <w:tcW w:w="713" w:type="pct"/>
                  <w:tcBorders>
                    <w:tl2br w:val="nil"/>
                    <w:tr2bl w:val="nil"/>
                  </w:tcBorders>
                  <w:noWrap w:val="0"/>
                  <w:vAlign w:val="center"/>
                </w:tcPr>
                <w:p>
                  <w:pPr>
                    <w:pStyle w:val="35"/>
                    <w:bidi w:val="0"/>
                    <w:rPr>
                      <w:rFonts w:hint="default"/>
                    </w:rPr>
                  </w:pPr>
                  <w:r>
                    <w:rPr>
                      <w:rFonts w:hint="default"/>
                    </w:rPr>
                    <w:t>监测频次</w:t>
                  </w:r>
                </w:p>
              </w:tc>
              <w:tc>
                <w:tcPr>
                  <w:tcW w:w="2117" w:type="pct"/>
                  <w:tcBorders>
                    <w:tl2br w:val="nil"/>
                    <w:tr2bl w:val="nil"/>
                  </w:tcBorders>
                  <w:noWrap w:val="0"/>
                  <w:vAlign w:val="center"/>
                </w:tcPr>
                <w:p>
                  <w:pPr>
                    <w:pStyle w:val="35"/>
                    <w:bidi w:val="0"/>
                    <w:rPr>
                      <w:rFonts w:hint="default"/>
                    </w:rPr>
                  </w:pPr>
                  <w:r>
                    <w:rPr>
                      <w:rFonts w:hint="default"/>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88" w:type="pct"/>
                  <w:tcBorders>
                    <w:tl2br w:val="nil"/>
                    <w:tr2bl w:val="nil"/>
                  </w:tcBorders>
                  <w:noWrap w:val="0"/>
                  <w:vAlign w:val="center"/>
                </w:tcPr>
                <w:p>
                  <w:pPr>
                    <w:pStyle w:val="35"/>
                    <w:bidi w:val="0"/>
                    <w:rPr>
                      <w:rFonts w:hint="default"/>
                    </w:rPr>
                  </w:pPr>
                  <w:r>
                    <w:rPr>
                      <w:rFonts w:hint="default"/>
                    </w:rPr>
                    <w:t>噪声</w:t>
                  </w:r>
                </w:p>
              </w:tc>
              <w:tc>
                <w:tcPr>
                  <w:tcW w:w="667" w:type="pct"/>
                  <w:tcBorders>
                    <w:tl2br w:val="nil"/>
                    <w:tr2bl w:val="nil"/>
                  </w:tcBorders>
                  <w:noWrap w:val="0"/>
                  <w:vAlign w:val="center"/>
                </w:tcPr>
                <w:p>
                  <w:pPr>
                    <w:pStyle w:val="35"/>
                    <w:bidi w:val="0"/>
                    <w:rPr>
                      <w:rFonts w:hint="default"/>
                    </w:rPr>
                  </w:pPr>
                  <w:r>
                    <w:rPr>
                      <w:rFonts w:hint="default"/>
                    </w:rPr>
                    <w:t>厂界四侧</w:t>
                  </w:r>
                </w:p>
              </w:tc>
              <w:tc>
                <w:tcPr>
                  <w:tcW w:w="1013" w:type="pct"/>
                  <w:tcBorders>
                    <w:tl2br w:val="nil"/>
                    <w:tr2bl w:val="nil"/>
                  </w:tcBorders>
                  <w:noWrap w:val="0"/>
                  <w:vAlign w:val="center"/>
                </w:tcPr>
                <w:p>
                  <w:pPr>
                    <w:pStyle w:val="35"/>
                    <w:bidi w:val="0"/>
                    <w:rPr>
                      <w:rFonts w:hint="default"/>
                    </w:rPr>
                  </w:pPr>
                  <w:r>
                    <w:rPr>
                      <w:rFonts w:hint="default"/>
                    </w:rPr>
                    <w:t>等效连续A声级</w:t>
                  </w:r>
                </w:p>
              </w:tc>
              <w:tc>
                <w:tcPr>
                  <w:tcW w:w="713" w:type="pct"/>
                  <w:tcBorders>
                    <w:tl2br w:val="nil"/>
                    <w:tr2bl w:val="nil"/>
                  </w:tcBorders>
                  <w:noWrap w:val="0"/>
                  <w:vAlign w:val="center"/>
                </w:tcPr>
                <w:p>
                  <w:pPr>
                    <w:pStyle w:val="35"/>
                    <w:bidi w:val="0"/>
                    <w:rPr>
                      <w:rFonts w:hint="default"/>
                    </w:rPr>
                  </w:pPr>
                  <w:r>
                    <w:rPr>
                      <w:rFonts w:hint="default"/>
                    </w:rPr>
                    <w:t>每季度一次</w:t>
                  </w:r>
                </w:p>
              </w:tc>
              <w:tc>
                <w:tcPr>
                  <w:tcW w:w="2117" w:type="pct"/>
                  <w:tcBorders>
                    <w:tl2br w:val="nil"/>
                    <w:tr2bl w:val="nil"/>
                  </w:tcBorders>
                  <w:noWrap w:val="0"/>
                  <w:vAlign w:val="center"/>
                </w:tcPr>
                <w:p>
                  <w:pPr>
                    <w:pStyle w:val="35"/>
                    <w:bidi w:val="0"/>
                    <w:rPr>
                      <w:rFonts w:hint="default"/>
                    </w:rPr>
                  </w:pPr>
                  <w:r>
                    <w:rPr>
                      <w:rFonts w:hint="default"/>
                    </w:rPr>
                    <w:t>《工业企业厂界环境噪声排放标准》（GB12348-2008）中的</w:t>
                  </w:r>
                  <w:r>
                    <w:rPr>
                      <w:rFonts w:hint="eastAsia"/>
                      <w:lang w:val="en-US" w:eastAsia="zh-CN"/>
                    </w:rPr>
                    <w:t>2</w:t>
                  </w:r>
                  <w:r>
                    <w:rPr>
                      <w:rFonts w:hint="default"/>
                    </w:rPr>
                    <w:t>类</w:t>
                  </w:r>
                  <w:r>
                    <w:rPr>
                      <w:rFonts w:hint="eastAsia"/>
                      <w:lang w:val="en-US" w:eastAsia="zh-CN"/>
                    </w:rPr>
                    <w:t>、4类</w:t>
                  </w:r>
                  <w:r>
                    <w:rPr>
                      <w:rFonts w:hint="default"/>
                    </w:rPr>
                    <w:t>标准</w:t>
                  </w:r>
                </w:p>
              </w:tc>
            </w:tr>
          </w:tbl>
          <w:p>
            <w:pPr>
              <w:pStyle w:val="14"/>
              <w:numPr>
                <w:ilvl w:val="0"/>
                <w:numId w:val="9"/>
              </w:numPr>
              <w:bidi w:val="0"/>
              <w:rPr>
                <w:rFonts w:hint="eastAsia"/>
                <w:lang w:val="en-US" w:eastAsia="zh-CN"/>
              </w:rPr>
            </w:pPr>
            <w:r>
              <w:rPr>
                <w:rFonts w:hint="eastAsia"/>
                <w:lang w:val="en-US" w:eastAsia="zh-CN"/>
              </w:rPr>
              <w:t>固废</w:t>
            </w:r>
          </w:p>
          <w:p>
            <w:pPr>
              <w:pStyle w:val="14"/>
              <w:bidi w:val="0"/>
              <w:rPr>
                <w:rFonts w:hint="eastAsia" w:eastAsia="宋体"/>
                <w:lang w:val="en-US" w:eastAsia="zh-CN"/>
              </w:rPr>
            </w:pPr>
            <w:r>
              <w:rPr>
                <w:rFonts w:hint="eastAsia"/>
              </w:rPr>
              <w:t>项目固废</w:t>
            </w:r>
            <w:r>
              <w:t>主要为生活垃圾、油罐保养产生的油泥、隔油池废油、</w:t>
            </w:r>
            <w:r>
              <w:rPr>
                <w:rFonts w:hint="eastAsia"/>
              </w:rPr>
              <w:t>含油废物等</w:t>
            </w:r>
            <w:r>
              <w:rPr>
                <w:rFonts w:hint="eastAsia"/>
                <w:lang w:val="en-US" w:eastAsia="zh-CN"/>
              </w:rPr>
              <w:t>。</w:t>
            </w:r>
          </w:p>
          <w:p>
            <w:pPr>
              <w:pStyle w:val="14"/>
              <w:bidi w:val="0"/>
              <w:rPr>
                <w:rFonts w:hint="eastAsia" w:eastAsia="宋体"/>
                <w:lang w:eastAsia="zh-CN"/>
              </w:rPr>
            </w:pPr>
            <w:r>
              <w:rPr>
                <w:rFonts w:hint="default"/>
              </w:rPr>
              <w:t>4</w:t>
            </w:r>
            <w:r>
              <w:rPr>
                <w:rFonts w:hint="eastAsia"/>
                <w:lang w:eastAsia="zh-CN"/>
              </w:rPr>
              <w:t>.</w:t>
            </w:r>
            <w:r>
              <w:rPr>
                <w:rFonts w:hint="eastAsia"/>
                <w:lang w:val="en-US" w:eastAsia="zh-CN"/>
              </w:rPr>
              <w:t>1</w:t>
            </w:r>
            <w:r>
              <w:rPr>
                <w:rFonts w:hint="default"/>
              </w:rPr>
              <w:t>、固体</w:t>
            </w:r>
            <w:r>
              <w:rPr>
                <w:rFonts w:hint="eastAsia"/>
                <w:lang w:eastAsia="zh-CN"/>
              </w:rPr>
              <w:t>废物产生情况及处置情况</w:t>
            </w:r>
          </w:p>
          <w:p>
            <w:pPr>
              <w:pStyle w:val="14"/>
              <w:ind w:firstLine="480"/>
            </w:pPr>
            <w:r>
              <w:fldChar w:fldCharType="begin"/>
            </w:r>
            <w:r>
              <w:instrText xml:space="preserve"> = 1 \* GB3 </w:instrText>
            </w:r>
            <w:r>
              <w:fldChar w:fldCharType="separate"/>
            </w:r>
            <w:r>
              <w:rPr>
                <w:rFonts w:hint="eastAsia"/>
              </w:rPr>
              <w:t>①</w:t>
            </w:r>
            <w:r>
              <w:fldChar w:fldCharType="end"/>
            </w:r>
            <w:r>
              <w:rPr>
                <w:rFonts w:hint="eastAsia"/>
              </w:rPr>
              <w:t>油罐清洗过程产生的油泥</w:t>
            </w:r>
          </w:p>
          <w:p>
            <w:pPr>
              <w:pStyle w:val="14"/>
              <w:ind w:firstLine="480"/>
            </w:pPr>
            <w:r>
              <w:rPr>
                <w:rFonts w:hint="eastAsia"/>
              </w:rPr>
              <w:t>根据建设单位提供的资料可知，油罐大约</w:t>
            </w:r>
            <w:r>
              <w:t>3</w:t>
            </w:r>
            <w:r>
              <w:rPr>
                <w:rFonts w:hint="eastAsia"/>
              </w:rPr>
              <w:t>年需清洗保养一次，建设单位与专业清洗公司签订油罐清洗协议，采用干洗法对油罐进行清洗，主要进行底油排放、气体检测、清洗作业、污杂处理。本项目油罐每次保养清洗产生废油及油泥</w:t>
            </w:r>
            <w:r>
              <w:t>0.</w:t>
            </w:r>
            <w:r>
              <w:rPr>
                <w:rFonts w:hint="eastAsia"/>
                <w:lang w:val="en-US" w:eastAsia="zh-CN"/>
              </w:rPr>
              <w:t>2</w:t>
            </w:r>
            <w:r>
              <w:t>t</w:t>
            </w:r>
            <w:r>
              <w:rPr>
                <w:rFonts w:hint="eastAsia"/>
              </w:rPr>
              <w:t>，根据《危险废物名录》可知，废油及油泥属于危险废物（废物类别是</w:t>
            </w:r>
            <w:r>
              <w:t>HW08</w:t>
            </w:r>
            <w:r>
              <w:rPr>
                <w:rFonts w:hint="eastAsia"/>
              </w:rPr>
              <w:t>废矿物油，废物代码是</w:t>
            </w:r>
            <w:r>
              <w:t>900-210-08</w:t>
            </w:r>
            <w:r>
              <w:rPr>
                <w:rFonts w:hint="eastAsia"/>
              </w:rPr>
              <w:t>）。</w:t>
            </w:r>
          </w:p>
          <w:p>
            <w:pPr>
              <w:pStyle w:val="14"/>
              <w:ind w:firstLine="480"/>
            </w:pPr>
            <w:r>
              <w:fldChar w:fldCharType="begin"/>
            </w:r>
            <w:r>
              <w:instrText xml:space="preserve"> = 2 \* GB3 </w:instrText>
            </w:r>
            <w:r>
              <w:fldChar w:fldCharType="separate"/>
            </w:r>
            <w:r>
              <w:rPr>
                <w:rFonts w:hint="eastAsia"/>
              </w:rPr>
              <w:t>②</w:t>
            </w:r>
            <w:r>
              <w:fldChar w:fldCharType="end"/>
            </w:r>
            <w:r>
              <w:rPr>
                <w:rFonts w:hint="eastAsia"/>
              </w:rPr>
              <w:t>隔油池废油</w:t>
            </w:r>
          </w:p>
          <w:p>
            <w:pPr>
              <w:pStyle w:val="14"/>
              <w:ind w:firstLine="480"/>
            </w:pPr>
            <w:r>
              <w:rPr>
                <w:rFonts w:hint="eastAsia"/>
              </w:rPr>
              <w:t>初期雨水、洗车废水及地面清洗废水在隔油沉淀池经隔油处理会产生一定的量废油，建设方提供相关数据，同时类比同类项目，产生量约</w:t>
            </w:r>
            <w:r>
              <w:t>0.</w:t>
            </w:r>
            <w:r>
              <w:rPr>
                <w:rFonts w:hint="eastAsia"/>
                <w:lang w:val="en-US" w:eastAsia="zh-CN"/>
              </w:rPr>
              <w:t>2</w:t>
            </w:r>
            <w:r>
              <w:t>t/a</w:t>
            </w:r>
            <w:r>
              <w:rPr>
                <w:rFonts w:hint="eastAsia"/>
              </w:rPr>
              <w:t>，隔油池废油属于《国家危险废物名录》（2021年）所列的危险废物（废物类别是</w:t>
            </w:r>
            <w:r>
              <w:t xml:space="preserve">HW08 </w:t>
            </w:r>
            <w:r>
              <w:rPr>
                <w:rFonts w:hint="eastAsia"/>
              </w:rPr>
              <w:t>，废物代码是</w:t>
            </w:r>
            <w:r>
              <w:t>900-210-08</w:t>
            </w:r>
            <w:r>
              <w:rPr>
                <w:rFonts w:hint="eastAsia"/>
              </w:rPr>
              <w:t>），应妥善收集后交由有资质的单位处置。</w:t>
            </w:r>
          </w:p>
          <w:p>
            <w:pPr>
              <w:ind w:firstLine="480" w:firstLineChars="200"/>
            </w:pPr>
            <w:r>
              <w:rPr>
                <w:rFonts w:hint="eastAsia"/>
              </w:rPr>
              <w:fldChar w:fldCharType="begin"/>
            </w:r>
            <w:r>
              <w:instrText xml:space="preserve"> = 3 \* GB3 </w:instrText>
            </w:r>
            <w:r>
              <w:rPr>
                <w:rFonts w:hint="eastAsia"/>
              </w:rPr>
              <w:fldChar w:fldCharType="separate"/>
            </w:r>
            <w:r>
              <w:rPr>
                <w:rFonts w:hint="eastAsia"/>
              </w:rPr>
              <w:t>③</w:t>
            </w:r>
            <w:r>
              <w:rPr>
                <w:rFonts w:hint="eastAsia"/>
              </w:rPr>
              <w:fldChar w:fldCharType="end"/>
            </w:r>
            <w:r>
              <w:rPr>
                <w:rFonts w:hint="eastAsia"/>
              </w:rPr>
              <w:t>含油废物</w:t>
            </w:r>
          </w:p>
          <w:p>
            <w:pPr>
              <w:pStyle w:val="14"/>
              <w:ind w:firstLine="480"/>
            </w:pPr>
            <w:r>
              <w:rPr>
                <w:rFonts w:hint="eastAsia"/>
              </w:rPr>
              <w:t>加油站在操作过程中产生的废油手套、跑冒滴漏处置产生的废弃消防沙等含油废物，产生量约</w:t>
            </w:r>
            <w:r>
              <w:t>0.1t/a</w:t>
            </w:r>
            <w:r>
              <w:rPr>
                <w:rFonts w:hint="eastAsia"/>
              </w:rPr>
              <w:t>，属于《国家危险废物名录》（</w:t>
            </w:r>
            <w:r>
              <w:t>20</w:t>
            </w:r>
            <w:r>
              <w:rPr>
                <w:rFonts w:hint="eastAsia"/>
              </w:rPr>
              <w:t>2</w:t>
            </w:r>
            <w:r>
              <w:rPr>
                <w:rFonts w:hint="eastAsia"/>
                <w:lang w:val="en-US" w:eastAsia="zh-CN"/>
              </w:rPr>
              <w:t>1</w:t>
            </w:r>
            <w:r>
              <w:rPr>
                <w:rFonts w:hint="eastAsia"/>
              </w:rPr>
              <w:t>年）所列的危险废物（废物类别是</w:t>
            </w:r>
            <w:r>
              <w:t>HW08</w:t>
            </w:r>
            <w:r>
              <w:rPr>
                <w:rFonts w:hint="eastAsia"/>
              </w:rPr>
              <w:t>，废物代码是</w:t>
            </w:r>
            <w:r>
              <w:t>900-2</w:t>
            </w:r>
            <w:r>
              <w:rPr>
                <w:rFonts w:hint="eastAsia"/>
              </w:rPr>
              <w:t>49</w:t>
            </w:r>
            <w:r>
              <w:t>-08</w:t>
            </w:r>
            <w:r>
              <w:rPr>
                <w:rFonts w:hint="eastAsia"/>
                <w:lang w:eastAsia="zh-CN"/>
              </w:rPr>
              <w:t>），</w:t>
            </w:r>
            <w:r>
              <w:rPr>
                <w:rFonts w:hint="eastAsia"/>
              </w:rPr>
              <w:t>应妥善收集后交由有资质的单位处置。</w:t>
            </w:r>
          </w:p>
          <w:p>
            <w:pPr>
              <w:ind w:firstLine="480" w:firstLineChars="200"/>
            </w:pPr>
            <w:r>
              <w:rPr>
                <w:rFonts w:hint="eastAsia"/>
              </w:rPr>
              <w:t>④生活垃圾</w:t>
            </w:r>
          </w:p>
          <w:p>
            <w:pPr>
              <w:ind w:firstLine="480" w:firstLineChars="200"/>
            </w:pPr>
            <w:r>
              <w:rPr>
                <w:rFonts w:hint="eastAsia"/>
              </w:rPr>
              <w:t>本项目劳动定员为10人，均不在场内食宿，按人均生活垃圾产生量</w:t>
            </w:r>
            <w:r>
              <w:t>0.5kg/d</w:t>
            </w:r>
            <w:r>
              <w:rPr>
                <w:rFonts w:hint="eastAsia"/>
              </w:rPr>
              <w:t>计算，则生活垃圾产生量为5</w:t>
            </w:r>
            <w:r>
              <w:t>kg/d</w:t>
            </w:r>
            <w:r>
              <w:rPr>
                <w:rFonts w:hint="eastAsia"/>
              </w:rPr>
              <w:t>、1.83</w:t>
            </w:r>
            <w:r>
              <w:t>t/a</w:t>
            </w:r>
            <w:r>
              <w:rPr>
                <w:rFonts w:hint="eastAsia"/>
              </w:rPr>
              <w:t>，统一收集后交由环卫部门处理。</w:t>
            </w:r>
          </w:p>
          <w:p>
            <w:pPr>
              <w:pStyle w:val="14"/>
              <w:ind w:firstLine="480"/>
            </w:pPr>
            <w:r>
              <w:rPr>
                <w:rFonts w:hint="eastAsia"/>
              </w:rPr>
              <w:t>本环评建议，在</w:t>
            </w:r>
            <w:r>
              <w:rPr>
                <w:rFonts w:hint="eastAsia"/>
                <w:lang w:eastAsia="zh-CN"/>
              </w:rPr>
              <w:t>辅助用房</w:t>
            </w:r>
            <w:r>
              <w:rPr>
                <w:rFonts w:hint="eastAsia"/>
              </w:rPr>
              <w:t>左侧建一座危险废物暂存间5</w:t>
            </w:r>
            <w:r>
              <w:t>m²</w:t>
            </w:r>
            <w:r>
              <w:rPr>
                <w:rFonts w:hint="eastAsia"/>
              </w:rPr>
              <w:t>，危险废物按危险废物处置要求暂存于危废暂存间内。</w:t>
            </w:r>
          </w:p>
          <w:p>
            <w:pPr>
              <w:keepNext w:val="0"/>
              <w:keepLines w:val="0"/>
              <w:pageBreakBefore w:val="0"/>
              <w:widowControl w:val="0"/>
              <w:kinsoku/>
              <w:wordWrap/>
              <w:overflowPunct/>
              <w:topLinePunct w:val="0"/>
              <w:autoSpaceDE/>
              <w:autoSpaceDN/>
              <w:bidi w:val="0"/>
              <w:spacing w:line="360" w:lineRule="auto"/>
              <w:ind w:left="480" w:leftChars="200" w:firstLine="0" w:firstLineChars="0"/>
              <w:textAlignment w:val="auto"/>
              <w:outlineLvl w:val="9"/>
              <w:rPr>
                <w:sz w:val="24"/>
                <w:szCs w:val="32"/>
                <w:highlight w:val="none"/>
              </w:rPr>
            </w:pPr>
            <w:r>
              <w:rPr>
                <w:rFonts w:hint="eastAsia"/>
              </w:rPr>
              <w:t>建设单位已采取的防治措施，具体产生情况如下表</w:t>
            </w:r>
            <w:r>
              <w:rPr>
                <w:rFonts w:hint="eastAsia"/>
                <w:sz w:val="24"/>
                <w:szCs w:val="32"/>
                <w:highlight w:val="none"/>
              </w:rPr>
              <w:t>。</w:t>
            </w:r>
          </w:p>
          <w:p>
            <w:pPr>
              <w:pStyle w:val="36"/>
              <w:bidi w:val="0"/>
              <w:rPr>
                <w:rFonts w:hint="eastAsia"/>
              </w:rPr>
            </w:pPr>
            <w:r>
              <w:rPr>
                <w:rFonts w:hint="eastAsia"/>
              </w:rPr>
              <w:t>表</w:t>
            </w:r>
            <w:r>
              <w:rPr>
                <w:rFonts w:hint="eastAsia"/>
                <w:lang w:val="en-US" w:eastAsia="zh-CN"/>
              </w:rPr>
              <w:t>4.2</w:t>
            </w:r>
            <w:r>
              <w:rPr>
                <w:rFonts w:hint="eastAsia"/>
              </w:rPr>
              <w:t>-</w:t>
            </w:r>
            <w:r>
              <w:rPr>
                <w:rFonts w:hint="eastAsia"/>
                <w:lang w:val="en-US" w:eastAsia="zh-CN"/>
              </w:rPr>
              <w:t xml:space="preserve">20 </w:t>
            </w:r>
            <w:r>
              <w:rPr>
                <w:rFonts w:hint="eastAsia"/>
              </w:rPr>
              <w:t>固体废物产生及去向情况汇总表</w:t>
            </w:r>
          </w:p>
          <w:tbl>
            <w:tblPr>
              <w:tblStyle w:val="3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5"/>
              <w:gridCol w:w="1398"/>
              <w:gridCol w:w="1122"/>
              <w:gridCol w:w="964"/>
              <w:gridCol w:w="1196"/>
              <w:gridCol w:w="834"/>
              <w:gridCol w:w="18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9"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rPr>
                      <w:rFonts w:hint="eastAsia"/>
                    </w:rPr>
                    <w:t>序号</w:t>
                  </w:r>
                </w:p>
              </w:tc>
              <w:tc>
                <w:tcPr>
                  <w:tcW w:w="889"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rPr>
                      <w:rFonts w:hint="eastAsia"/>
                    </w:rPr>
                    <w:t>种类</w:t>
                  </w:r>
                </w:p>
              </w:tc>
              <w:tc>
                <w:tcPr>
                  <w:tcW w:w="714"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rPr>
                      <w:rFonts w:hint="eastAsia"/>
                    </w:rPr>
                    <w:t>产生位置</w:t>
                  </w:r>
                </w:p>
              </w:tc>
              <w:tc>
                <w:tcPr>
                  <w:tcW w:w="614"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rPr>
                      <w:rFonts w:hint="eastAsia"/>
                    </w:rPr>
                    <w:t>产生量</w:t>
                  </w:r>
                </w:p>
              </w:tc>
              <w:tc>
                <w:tcPr>
                  <w:tcW w:w="735"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rPr>
                      <w:rFonts w:hint="eastAsia"/>
                    </w:rPr>
                    <w:t>固废性质</w:t>
                  </w:r>
                </w:p>
              </w:tc>
              <w:tc>
                <w:tcPr>
                  <w:tcW w:w="532"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rPr>
                      <w:rFonts w:hint="eastAsia"/>
                    </w:rPr>
                    <w:t>排放量</w:t>
                  </w:r>
                </w:p>
              </w:tc>
              <w:tc>
                <w:tcPr>
                  <w:tcW w:w="1163"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rPr>
                      <w:rFonts w:hint="eastAsia"/>
                    </w:rPr>
                    <w:t>处置措施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9"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t>1</w:t>
                  </w:r>
                </w:p>
              </w:tc>
              <w:tc>
                <w:tcPr>
                  <w:tcW w:w="889"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rPr>
                      <w:rFonts w:hint="eastAsia"/>
                    </w:rPr>
                    <w:t>生活垃圾</w:t>
                  </w:r>
                </w:p>
              </w:tc>
              <w:tc>
                <w:tcPr>
                  <w:tcW w:w="714"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rPr>
                      <w:rFonts w:hint="eastAsia"/>
                    </w:rPr>
                    <w:t>生活办公</w:t>
                  </w:r>
                </w:p>
              </w:tc>
              <w:tc>
                <w:tcPr>
                  <w:tcW w:w="614"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rPr>
                      <w:rFonts w:hint="eastAsia"/>
                    </w:rPr>
                    <w:t>1.83</w:t>
                  </w:r>
                  <w:r>
                    <w:t>t/a</w:t>
                  </w:r>
                </w:p>
              </w:tc>
              <w:tc>
                <w:tcPr>
                  <w:tcW w:w="735"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rPr>
                      <w:rFonts w:hint="eastAsia"/>
                    </w:rPr>
                    <w:t>一般固废</w:t>
                  </w:r>
                </w:p>
              </w:tc>
              <w:tc>
                <w:tcPr>
                  <w:tcW w:w="532"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t>0</w:t>
                  </w:r>
                </w:p>
              </w:tc>
              <w:tc>
                <w:tcPr>
                  <w:tcW w:w="1163"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rPr>
                      <w:rFonts w:hint="eastAsia"/>
                    </w:rPr>
                    <w:t>交由环卫部门定期清理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9"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rPr>
                      <w:rFonts w:hint="eastAsia"/>
                    </w:rPr>
                    <w:t>2</w:t>
                  </w:r>
                </w:p>
              </w:tc>
              <w:tc>
                <w:tcPr>
                  <w:tcW w:w="889"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rPr>
                      <w:rFonts w:hint="eastAsia"/>
                    </w:rPr>
                    <w:t>油罐清洗过程产生的油泥</w:t>
                  </w:r>
                </w:p>
              </w:tc>
              <w:tc>
                <w:tcPr>
                  <w:tcW w:w="714"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rPr>
                      <w:rFonts w:hint="eastAsia"/>
                    </w:rPr>
                    <w:t>油罐区</w:t>
                  </w:r>
                </w:p>
              </w:tc>
              <w:tc>
                <w:tcPr>
                  <w:tcW w:w="614"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t>0.</w:t>
                  </w:r>
                  <w:r>
                    <w:rPr>
                      <w:rFonts w:hint="eastAsia"/>
                      <w:lang w:val="en-US" w:eastAsia="zh-CN"/>
                    </w:rPr>
                    <w:t>2</w:t>
                  </w:r>
                  <w:r>
                    <w:t>t/a</w:t>
                  </w:r>
                </w:p>
              </w:tc>
              <w:tc>
                <w:tcPr>
                  <w:tcW w:w="735"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rPr>
                      <w:rFonts w:hint="eastAsia"/>
                    </w:rPr>
                    <w:t>危险废物</w:t>
                  </w:r>
                </w:p>
                <w:p>
                  <w:pPr>
                    <w:pStyle w:val="35"/>
                    <w:tabs>
                      <w:tab w:val="left" w:pos="1021"/>
                    </w:tabs>
                  </w:pPr>
                  <w:r>
                    <w:rPr>
                      <w:rFonts w:hint="eastAsia"/>
                    </w:rPr>
                    <w:t>（</w:t>
                  </w:r>
                  <w:r>
                    <w:t>HW08</w:t>
                  </w:r>
                  <w:r>
                    <w:rPr>
                      <w:rFonts w:hint="eastAsia"/>
                    </w:rPr>
                    <w:t>）</w:t>
                  </w:r>
                </w:p>
              </w:tc>
              <w:tc>
                <w:tcPr>
                  <w:tcW w:w="532"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t>0</w:t>
                  </w:r>
                </w:p>
              </w:tc>
              <w:tc>
                <w:tcPr>
                  <w:tcW w:w="1163"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t>3-5</w:t>
                  </w:r>
                  <w:r>
                    <w:rPr>
                      <w:rFonts w:hint="eastAsia"/>
                    </w:rPr>
                    <w:t>年清除一次，清理时由清洗单位直接带走集中处置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9"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rPr>
                      <w:rFonts w:hint="eastAsia"/>
                    </w:rPr>
                    <w:t>3</w:t>
                  </w:r>
                </w:p>
              </w:tc>
              <w:tc>
                <w:tcPr>
                  <w:tcW w:w="889"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rPr>
                      <w:rFonts w:hint="eastAsia"/>
                    </w:rPr>
                    <w:t>隔油池废油</w:t>
                  </w:r>
                </w:p>
              </w:tc>
              <w:tc>
                <w:tcPr>
                  <w:tcW w:w="714"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rPr>
                      <w:rFonts w:hint="eastAsia"/>
                    </w:rPr>
                    <w:t>隔油池</w:t>
                  </w:r>
                </w:p>
              </w:tc>
              <w:tc>
                <w:tcPr>
                  <w:tcW w:w="614"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t>0.</w:t>
                  </w:r>
                  <w:r>
                    <w:rPr>
                      <w:rFonts w:hint="eastAsia"/>
                      <w:lang w:val="en-US" w:eastAsia="zh-CN"/>
                    </w:rPr>
                    <w:t>2</w:t>
                  </w:r>
                  <w:r>
                    <w:t>t/a</w:t>
                  </w:r>
                </w:p>
              </w:tc>
              <w:tc>
                <w:tcPr>
                  <w:tcW w:w="735"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rPr>
                      <w:rFonts w:hint="eastAsia"/>
                    </w:rPr>
                    <w:t>危险废物</w:t>
                  </w:r>
                </w:p>
                <w:p>
                  <w:pPr>
                    <w:pStyle w:val="35"/>
                    <w:tabs>
                      <w:tab w:val="left" w:pos="1021"/>
                    </w:tabs>
                  </w:pPr>
                  <w:r>
                    <w:rPr>
                      <w:rFonts w:hint="eastAsia"/>
                    </w:rPr>
                    <w:t>（</w:t>
                  </w:r>
                  <w:r>
                    <w:t>HW</w:t>
                  </w:r>
                  <w:r>
                    <w:rPr>
                      <w:rFonts w:hint="eastAsia"/>
                    </w:rPr>
                    <w:t>08）</w:t>
                  </w:r>
                </w:p>
              </w:tc>
              <w:tc>
                <w:tcPr>
                  <w:tcW w:w="532"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t>0</w:t>
                  </w:r>
                </w:p>
              </w:tc>
              <w:tc>
                <w:tcPr>
                  <w:tcW w:w="1163" w:type="pct"/>
                  <w:vMerge w:val="restart"/>
                  <w:tcBorders>
                    <w:top w:val="single" w:color="auto" w:sz="4" w:space="0"/>
                    <w:left w:val="single" w:color="auto" w:sz="4" w:space="0"/>
                    <w:right w:val="single" w:color="auto" w:sz="4" w:space="0"/>
                  </w:tcBorders>
                  <w:vAlign w:val="center"/>
                </w:tcPr>
                <w:p>
                  <w:pPr>
                    <w:pStyle w:val="35"/>
                    <w:tabs>
                      <w:tab w:val="left" w:pos="1021"/>
                    </w:tabs>
                  </w:pPr>
                  <w:r>
                    <w:rPr>
                      <w:rFonts w:hint="eastAsia"/>
                    </w:rPr>
                    <w:t>交由有资质单位处置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9"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rPr>
                      <w:rFonts w:hint="eastAsia"/>
                    </w:rPr>
                    <w:t>4</w:t>
                  </w:r>
                </w:p>
              </w:tc>
              <w:tc>
                <w:tcPr>
                  <w:tcW w:w="889"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rPr>
                      <w:rFonts w:hint="eastAsia"/>
                    </w:rPr>
                    <w:t>含油废物</w:t>
                  </w:r>
                </w:p>
              </w:tc>
              <w:tc>
                <w:tcPr>
                  <w:tcW w:w="714"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rPr>
                      <w:rFonts w:hint="eastAsia"/>
                    </w:rPr>
                    <w:t>加油操作</w:t>
                  </w:r>
                </w:p>
              </w:tc>
              <w:tc>
                <w:tcPr>
                  <w:tcW w:w="614"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t>0.1t/a</w:t>
                  </w:r>
                </w:p>
              </w:tc>
              <w:tc>
                <w:tcPr>
                  <w:tcW w:w="735"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rPr>
                      <w:rFonts w:hint="default" w:eastAsia="宋体"/>
                      <w:lang w:val="en-US" w:eastAsia="zh-CN"/>
                    </w:rPr>
                  </w:pPr>
                  <w:r>
                    <w:rPr>
                      <w:rFonts w:hint="eastAsia"/>
                    </w:rPr>
                    <w:t>危废编号</w:t>
                  </w:r>
                  <w:r>
                    <w:t xml:space="preserve"> HW</w:t>
                  </w:r>
                  <w:r>
                    <w:rPr>
                      <w:rFonts w:hint="eastAsia"/>
                      <w:lang w:val="en-US" w:eastAsia="zh-CN"/>
                    </w:rPr>
                    <w:t>08</w:t>
                  </w:r>
                </w:p>
              </w:tc>
              <w:tc>
                <w:tcPr>
                  <w:tcW w:w="532" w:type="pct"/>
                  <w:tcBorders>
                    <w:top w:val="single" w:color="auto" w:sz="4" w:space="0"/>
                    <w:left w:val="single" w:color="auto" w:sz="4" w:space="0"/>
                    <w:bottom w:val="single" w:color="auto" w:sz="4" w:space="0"/>
                    <w:right w:val="single" w:color="auto" w:sz="4" w:space="0"/>
                  </w:tcBorders>
                  <w:vAlign w:val="center"/>
                </w:tcPr>
                <w:p>
                  <w:pPr>
                    <w:pStyle w:val="35"/>
                    <w:tabs>
                      <w:tab w:val="left" w:pos="1021"/>
                    </w:tabs>
                  </w:pPr>
                  <w:r>
                    <w:t>0</w:t>
                  </w:r>
                </w:p>
              </w:tc>
              <w:tc>
                <w:tcPr>
                  <w:tcW w:w="1163" w:type="pct"/>
                  <w:vMerge w:val="continue"/>
                  <w:tcBorders>
                    <w:left w:val="single" w:color="auto" w:sz="4" w:space="0"/>
                    <w:bottom w:val="single" w:color="auto" w:sz="4" w:space="0"/>
                    <w:right w:val="single" w:color="auto" w:sz="4" w:space="0"/>
                  </w:tcBorders>
                  <w:vAlign w:val="center"/>
                </w:tcPr>
                <w:p>
                  <w:pPr>
                    <w:pStyle w:val="35"/>
                    <w:tabs>
                      <w:tab w:val="left" w:pos="1021"/>
                    </w:tabs>
                  </w:pPr>
                </w:p>
              </w:tc>
            </w:tr>
          </w:tbl>
          <w:p>
            <w:pPr>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outlineLvl w:val="9"/>
              <w:rPr>
                <w:sz w:val="24"/>
                <w:szCs w:val="32"/>
                <w:highlight w:val="none"/>
              </w:rPr>
            </w:pPr>
            <w:r>
              <w:rPr>
                <w:rFonts w:hint="eastAsia"/>
                <w:sz w:val="24"/>
                <w:szCs w:val="32"/>
                <w:highlight w:val="none"/>
                <w:lang w:val="en-US" w:eastAsia="zh-CN"/>
              </w:rPr>
              <w:t>②</w:t>
            </w:r>
            <w:r>
              <w:rPr>
                <w:rFonts w:hint="eastAsia"/>
                <w:sz w:val="24"/>
                <w:szCs w:val="32"/>
                <w:highlight w:val="none"/>
              </w:rPr>
              <w:t>危险</w:t>
            </w:r>
            <w:r>
              <w:rPr>
                <w:sz w:val="24"/>
                <w:szCs w:val="32"/>
                <w:highlight w:val="none"/>
              </w:rPr>
              <w:t>废物</w:t>
            </w:r>
          </w:p>
          <w:p>
            <w:pPr>
              <w:pStyle w:val="36"/>
              <w:bidi w:val="0"/>
            </w:pPr>
            <w:r>
              <w:rPr>
                <w:rFonts w:hint="eastAsia"/>
              </w:rPr>
              <w:t>表</w:t>
            </w:r>
            <w:r>
              <w:rPr>
                <w:rFonts w:hint="eastAsia"/>
                <w:lang w:val="en-US" w:eastAsia="zh-CN"/>
              </w:rPr>
              <w:t>4.2</w:t>
            </w:r>
            <w:r>
              <w:t>-</w:t>
            </w:r>
            <w:r>
              <w:rPr>
                <w:rFonts w:hint="eastAsia"/>
                <w:lang w:val="en-US" w:eastAsia="zh-CN"/>
              </w:rPr>
              <w:t>21</w:t>
            </w:r>
            <w:r>
              <w:t xml:space="preserve"> </w:t>
            </w:r>
            <w:r>
              <w:rPr>
                <w:rFonts w:hint="eastAsia"/>
              </w:rPr>
              <w:t>危险废物</w:t>
            </w:r>
            <w:r>
              <w:rPr>
                <w:rFonts w:hint="eastAsia"/>
                <w:lang w:val="en-US" w:eastAsia="zh-CN"/>
              </w:rPr>
              <w:t>评价</w:t>
            </w:r>
            <w:r>
              <w:t>表</w:t>
            </w:r>
          </w:p>
          <w:tbl>
            <w:tblPr>
              <w:tblStyle w:val="3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383"/>
              <w:gridCol w:w="944"/>
              <w:gridCol w:w="857"/>
              <w:gridCol w:w="990"/>
              <w:gridCol w:w="978"/>
              <w:gridCol w:w="1012"/>
              <w:gridCol w:w="654"/>
              <w:gridCol w:w="693"/>
              <w:gridCol w:w="690"/>
              <w:gridCol w:w="6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43" w:type="pct"/>
                  <w:noWrap w:val="0"/>
                  <w:vAlign w:val="center"/>
                </w:tcPr>
                <w:p>
                  <w:pPr>
                    <w:pStyle w:val="35"/>
                    <w:bidi w:val="0"/>
                    <w:jc w:val="center"/>
                    <w:rPr>
                      <w:rFonts w:hint="eastAsia"/>
                    </w:rPr>
                  </w:pPr>
                  <w:r>
                    <w:rPr>
                      <w:rFonts w:hint="eastAsia"/>
                    </w:rPr>
                    <w:t>序号</w:t>
                  </w:r>
                </w:p>
              </w:tc>
              <w:tc>
                <w:tcPr>
                  <w:tcW w:w="598" w:type="pct"/>
                  <w:noWrap w:val="0"/>
                  <w:vAlign w:val="center"/>
                </w:tcPr>
                <w:p>
                  <w:pPr>
                    <w:pStyle w:val="35"/>
                    <w:bidi w:val="0"/>
                    <w:jc w:val="center"/>
                    <w:rPr>
                      <w:rFonts w:hint="eastAsia"/>
                    </w:rPr>
                  </w:pPr>
                  <w:r>
                    <w:rPr>
                      <w:rFonts w:hint="eastAsia"/>
                    </w:rPr>
                    <w:t>危险废物名称</w:t>
                  </w:r>
                </w:p>
              </w:tc>
              <w:tc>
                <w:tcPr>
                  <w:tcW w:w="543" w:type="pct"/>
                  <w:noWrap w:val="0"/>
                  <w:vAlign w:val="center"/>
                </w:tcPr>
                <w:p>
                  <w:pPr>
                    <w:pStyle w:val="35"/>
                    <w:bidi w:val="0"/>
                    <w:jc w:val="center"/>
                    <w:rPr>
                      <w:rFonts w:hint="eastAsia"/>
                    </w:rPr>
                  </w:pPr>
                  <w:r>
                    <w:rPr>
                      <w:rFonts w:hint="eastAsia"/>
                    </w:rPr>
                    <w:t>危险废物类别</w:t>
                  </w:r>
                </w:p>
              </w:tc>
              <w:tc>
                <w:tcPr>
                  <w:tcW w:w="624" w:type="pct"/>
                  <w:noWrap w:val="0"/>
                  <w:vAlign w:val="center"/>
                </w:tcPr>
                <w:p>
                  <w:pPr>
                    <w:pStyle w:val="35"/>
                    <w:bidi w:val="0"/>
                    <w:jc w:val="center"/>
                    <w:rPr>
                      <w:rFonts w:hint="eastAsia"/>
                    </w:rPr>
                  </w:pPr>
                  <w:r>
                    <w:rPr>
                      <w:rFonts w:hint="eastAsia"/>
                    </w:rPr>
                    <w:t>危险废物代码</w:t>
                  </w:r>
                </w:p>
              </w:tc>
              <w:tc>
                <w:tcPr>
                  <w:tcW w:w="620" w:type="pct"/>
                  <w:noWrap w:val="0"/>
                  <w:vAlign w:val="center"/>
                </w:tcPr>
                <w:p>
                  <w:pPr>
                    <w:pStyle w:val="35"/>
                    <w:bidi w:val="0"/>
                    <w:jc w:val="center"/>
                    <w:rPr>
                      <w:rFonts w:hint="eastAsia"/>
                    </w:rPr>
                  </w:pPr>
                  <w:r>
                    <w:rPr>
                      <w:rFonts w:hint="eastAsia"/>
                    </w:rPr>
                    <w:t>产生量</w:t>
                  </w:r>
                </w:p>
                <w:p>
                  <w:pPr>
                    <w:pStyle w:val="35"/>
                    <w:bidi w:val="0"/>
                    <w:jc w:val="center"/>
                    <w:rPr>
                      <w:rFonts w:hint="eastAsia"/>
                    </w:rPr>
                  </w:pPr>
                  <w:r>
                    <w:rPr>
                      <w:rFonts w:hint="eastAsia"/>
                    </w:rPr>
                    <w:t>（</w:t>
                  </w:r>
                  <w:r>
                    <w:t>t/a/</w:t>
                  </w:r>
                  <w:r>
                    <w:rPr>
                      <w:rFonts w:hint="eastAsia"/>
                    </w:rPr>
                    <w:t>）</w:t>
                  </w:r>
                </w:p>
              </w:tc>
              <w:tc>
                <w:tcPr>
                  <w:tcW w:w="641" w:type="pct"/>
                  <w:noWrap w:val="0"/>
                  <w:vAlign w:val="center"/>
                </w:tcPr>
                <w:p>
                  <w:pPr>
                    <w:pStyle w:val="35"/>
                    <w:bidi w:val="0"/>
                    <w:jc w:val="center"/>
                    <w:rPr>
                      <w:rFonts w:hint="eastAsia"/>
                    </w:rPr>
                  </w:pPr>
                  <w:r>
                    <w:rPr>
                      <w:rFonts w:hint="eastAsia"/>
                    </w:rPr>
                    <w:t>产生工序及装置</w:t>
                  </w:r>
                </w:p>
              </w:tc>
              <w:tc>
                <w:tcPr>
                  <w:tcW w:w="414" w:type="pct"/>
                  <w:noWrap w:val="0"/>
                  <w:vAlign w:val="center"/>
                </w:tcPr>
                <w:p>
                  <w:pPr>
                    <w:pStyle w:val="35"/>
                    <w:bidi w:val="0"/>
                    <w:jc w:val="center"/>
                    <w:rPr>
                      <w:rFonts w:hint="eastAsia"/>
                    </w:rPr>
                  </w:pPr>
                  <w:r>
                    <w:rPr>
                      <w:rFonts w:hint="eastAsia"/>
                    </w:rPr>
                    <w:t>形态</w:t>
                  </w:r>
                </w:p>
              </w:tc>
              <w:tc>
                <w:tcPr>
                  <w:tcW w:w="439" w:type="pct"/>
                  <w:noWrap w:val="0"/>
                  <w:vAlign w:val="center"/>
                </w:tcPr>
                <w:p>
                  <w:pPr>
                    <w:pStyle w:val="35"/>
                    <w:bidi w:val="0"/>
                    <w:jc w:val="center"/>
                    <w:rPr>
                      <w:rFonts w:hint="eastAsia"/>
                    </w:rPr>
                  </w:pPr>
                  <w:r>
                    <w:rPr>
                      <w:rFonts w:hint="eastAsia"/>
                    </w:rPr>
                    <w:t>有害成分</w:t>
                  </w:r>
                </w:p>
              </w:tc>
              <w:tc>
                <w:tcPr>
                  <w:tcW w:w="437" w:type="pct"/>
                  <w:noWrap w:val="0"/>
                  <w:vAlign w:val="center"/>
                </w:tcPr>
                <w:p>
                  <w:pPr>
                    <w:pStyle w:val="35"/>
                    <w:bidi w:val="0"/>
                    <w:jc w:val="center"/>
                    <w:rPr>
                      <w:rFonts w:hint="eastAsia"/>
                    </w:rPr>
                  </w:pPr>
                  <w:r>
                    <w:rPr>
                      <w:rFonts w:hint="eastAsia"/>
                    </w:rPr>
                    <w:t>危险特性</w:t>
                  </w:r>
                </w:p>
              </w:tc>
              <w:tc>
                <w:tcPr>
                  <w:tcW w:w="438" w:type="pct"/>
                  <w:noWrap w:val="0"/>
                  <w:vAlign w:val="center"/>
                </w:tcPr>
                <w:p>
                  <w:pPr>
                    <w:pStyle w:val="35"/>
                    <w:bidi w:val="0"/>
                    <w:jc w:val="center"/>
                  </w:pPr>
                  <w:r>
                    <w:rPr>
                      <w:rFonts w:hint="eastAsia"/>
                    </w:rPr>
                    <w:t>污染防治措施</w:t>
                  </w:r>
                  <w: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43" w:type="pct"/>
                  <w:noWrap w:val="0"/>
                  <w:vAlign w:val="center"/>
                </w:tcPr>
                <w:p>
                  <w:pPr>
                    <w:pStyle w:val="35"/>
                    <w:bidi w:val="0"/>
                    <w:jc w:val="center"/>
                  </w:pPr>
                  <w:r>
                    <w:t>1</w:t>
                  </w:r>
                </w:p>
              </w:tc>
              <w:tc>
                <w:tcPr>
                  <w:tcW w:w="598" w:type="pct"/>
                  <w:noWrap w:val="0"/>
                  <w:vAlign w:val="center"/>
                </w:tcPr>
                <w:p>
                  <w:pPr>
                    <w:pStyle w:val="35"/>
                    <w:bidi w:val="0"/>
                    <w:jc w:val="center"/>
                    <w:rPr>
                      <w:rFonts w:hint="eastAsia"/>
                      <w:lang w:val="en-US" w:eastAsia="zh-CN"/>
                    </w:rPr>
                  </w:pPr>
                  <w:r>
                    <w:rPr>
                      <w:rFonts w:hint="eastAsia"/>
                    </w:rPr>
                    <w:t>油罐清洗过程产生的油泥</w:t>
                  </w:r>
                </w:p>
              </w:tc>
              <w:tc>
                <w:tcPr>
                  <w:tcW w:w="543" w:type="pct"/>
                  <w:noWrap w:val="0"/>
                  <w:vAlign w:val="center"/>
                </w:tcPr>
                <w:p>
                  <w:pPr>
                    <w:pStyle w:val="35"/>
                    <w:bidi w:val="0"/>
                    <w:jc w:val="center"/>
                    <w:rPr>
                      <w:rFonts w:hint="default" w:eastAsia="宋体"/>
                      <w:lang w:val="en-US" w:eastAsia="zh-CN"/>
                    </w:rPr>
                  </w:pPr>
                  <w:r>
                    <w:t>HW</w:t>
                  </w:r>
                  <w:r>
                    <w:rPr>
                      <w:rFonts w:hint="eastAsia"/>
                      <w:lang w:val="en-US" w:eastAsia="zh-CN"/>
                    </w:rPr>
                    <w:t>08</w:t>
                  </w:r>
                </w:p>
              </w:tc>
              <w:tc>
                <w:tcPr>
                  <w:tcW w:w="624" w:type="pct"/>
                  <w:noWrap w:val="0"/>
                  <w:vAlign w:val="center"/>
                </w:tcPr>
                <w:p>
                  <w:pPr>
                    <w:pStyle w:val="35"/>
                    <w:bidi w:val="0"/>
                    <w:jc w:val="center"/>
                    <w:rPr>
                      <w:lang w:val="en-US" w:eastAsia="zh-CN"/>
                    </w:rPr>
                  </w:pPr>
                  <w:r>
                    <w:t>900-210-08</w:t>
                  </w:r>
                </w:p>
              </w:tc>
              <w:tc>
                <w:tcPr>
                  <w:tcW w:w="620" w:type="pct"/>
                  <w:noWrap w:val="0"/>
                  <w:vAlign w:val="center"/>
                </w:tcPr>
                <w:p>
                  <w:pPr>
                    <w:pStyle w:val="35"/>
                    <w:bidi w:val="0"/>
                    <w:jc w:val="center"/>
                    <w:rPr>
                      <w:rFonts w:hint="default"/>
                      <w:lang w:val="en-US" w:eastAsia="zh-CN"/>
                    </w:rPr>
                  </w:pPr>
                  <w:r>
                    <w:rPr>
                      <w:rFonts w:hint="eastAsia"/>
                      <w:lang w:val="en-US" w:eastAsia="zh-CN"/>
                    </w:rPr>
                    <w:t>0.2</w:t>
                  </w:r>
                </w:p>
              </w:tc>
              <w:tc>
                <w:tcPr>
                  <w:tcW w:w="641" w:type="pct"/>
                  <w:noWrap w:val="0"/>
                  <w:vAlign w:val="center"/>
                </w:tcPr>
                <w:p>
                  <w:pPr>
                    <w:pStyle w:val="35"/>
                    <w:bidi w:val="0"/>
                    <w:jc w:val="center"/>
                    <w:rPr>
                      <w:rFonts w:hint="eastAsia"/>
                    </w:rPr>
                  </w:pPr>
                  <w:r>
                    <w:rPr>
                      <w:rFonts w:hint="eastAsia"/>
                    </w:rPr>
                    <w:t>油罐清洗</w:t>
                  </w:r>
                </w:p>
              </w:tc>
              <w:tc>
                <w:tcPr>
                  <w:tcW w:w="414" w:type="pct"/>
                  <w:noWrap w:val="0"/>
                  <w:vAlign w:val="center"/>
                </w:tcPr>
                <w:p>
                  <w:pPr>
                    <w:pStyle w:val="35"/>
                    <w:bidi w:val="0"/>
                    <w:jc w:val="center"/>
                    <w:rPr>
                      <w:rFonts w:hint="eastAsia"/>
                    </w:rPr>
                  </w:pPr>
                  <w:r>
                    <w:rPr>
                      <w:rFonts w:hint="eastAsia"/>
                    </w:rPr>
                    <w:t>固</w:t>
                  </w:r>
                </w:p>
              </w:tc>
              <w:tc>
                <w:tcPr>
                  <w:tcW w:w="439" w:type="pct"/>
                  <w:noWrap w:val="0"/>
                  <w:vAlign w:val="center"/>
                </w:tcPr>
                <w:p>
                  <w:pPr>
                    <w:pStyle w:val="35"/>
                    <w:bidi w:val="0"/>
                    <w:jc w:val="center"/>
                    <w:rPr>
                      <w:rFonts w:hint="eastAsia"/>
                    </w:rPr>
                  </w:pPr>
                  <w:r>
                    <w:rPr>
                      <w:rFonts w:hint="eastAsia"/>
                    </w:rPr>
                    <w:t>矿物油</w:t>
                  </w:r>
                </w:p>
              </w:tc>
              <w:tc>
                <w:tcPr>
                  <w:tcW w:w="437" w:type="pct"/>
                  <w:noWrap w:val="0"/>
                  <w:vAlign w:val="center"/>
                </w:tcPr>
                <w:p>
                  <w:pPr>
                    <w:pStyle w:val="35"/>
                    <w:bidi w:val="0"/>
                    <w:jc w:val="center"/>
                  </w:pPr>
                  <w:r>
                    <w:t>T/In</w:t>
                  </w:r>
                </w:p>
              </w:tc>
              <w:tc>
                <w:tcPr>
                  <w:tcW w:w="438" w:type="pct"/>
                  <w:vMerge w:val="restart"/>
                  <w:noWrap w:val="0"/>
                  <w:vAlign w:val="center"/>
                </w:tcPr>
                <w:p>
                  <w:pPr>
                    <w:pStyle w:val="35"/>
                    <w:bidi w:val="0"/>
                    <w:jc w:val="center"/>
                    <w:rPr>
                      <w:rFonts w:hint="eastAsia"/>
                    </w:rPr>
                  </w:pPr>
                  <w:r>
                    <w:rPr>
                      <w:rFonts w:hint="eastAsia"/>
                    </w:rPr>
                    <w:t>委托</w:t>
                  </w:r>
                </w:p>
                <w:p>
                  <w:pPr>
                    <w:pStyle w:val="35"/>
                    <w:bidi w:val="0"/>
                    <w:jc w:val="center"/>
                    <w:rPr>
                      <w:rFonts w:hint="eastAsia"/>
                    </w:rPr>
                  </w:pPr>
                  <w:r>
                    <w:rPr>
                      <w:rFonts w:hint="eastAsia"/>
                    </w:rPr>
                    <w:t>有资</w:t>
                  </w:r>
                </w:p>
                <w:p>
                  <w:pPr>
                    <w:pStyle w:val="35"/>
                    <w:bidi w:val="0"/>
                    <w:jc w:val="center"/>
                    <w:rPr>
                      <w:rFonts w:hint="eastAsia"/>
                    </w:rPr>
                  </w:pPr>
                  <w:r>
                    <w:rPr>
                      <w:rFonts w:hint="eastAsia"/>
                    </w:rPr>
                    <w:t>质的</w:t>
                  </w:r>
                </w:p>
                <w:p>
                  <w:pPr>
                    <w:pStyle w:val="35"/>
                    <w:bidi w:val="0"/>
                    <w:jc w:val="center"/>
                    <w:rPr>
                      <w:rFonts w:hint="eastAsia"/>
                    </w:rPr>
                  </w:pPr>
                  <w:r>
                    <w:rPr>
                      <w:rFonts w:hint="eastAsia"/>
                    </w:rPr>
                    <w:t>单位</w:t>
                  </w:r>
                </w:p>
                <w:p>
                  <w:pPr>
                    <w:pStyle w:val="35"/>
                    <w:bidi w:val="0"/>
                    <w:jc w:val="center"/>
                    <w:rPr>
                      <w:rFonts w:hint="eastAsia"/>
                    </w:rPr>
                  </w:pPr>
                  <w:r>
                    <w:rPr>
                      <w:rFonts w:hint="eastAsia"/>
                    </w:rPr>
                    <w:t>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43" w:type="pct"/>
                  <w:noWrap w:val="0"/>
                  <w:vAlign w:val="center"/>
                </w:tcPr>
                <w:p>
                  <w:pPr>
                    <w:pStyle w:val="35"/>
                    <w:bidi w:val="0"/>
                    <w:jc w:val="center"/>
                  </w:pPr>
                  <w:r>
                    <w:t>2</w:t>
                  </w:r>
                </w:p>
              </w:tc>
              <w:tc>
                <w:tcPr>
                  <w:tcW w:w="598" w:type="pct"/>
                  <w:noWrap w:val="0"/>
                  <w:vAlign w:val="center"/>
                </w:tcPr>
                <w:p>
                  <w:pPr>
                    <w:pStyle w:val="35"/>
                    <w:tabs>
                      <w:tab w:val="left" w:pos="1021"/>
                    </w:tabs>
                    <w:jc w:val="center"/>
                  </w:pPr>
                  <w:r>
                    <w:rPr>
                      <w:rFonts w:hint="eastAsia"/>
                    </w:rPr>
                    <w:t>隔油池</w:t>
                  </w:r>
                </w:p>
                <w:p>
                  <w:pPr>
                    <w:pStyle w:val="35"/>
                    <w:bidi w:val="0"/>
                    <w:jc w:val="center"/>
                    <w:rPr>
                      <w:rFonts w:hint="eastAsia"/>
                      <w:lang w:val="en-US" w:eastAsia="zh-CN"/>
                    </w:rPr>
                  </w:pPr>
                  <w:r>
                    <w:rPr>
                      <w:rFonts w:hint="eastAsia"/>
                    </w:rPr>
                    <w:t>废油</w:t>
                  </w:r>
                </w:p>
              </w:tc>
              <w:tc>
                <w:tcPr>
                  <w:tcW w:w="543" w:type="pct"/>
                  <w:noWrap w:val="0"/>
                  <w:vAlign w:val="center"/>
                </w:tcPr>
                <w:p>
                  <w:pPr>
                    <w:pStyle w:val="35"/>
                    <w:bidi w:val="0"/>
                    <w:jc w:val="center"/>
                    <w:rPr>
                      <w:rFonts w:hint="default" w:eastAsia="宋体"/>
                      <w:lang w:val="en-US" w:eastAsia="zh-CN"/>
                    </w:rPr>
                  </w:pPr>
                  <w:r>
                    <w:t>HW</w:t>
                  </w:r>
                  <w:r>
                    <w:rPr>
                      <w:rFonts w:hint="eastAsia"/>
                      <w:lang w:val="en-US" w:eastAsia="zh-CN"/>
                    </w:rPr>
                    <w:t>08</w:t>
                  </w:r>
                </w:p>
              </w:tc>
              <w:tc>
                <w:tcPr>
                  <w:tcW w:w="624" w:type="pct"/>
                  <w:noWrap w:val="0"/>
                  <w:vAlign w:val="center"/>
                </w:tcPr>
                <w:p>
                  <w:pPr>
                    <w:pStyle w:val="35"/>
                    <w:bidi w:val="0"/>
                    <w:jc w:val="center"/>
                    <w:rPr>
                      <w:lang w:val="en-US" w:eastAsia="zh-CN"/>
                    </w:rPr>
                  </w:pPr>
                  <w:r>
                    <w:t>900-210-08</w:t>
                  </w:r>
                </w:p>
              </w:tc>
              <w:tc>
                <w:tcPr>
                  <w:tcW w:w="620" w:type="pct"/>
                  <w:noWrap w:val="0"/>
                  <w:vAlign w:val="center"/>
                </w:tcPr>
                <w:p>
                  <w:pPr>
                    <w:pStyle w:val="35"/>
                    <w:bidi w:val="0"/>
                    <w:jc w:val="center"/>
                    <w:rPr>
                      <w:rFonts w:hint="default"/>
                      <w:lang w:val="en-US" w:eastAsia="zh-CN"/>
                    </w:rPr>
                  </w:pPr>
                  <w:r>
                    <w:rPr>
                      <w:rFonts w:hint="eastAsia"/>
                      <w:lang w:val="en-US" w:eastAsia="zh-CN"/>
                    </w:rPr>
                    <w:t>0.2</w:t>
                  </w:r>
                </w:p>
              </w:tc>
              <w:tc>
                <w:tcPr>
                  <w:tcW w:w="641" w:type="pct"/>
                  <w:noWrap w:val="0"/>
                  <w:vAlign w:val="center"/>
                </w:tcPr>
                <w:p>
                  <w:pPr>
                    <w:pStyle w:val="35"/>
                    <w:bidi w:val="0"/>
                    <w:jc w:val="center"/>
                    <w:rPr>
                      <w:rFonts w:hint="eastAsia"/>
                    </w:rPr>
                  </w:pPr>
                  <w:r>
                    <w:rPr>
                      <w:rFonts w:hint="eastAsia"/>
                    </w:rPr>
                    <w:t>废</w:t>
                  </w:r>
                  <w:r>
                    <w:rPr>
                      <w:rFonts w:hint="eastAsia"/>
                      <w:lang w:eastAsia="zh-CN"/>
                    </w:rPr>
                    <w:t>水</w:t>
                  </w:r>
                  <w:r>
                    <w:rPr>
                      <w:rFonts w:hint="eastAsia"/>
                    </w:rPr>
                    <w:t>处理</w:t>
                  </w:r>
                </w:p>
              </w:tc>
              <w:tc>
                <w:tcPr>
                  <w:tcW w:w="414" w:type="pct"/>
                  <w:noWrap w:val="0"/>
                  <w:vAlign w:val="center"/>
                </w:tcPr>
                <w:p>
                  <w:pPr>
                    <w:pStyle w:val="35"/>
                    <w:bidi w:val="0"/>
                    <w:jc w:val="center"/>
                    <w:rPr>
                      <w:rFonts w:hint="eastAsia" w:eastAsia="宋体"/>
                      <w:lang w:eastAsia="zh-CN"/>
                    </w:rPr>
                  </w:pPr>
                  <w:r>
                    <w:rPr>
                      <w:rFonts w:hint="eastAsia"/>
                      <w:lang w:eastAsia="zh-CN"/>
                    </w:rPr>
                    <w:t>液</w:t>
                  </w:r>
                </w:p>
              </w:tc>
              <w:tc>
                <w:tcPr>
                  <w:tcW w:w="439" w:type="pct"/>
                  <w:noWrap w:val="0"/>
                  <w:vAlign w:val="center"/>
                </w:tcPr>
                <w:p>
                  <w:pPr>
                    <w:pStyle w:val="35"/>
                    <w:bidi w:val="0"/>
                    <w:jc w:val="center"/>
                    <w:rPr>
                      <w:rFonts w:hint="eastAsia"/>
                    </w:rPr>
                  </w:pPr>
                  <w:r>
                    <w:rPr>
                      <w:rFonts w:hint="eastAsia"/>
                    </w:rPr>
                    <w:t>矿物油</w:t>
                  </w:r>
                </w:p>
              </w:tc>
              <w:tc>
                <w:tcPr>
                  <w:tcW w:w="437" w:type="pct"/>
                  <w:noWrap w:val="0"/>
                  <w:vAlign w:val="center"/>
                </w:tcPr>
                <w:p>
                  <w:pPr>
                    <w:pStyle w:val="35"/>
                    <w:bidi w:val="0"/>
                    <w:jc w:val="center"/>
                  </w:pPr>
                  <w:r>
                    <w:t>T/In</w:t>
                  </w:r>
                </w:p>
              </w:tc>
              <w:tc>
                <w:tcPr>
                  <w:tcW w:w="438" w:type="pct"/>
                  <w:vMerge w:val="continue"/>
                  <w:noWrap w:val="0"/>
                  <w:vAlign w:val="center"/>
                </w:tcPr>
                <w:p>
                  <w:pPr>
                    <w:pStyle w:val="35"/>
                    <w:bidi w:val="0"/>
                    <w:jc w:val="cente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43" w:type="pct"/>
                  <w:noWrap w:val="0"/>
                  <w:vAlign w:val="center"/>
                </w:tcPr>
                <w:p>
                  <w:pPr>
                    <w:pStyle w:val="35"/>
                    <w:bidi w:val="0"/>
                    <w:jc w:val="center"/>
                    <w:rPr>
                      <w:rFonts w:hint="eastAsia" w:eastAsia="宋体"/>
                      <w:lang w:val="en-US" w:eastAsia="zh-CN"/>
                    </w:rPr>
                  </w:pPr>
                  <w:r>
                    <w:rPr>
                      <w:rFonts w:hint="eastAsia"/>
                      <w:lang w:val="en-US" w:eastAsia="zh-CN"/>
                    </w:rPr>
                    <w:t>3</w:t>
                  </w:r>
                </w:p>
              </w:tc>
              <w:tc>
                <w:tcPr>
                  <w:tcW w:w="598" w:type="pct"/>
                  <w:noWrap w:val="0"/>
                  <w:vAlign w:val="center"/>
                </w:tcPr>
                <w:p>
                  <w:pPr>
                    <w:pStyle w:val="35"/>
                    <w:bidi w:val="0"/>
                    <w:jc w:val="center"/>
                    <w:rPr>
                      <w:rFonts w:hint="eastAsia"/>
                    </w:rPr>
                  </w:pPr>
                  <w:r>
                    <w:rPr>
                      <w:rFonts w:hint="eastAsia"/>
                    </w:rPr>
                    <w:t>含油废物</w:t>
                  </w:r>
                </w:p>
              </w:tc>
              <w:tc>
                <w:tcPr>
                  <w:tcW w:w="543" w:type="pct"/>
                  <w:noWrap w:val="0"/>
                  <w:vAlign w:val="center"/>
                </w:tcPr>
                <w:p>
                  <w:pPr>
                    <w:pStyle w:val="35"/>
                    <w:bidi w:val="0"/>
                    <w:jc w:val="center"/>
                    <w:rPr>
                      <w:rFonts w:hint="default" w:eastAsia="宋体"/>
                      <w:lang w:val="en-US" w:eastAsia="zh-CN"/>
                    </w:rPr>
                  </w:pPr>
                  <w:r>
                    <w:t>HW</w:t>
                  </w:r>
                  <w:r>
                    <w:rPr>
                      <w:rFonts w:hint="eastAsia"/>
                      <w:lang w:val="en-US" w:eastAsia="zh-CN"/>
                    </w:rPr>
                    <w:t>08</w:t>
                  </w:r>
                </w:p>
              </w:tc>
              <w:tc>
                <w:tcPr>
                  <w:tcW w:w="624" w:type="pct"/>
                  <w:noWrap w:val="0"/>
                  <w:vAlign w:val="center"/>
                </w:tcPr>
                <w:p>
                  <w:pPr>
                    <w:pStyle w:val="35"/>
                    <w:bidi w:val="0"/>
                    <w:jc w:val="center"/>
                  </w:pPr>
                  <w:r>
                    <w:t>900-2</w:t>
                  </w:r>
                  <w:r>
                    <w:rPr>
                      <w:rFonts w:hint="eastAsia"/>
                    </w:rPr>
                    <w:t>49</w:t>
                  </w:r>
                  <w:r>
                    <w:t>-08</w:t>
                  </w:r>
                </w:p>
              </w:tc>
              <w:tc>
                <w:tcPr>
                  <w:tcW w:w="620" w:type="pct"/>
                  <w:noWrap w:val="0"/>
                  <w:vAlign w:val="center"/>
                </w:tcPr>
                <w:p>
                  <w:pPr>
                    <w:pStyle w:val="35"/>
                    <w:bidi w:val="0"/>
                    <w:jc w:val="center"/>
                    <w:rPr>
                      <w:rFonts w:hint="default"/>
                      <w:lang w:val="en-US" w:eastAsia="zh-CN"/>
                    </w:rPr>
                  </w:pPr>
                  <w:r>
                    <w:rPr>
                      <w:rFonts w:hint="eastAsia"/>
                      <w:lang w:val="en-US" w:eastAsia="zh-CN"/>
                    </w:rPr>
                    <w:t>0.1</w:t>
                  </w:r>
                </w:p>
              </w:tc>
              <w:tc>
                <w:tcPr>
                  <w:tcW w:w="641" w:type="pct"/>
                  <w:noWrap w:val="0"/>
                  <w:vAlign w:val="center"/>
                </w:tcPr>
                <w:p>
                  <w:pPr>
                    <w:pStyle w:val="35"/>
                    <w:bidi w:val="0"/>
                    <w:jc w:val="center"/>
                    <w:rPr>
                      <w:rFonts w:hint="eastAsia"/>
                    </w:rPr>
                  </w:pPr>
                  <w:r>
                    <w:rPr>
                      <w:rFonts w:hint="eastAsia"/>
                    </w:rPr>
                    <w:t>加油操作</w:t>
                  </w:r>
                </w:p>
              </w:tc>
              <w:tc>
                <w:tcPr>
                  <w:tcW w:w="414" w:type="pct"/>
                  <w:noWrap w:val="0"/>
                  <w:vAlign w:val="center"/>
                </w:tcPr>
                <w:p>
                  <w:pPr>
                    <w:pStyle w:val="35"/>
                    <w:bidi w:val="0"/>
                    <w:jc w:val="center"/>
                    <w:rPr>
                      <w:rFonts w:hint="eastAsia"/>
                    </w:rPr>
                  </w:pPr>
                  <w:r>
                    <w:rPr>
                      <w:rFonts w:hint="eastAsia"/>
                    </w:rPr>
                    <w:t>固</w:t>
                  </w:r>
                </w:p>
              </w:tc>
              <w:tc>
                <w:tcPr>
                  <w:tcW w:w="439" w:type="pct"/>
                  <w:noWrap w:val="0"/>
                  <w:vAlign w:val="center"/>
                </w:tcPr>
                <w:p>
                  <w:pPr>
                    <w:pStyle w:val="35"/>
                    <w:bidi w:val="0"/>
                    <w:jc w:val="center"/>
                  </w:pPr>
                  <w:r>
                    <w:rPr>
                      <w:rFonts w:hint="eastAsia"/>
                    </w:rPr>
                    <w:t>矿物油</w:t>
                  </w:r>
                </w:p>
              </w:tc>
              <w:tc>
                <w:tcPr>
                  <w:tcW w:w="437" w:type="pct"/>
                  <w:noWrap w:val="0"/>
                  <w:vAlign w:val="center"/>
                </w:tcPr>
                <w:p>
                  <w:pPr>
                    <w:pStyle w:val="35"/>
                    <w:bidi w:val="0"/>
                    <w:jc w:val="center"/>
                  </w:pPr>
                  <w:r>
                    <w:t>T/In</w:t>
                  </w:r>
                </w:p>
              </w:tc>
              <w:tc>
                <w:tcPr>
                  <w:tcW w:w="438" w:type="pct"/>
                  <w:vMerge w:val="continue"/>
                  <w:noWrap w:val="0"/>
                  <w:vAlign w:val="center"/>
                </w:tcPr>
                <w:p>
                  <w:pPr>
                    <w:pStyle w:val="35"/>
                    <w:bidi w:val="0"/>
                    <w:jc w:val="center"/>
                  </w:pPr>
                </w:p>
              </w:tc>
            </w:tr>
          </w:tbl>
          <w:p>
            <w:pPr>
              <w:pStyle w:val="14"/>
              <w:bidi w:val="0"/>
              <w:rPr>
                <w:rFonts w:hint="eastAsia"/>
                <w:lang w:val="en-US" w:eastAsia="zh-CN"/>
              </w:rPr>
            </w:pPr>
            <w:r>
              <w:t>4</w:t>
            </w:r>
            <w:r>
              <w:rPr>
                <w:rFonts w:hint="eastAsia"/>
                <w:lang w:val="en-US" w:eastAsia="zh-CN"/>
              </w:rPr>
              <w:t>.2</w:t>
            </w:r>
            <w:r>
              <w:t>、</w:t>
            </w:r>
            <w:r>
              <w:rPr>
                <w:rFonts w:hint="eastAsia"/>
                <w:lang w:val="en-US" w:eastAsia="zh-CN"/>
              </w:rPr>
              <w:t>固体废物环境影响分析</w:t>
            </w:r>
          </w:p>
          <w:p>
            <w:pPr>
              <w:pStyle w:val="14"/>
              <w:bidi w:val="0"/>
            </w:pPr>
            <w:r>
              <w:t>生活垃圾由当地环卫部门拉运处理处置；油罐清理产生的废物由清洗单位自行拉运处理处置不在厂区内存储；隔油池废油、含油废物等属危险废物统一收集后交由有资质单位处置。</w:t>
            </w:r>
          </w:p>
          <w:p>
            <w:pPr>
              <w:pStyle w:val="14"/>
              <w:bidi w:val="0"/>
              <w:rPr>
                <w:rFonts w:hint="eastAsia"/>
                <w:lang w:eastAsia="zh-CN"/>
              </w:rPr>
            </w:pPr>
            <w:r>
              <w:rPr>
                <w:rFonts w:hint="eastAsia"/>
              </w:rPr>
              <w:t>在</w:t>
            </w:r>
            <w:r>
              <w:rPr>
                <w:rFonts w:hint="eastAsia"/>
                <w:lang w:eastAsia="zh-CN"/>
              </w:rPr>
              <w:t>辅助用房</w:t>
            </w:r>
            <w:r>
              <w:rPr>
                <w:rFonts w:hint="eastAsia"/>
              </w:rPr>
              <w:t>左侧建一座危险废物暂存间5</w:t>
            </w:r>
            <w:r>
              <w:t>m²</w:t>
            </w:r>
            <w:r>
              <w:rPr>
                <w:rFonts w:hint="eastAsia"/>
              </w:rPr>
              <w:t>，</w:t>
            </w:r>
            <w:r>
              <w:rPr>
                <w:color w:val="000000"/>
                <w:spacing w:val="0"/>
                <w:w w:val="100"/>
                <w:position w:val="0"/>
              </w:rPr>
              <w:t>危险废物暂存间应按</w:t>
            </w:r>
            <w:r>
              <w:rPr>
                <w:rFonts w:hint="eastAsia"/>
                <w:color w:val="000000"/>
                <w:spacing w:val="0"/>
                <w:w w:val="100"/>
                <w:position w:val="0"/>
                <w:lang w:eastAsia="zh-CN"/>
              </w:rPr>
              <w:t>《</w:t>
            </w:r>
            <w:r>
              <w:rPr>
                <w:color w:val="000000"/>
                <w:spacing w:val="0"/>
                <w:w w:val="100"/>
                <w:position w:val="0"/>
              </w:rPr>
              <w:t>危险废物贮存污染控制标准》</w:t>
            </w:r>
            <w:r>
              <w:rPr>
                <w:color w:val="000000"/>
                <w:spacing w:val="0"/>
                <w:w w:val="100"/>
                <w:position w:val="0"/>
                <w:lang w:val="en-US" w:eastAsia="en-US" w:bidi="en-US"/>
              </w:rPr>
              <w:t>（</w:t>
            </w:r>
            <w:r>
              <w:rPr>
                <w:rFonts w:ascii="Times New Roman" w:hAnsi="Times New Roman" w:eastAsia="Times New Roman" w:cs="Times New Roman"/>
                <w:color w:val="000000"/>
                <w:spacing w:val="0"/>
                <w:w w:val="100"/>
                <w:position w:val="0"/>
                <w:lang w:val="en-US" w:eastAsia="en-US" w:bidi="en-US"/>
              </w:rPr>
              <w:t>GB18597）</w:t>
            </w:r>
            <w:r>
              <w:rPr>
                <w:color w:val="000000"/>
                <w:spacing w:val="0"/>
                <w:w w:val="100"/>
                <w:position w:val="0"/>
              </w:rPr>
              <w:t>的规定，做好防风、防雨、防晒、防渗漏</w:t>
            </w:r>
            <w:r>
              <w:rPr>
                <w:rFonts w:hint="eastAsia"/>
                <w:color w:val="000000"/>
                <w:spacing w:val="0"/>
                <w:w w:val="100"/>
                <w:position w:val="0"/>
                <w:lang w:eastAsia="zh-CN"/>
              </w:rPr>
              <w:t>“</w:t>
            </w:r>
            <w:r>
              <w:rPr>
                <w:color w:val="000000"/>
                <w:spacing w:val="0"/>
                <w:w w:val="100"/>
                <w:position w:val="0"/>
                <w:lang w:val="zh-CN" w:eastAsia="zh-CN" w:bidi="zh-CN"/>
              </w:rPr>
              <w:t>四防</w:t>
            </w:r>
            <w:r>
              <w:rPr>
                <w:rFonts w:hint="eastAsia"/>
                <w:color w:val="000000"/>
                <w:spacing w:val="0"/>
                <w:w w:val="100"/>
                <w:position w:val="0"/>
                <w:lang w:val="zh-CN" w:eastAsia="zh-CN" w:bidi="zh-CN"/>
              </w:rPr>
              <w:t>”</w:t>
            </w:r>
            <w:r>
              <w:rPr>
                <w:color w:val="000000"/>
                <w:spacing w:val="0"/>
                <w:w w:val="100"/>
                <w:position w:val="0"/>
              </w:rPr>
              <w:t>措施。</w:t>
            </w:r>
          </w:p>
          <w:p>
            <w:pPr>
              <w:pStyle w:val="14"/>
              <w:bidi w:val="0"/>
              <w:rPr>
                <w:rFonts w:hint="default"/>
              </w:rPr>
            </w:pPr>
            <w:r>
              <w:rPr>
                <w:rFonts w:hint="default"/>
              </w:rPr>
              <w:t>固体废物分类收集、贮存、转运方法：</w:t>
            </w:r>
          </w:p>
          <w:p>
            <w:pPr>
              <w:pStyle w:val="14"/>
              <w:bidi w:val="0"/>
              <w:rPr>
                <w:rFonts w:hint="default"/>
              </w:rPr>
            </w:pPr>
            <w:r>
              <w:rPr>
                <w:rFonts w:hint="eastAsia"/>
                <w:lang w:eastAsia="zh-CN"/>
              </w:rPr>
              <w:t>（</w:t>
            </w:r>
            <w:r>
              <w:rPr>
                <w:rFonts w:hint="eastAsia"/>
                <w:lang w:val="en-US" w:eastAsia="zh-CN"/>
              </w:rPr>
              <w:t>1</w:t>
            </w:r>
            <w:r>
              <w:rPr>
                <w:rFonts w:hint="eastAsia"/>
                <w:lang w:eastAsia="zh-CN"/>
              </w:rPr>
              <w:t>）</w:t>
            </w:r>
            <w:r>
              <w:rPr>
                <w:rFonts w:hint="default"/>
              </w:rPr>
              <w:t>将垃圾在源头分成三类，可直接回收的垃圾、不可直接回收的垃圾和特殊垃圾，分别装入三种不同颜色的垃圾桶回收。</w:t>
            </w:r>
            <w:r>
              <w:rPr>
                <w:rFonts w:hint="default"/>
              </w:rPr>
              <w:br w:type="textWrapping"/>
            </w:r>
            <w:r>
              <w:rPr>
                <w:rFonts w:hint="default"/>
              </w:rPr>
              <w:t xml:space="preserve">    （2）在固体废物的收集、运输过程中应做到集装化、封闭化，采用密闭式的垃圾收集储存设备，运输采用专用封闭式垃圾运输车进行清运，清运频次要根据不同季节进行调整防止生活垃圾发酵产生恶臭和渗漏液污染。</w:t>
            </w:r>
            <w:r>
              <w:rPr>
                <w:rFonts w:hint="default"/>
              </w:rPr>
              <w:br w:type="textWrapping"/>
            </w:r>
            <w:r>
              <w:rPr>
                <w:rFonts w:hint="default"/>
              </w:rPr>
              <w:t xml:space="preserve">    （3）根据</w:t>
            </w:r>
            <w:r>
              <w:rPr>
                <w:rFonts w:hint="eastAsia"/>
                <w:lang w:eastAsia="zh-CN"/>
              </w:rPr>
              <w:t>《</w:t>
            </w:r>
            <w:r>
              <w:rPr>
                <w:rFonts w:hint="default"/>
              </w:rPr>
              <w:t>国家危险废物名录</w:t>
            </w:r>
            <w:r>
              <w:rPr>
                <w:rFonts w:hint="eastAsia"/>
                <w:lang w:eastAsia="zh-CN"/>
              </w:rPr>
              <w:t>》</w:t>
            </w:r>
            <w:r>
              <w:rPr>
                <w:rFonts w:hint="default"/>
              </w:rPr>
              <w:t>（2021年版），危险固废需暂存于危废暂存间，粘贴标识牌，危险废物出入库记录台账，需交由有资质的回收公司进行处理。</w:t>
            </w:r>
          </w:p>
          <w:p>
            <w:pPr>
              <w:pStyle w:val="14"/>
              <w:bidi w:val="0"/>
              <w:rPr>
                <w:rFonts w:hint="default"/>
              </w:rPr>
            </w:pPr>
            <w:r>
              <w:rPr>
                <w:rFonts w:hint="default"/>
              </w:rPr>
              <w:t>其储存、运输、处置必须严格按《中华人民共和国固体废物污染环境防治法》及国家环保总局《关于发布〈危险废物污染防治技术政策〉的通知》[环发2001（199）号]的要求进行。建设单位需在厂区内严格执行《危险废物贮存污染控制标准》有关规定专门设置危废暂存间，贮存场所必须防渗、防雨、防晒、防扬散，企业必须做好危险废物的申报登记，建立台帐管理制度，记录上须注明危险废物的名称、来源、数量、特征和包装容器的类别、入库时间、存放库位、废物出库日期及接受单位名称。同时在危险废物转运的时候必须报请当地环保局批准同时填写危险废物转运单。</w:t>
            </w:r>
          </w:p>
          <w:p>
            <w:pPr>
              <w:pStyle w:val="14"/>
              <w:bidi w:val="0"/>
              <w:rPr>
                <w:rFonts w:hint="default"/>
              </w:rPr>
            </w:pPr>
            <w:r>
              <w:rPr>
                <w:rFonts w:hint="eastAsia"/>
                <w:lang w:eastAsia="zh-CN"/>
              </w:rPr>
              <w:t>（</w:t>
            </w:r>
            <w:r>
              <w:rPr>
                <w:rFonts w:hint="eastAsia"/>
                <w:lang w:val="en-US" w:eastAsia="zh-CN"/>
              </w:rPr>
              <w:t>4</w:t>
            </w:r>
            <w:r>
              <w:rPr>
                <w:rFonts w:hint="eastAsia"/>
                <w:lang w:eastAsia="zh-CN"/>
              </w:rPr>
              <w:t>）</w:t>
            </w:r>
            <w:r>
              <w:rPr>
                <w:rFonts w:hint="default"/>
              </w:rPr>
              <w:t>项目产生的危险废物分类收集和贮存（在危险废物暂存间内划分相应的贮存区域），危险废物均尽分类装入相应的贮存容器内，在危险废物暂存间内的临时贮存过程中尽量避免堆码现象。项目产生的危险废物经收集后，定期由有资质单位回收处理。对于危险废物的转运和运输，需严格按照《危险废物转移联单管理方法》（国家环保总局，总局令第5号）执行，做好记录，避免危险废物在贮存和转运过程中产生二次污染。</w:t>
            </w:r>
          </w:p>
          <w:p>
            <w:pPr>
              <w:pStyle w:val="14"/>
              <w:bidi w:val="0"/>
              <w:rPr>
                <w:rFonts w:hint="default"/>
              </w:rPr>
            </w:pPr>
            <w:r>
              <w:rPr>
                <w:rFonts w:hint="eastAsia"/>
                <w:lang w:eastAsia="zh-CN"/>
              </w:rPr>
              <w:t>（</w:t>
            </w:r>
            <w:r>
              <w:rPr>
                <w:rFonts w:hint="eastAsia"/>
                <w:lang w:val="en-US" w:eastAsia="zh-CN"/>
              </w:rPr>
              <w:t>5</w:t>
            </w:r>
            <w:r>
              <w:rPr>
                <w:rFonts w:hint="eastAsia"/>
                <w:lang w:eastAsia="zh-CN"/>
              </w:rPr>
              <w:t>）</w:t>
            </w:r>
            <w:r>
              <w:rPr>
                <w:rFonts w:hint="default"/>
              </w:rPr>
              <w:t>危险废物贮存场所建设合理性分析</w:t>
            </w:r>
          </w:p>
          <w:p>
            <w:pPr>
              <w:pStyle w:val="14"/>
              <w:bidi w:val="0"/>
              <w:rPr>
                <w:rFonts w:hint="default"/>
              </w:rPr>
            </w:pPr>
            <w:r>
              <w:rPr>
                <w:rFonts w:hint="eastAsia"/>
                <w:lang w:eastAsia="zh-CN"/>
              </w:rPr>
              <w:t>本项目</w:t>
            </w:r>
            <w:r>
              <w:rPr>
                <w:rFonts w:hint="default"/>
              </w:rPr>
              <w:t>危废暂存间面积约</w:t>
            </w:r>
            <w:r>
              <w:rPr>
                <w:rFonts w:hint="eastAsia"/>
                <w:lang w:val="en-US" w:eastAsia="zh-CN"/>
              </w:rPr>
              <w:t>5</w:t>
            </w:r>
            <w:r>
              <w:rPr>
                <w:rFonts w:hint="default"/>
              </w:rPr>
              <w:t>m</w:t>
            </w:r>
            <w:r>
              <w:rPr>
                <w:rFonts w:hint="default" w:ascii="Times New Roman" w:hAnsi="Times New Roman" w:cs="Times New Roman"/>
              </w:rPr>
              <w:t>²</w:t>
            </w:r>
            <w:r>
              <w:rPr>
                <w:rFonts w:hint="default"/>
              </w:rPr>
              <w:t>。项目危险废物暂存间为室内形式，其地面为防渗水泥地面，满足防风、防雨、防晒、防渗漏的</w:t>
            </w:r>
            <w:r>
              <w:rPr>
                <w:rFonts w:hint="eastAsia"/>
                <w:lang w:eastAsia="zh-CN"/>
              </w:rPr>
              <w:t>“</w:t>
            </w:r>
            <w:r>
              <w:rPr>
                <w:rFonts w:hint="default"/>
              </w:rPr>
              <w:t>四防</w:t>
            </w:r>
            <w:r>
              <w:rPr>
                <w:rFonts w:hint="eastAsia"/>
                <w:lang w:eastAsia="zh-CN"/>
              </w:rPr>
              <w:t>”</w:t>
            </w:r>
            <w:r>
              <w:rPr>
                <w:rFonts w:hint="default"/>
              </w:rPr>
              <w:t>要求，该建设场所选址、建设合理。</w:t>
            </w:r>
          </w:p>
          <w:p>
            <w:pPr>
              <w:pStyle w:val="14"/>
              <w:bidi w:val="0"/>
              <w:rPr>
                <w:rFonts w:hint="default"/>
              </w:rPr>
            </w:pPr>
            <w:r>
              <w:rPr>
                <w:rFonts w:hint="eastAsia"/>
                <w:lang w:eastAsia="zh-CN"/>
              </w:rPr>
              <w:t>（</w:t>
            </w:r>
            <w:r>
              <w:rPr>
                <w:rFonts w:hint="eastAsia"/>
                <w:lang w:val="en-US" w:eastAsia="zh-CN"/>
              </w:rPr>
              <w:t>6</w:t>
            </w:r>
            <w:r>
              <w:rPr>
                <w:rFonts w:hint="eastAsia"/>
                <w:lang w:eastAsia="zh-CN"/>
              </w:rPr>
              <w:t>）</w:t>
            </w:r>
            <w:r>
              <w:rPr>
                <w:rFonts w:hint="default"/>
              </w:rPr>
              <w:t>危险废物收集、贮存、转运相关要求</w:t>
            </w:r>
          </w:p>
          <w:p>
            <w:pPr>
              <w:pStyle w:val="14"/>
              <w:bidi w:val="0"/>
              <w:rPr>
                <w:rFonts w:hint="default"/>
              </w:rPr>
            </w:pPr>
            <w:r>
              <w:rPr>
                <w:rFonts w:hint="default"/>
              </w:rPr>
              <w:t>项目危险废物的贮存按照《危险废物贮存污染控制标准》（GB 18597-2001），危险废物按不同类别分区存放，并设置隔离设施，禁止将不相容的危险废物在同一容器内混装。项目在各危险废物暂存区域张贴危险废物名称、来源、有害成分、危险特性、入库类别、入库日期、接收单位等内容。建设单位须定期对所贮存的危险废物包装容器及贮存设施进行检查，发现破损，应及时采取措施清理更换。</w:t>
            </w:r>
          </w:p>
          <w:p>
            <w:pPr>
              <w:pStyle w:val="14"/>
              <w:bidi w:val="0"/>
              <w:rPr>
                <w:rFonts w:hint="default"/>
              </w:rPr>
            </w:pPr>
            <w:r>
              <w:rPr>
                <w:rFonts w:hint="default"/>
              </w:rPr>
              <w:t>危险废物在转运过程中须严格执行《危险废物转移管理办法》，危险废物产生单位在转移危险废物前，须按照国家有关规定报批危险废物转移计划；经批准后，产生单位应当向移出地环境保护行政主管部门申请领取联单。产生单位应当在危险废物转移前三日内报告移出地环境保护行政主管部门，并同时将预期到达时间报告接受地环境保护行政主管部门。</w:t>
            </w:r>
          </w:p>
          <w:p>
            <w:pPr>
              <w:pStyle w:val="14"/>
              <w:bidi w:val="0"/>
              <w:rPr>
                <w:rFonts w:hint="default"/>
              </w:rPr>
            </w:pPr>
            <w:r>
              <w:rPr>
                <w:rFonts w:hint="default"/>
              </w:rPr>
              <w:t>结合《建设项目危险废物环境影响评价指南》（环境保护部公告[2017]43 号）、《危险废物贮存污染控制标准》（G18597-2001）和《危险废物转移管理办法》中的相关要求，本评价要求建设单位采取如下防护措施：</w:t>
            </w:r>
          </w:p>
          <w:p>
            <w:pPr>
              <w:pStyle w:val="14"/>
              <w:bidi w:val="0"/>
              <w:rPr>
                <w:rFonts w:hint="default"/>
              </w:rPr>
            </w:pPr>
            <w:r>
              <w:rPr>
                <w:rFonts w:hint="default"/>
              </w:rPr>
              <w:t xml:space="preserve">①贮存设施应以混凝土、砖等材料建成的相对封闭场所，并设置通风口；各类危险废物须分区、分类存放，禁止一般工业固废和生活垃圾混入。 </w:t>
            </w:r>
          </w:p>
          <w:p>
            <w:pPr>
              <w:pStyle w:val="14"/>
              <w:bidi w:val="0"/>
              <w:rPr>
                <w:rFonts w:hint="default"/>
              </w:rPr>
            </w:pPr>
            <w:r>
              <w:rPr>
                <w:rFonts w:hint="default"/>
              </w:rPr>
              <w:t xml:space="preserve">②贮存设施地面、围堰内壁需采用坚固、防渗、防腐蚀，且与危险废物相容的材料建造，以保证防渗的面层结构应足以承受一般负荷及移动容器时所产生的摩损，并确保液态废物不渗入地下。 </w:t>
            </w:r>
          </w:p>
          <w:p>
            <w:pPr>
              <w:pStyle w:val="14"/>
              <w:bidi w:val="0"/>
              <w:rPr>
                <w:rFonts w:hint="default"/>
              </w:rPr>
            </w:pPr>
            <w:r>
              <w:rPr>
                <w:rFonts w:hint="default"/>
              </w:rPr>
              <w:t>③贮存设施外部应修建雨水导排系统，防</w:t>
            </w:r>
            <w:r>
              <w:rPr>
                <w:rFonts w:hint="eastAsia"/>
                <w:lang w:val="en-US" w:eastAsia="zh-CN"/>
              </w:rPr>
              <w:t>止</w:t>
            </w:r>
            <w:r>
              <w:rPr>
                <w:rFonts w:hint="default"/>
              </w:rPr>
              <w:t xml:space="preserve">雨水径流进入危废暂存间。 </w:t>
            </w:r>
          </w:p>
          <w:p>
            <w:pPr>
              <w:pStyle w:val="14"/>
              <w:bidi w:val="0"/>
              <w:rPr>
                <w:rFonts w:hint="default"/>
              </w:rPr>
            </w:pPr>
            <w:r>
              <w:rPr>
                <w:rFonts w:hint="default"/>
              </w:rPr>
              <w:t xml:space="preserve">④危险废物贮存设施都必须按 GB15562.2 的规定设置警示标志。 </w:t>
            </w:r>
          </w:p>
          <w:p>
            <w:pPr>
              <w:pStyle w:val="14"/>
              <w:bidi w:val="0"/>
              <w:rPr>
                <w:rFonts w:hint="default"/>
              </w:rPr>
            </w:pPr>
            <w:r>
              <w:rPr>
                <w:rFonts w:hint="default"/>
              </w:rPr>
              <w:t>⑤危险废物贮存前应进行检验，确保同预定接收的危险废物一致，并登记注册</w:t>
            </w:r>
            <w:r>
              <w:rPr>
                <w:rFonts w:hint="eastAsia"/>
                <w:lang w:eastAsia="zh-CN"/>
              </w:rPr>
              <w:t>，</w:t>
            </w:r>
            <w:r>
              <w:rPr>
                <w:rFonts w:hint="default"/>
              </w:rPr>
              <w:t xml:space="preserve">作好危险废物情况的记录，记录上须注明危险废物的名称、来源、数量、特性和包装容器的类别、入库日期、存放库位、废物出库日期及接收单位名称，并建立台账。 </w:t>
            </w:r>
          </w:p>
          <w:p>
            <w:pPr>
              <w:pStyle w:val="14"/>
              <w:bidi w:val="0"/>
              <w:rPr>
                <w:rFonts w:hint="default"/>
              </w:rPr>
            </w:pPr>
            <w:r>
              <w:rPr>
                <w:rFonts w:hint="default"/>
              </w:rPr>
              <w:t>⑥强化配套设施的配备，危险废物应当使用符合标准的容器盛装，禁止将不相容（相互反应）的危险废物在同一容器内混装；盛装危险废物的容器上必须粘贴符合标准标签。</w:t>
            </w:r>
          </w:p>
          <w:p>
            <w:pPr>
              <w:pStyle w:val="14"/>
              <w:bidi w:val="0"/>
              <w:rPr>
                <w:rFonts w:hint="default"/>
              </w:rPr>
            </w:pPr>
            <w:r>
              <w:rPr>
                <w:rFonts w:hint="default"/>
              </w:rPr>
              <w:t xml:space="preserve">⑦必须定期对所贮存的危险废物包装容器及贮存设施进行检查，发现破损，应及时采取措施清理更换。 </w:t>
            </w:r>
          </w:p>
          <w:p>
            <w:pPr>
              <w:pStyle w:val="14"/>
              <w:bidi w:val="0"/>
              <w:rPr>
                <w:rFonts w:hint="eastAsia"/>
                <w:lang w:val="en-US" w:eastAsia="zh-CN"/>
              </w:rPr>
            </w:pPr>
            <w:r>
              <w:rPr>
                <w:rFonts w:hint="eastAsia"/>
                <w:lang w:val="en-US" w:eastAsia="zh-CN"/>
              </w:rPr>
              <w:t>4.3固废影响结论</w:t>
            </w:r>
          </w:p>
          <w:p>
            <w:pPr>
              <w:pStyle w:val="14"/>
              <w:bidi w:val="0"/>
              <w:rPr>
                <w:rFonts w:hint="default"/>
              </w:rPr>
            </w:pPr>
            <w:r>
              <w:rPr>
                <w:rFonts w:hint="default"/>
              </w:rPr>
              <w:t>本项目营运期产生的固体废物均能够得到安全处置，固体废物处理处置符合《生活垃圾填埋场污染控制标准》（GB16889-2008）</w:t>
            </w:r>
            <w:r>
              <w:rPr>
                <w:rFonts w:hint="eastAsia"/>
                <w:lang w:eastAsia="zh-CN"/>
              </w:rPr>
              <w:t>、</w:t>
            </w:r>
            <w:r>
              <w:rPr>
                <w:rFonts w:hint="default"/>
              </w:rPr>
              <w:t>《一般工业固体废物贮存</w:t>
            </w:r>
            <w:r>
              <w:rPr>
                <w:rFonts w:hint="eastAsia"/>
                <w:lang w:eastAsia="zh-CN"/>
              </w:rPr>
              <w:t>和填埋</w:t>
            </w:r>
            <w:r>
              <w:rPr>
                <w:rFonts w:hint="default"/>
              </w:rPr>
              <w:t>污染控制标准》（GB18599-20</w:t>
            </w:r>
            <w:r>
              <w:rPr>
                <w:rFonts w:hint="eastAsia"/>
                <w:lang w:val="en-US" w:eastAsia="zh-CN"/>
              </w:rPr>
              <w:t>20</w:t>
            </w:r>
            <w:r>
              <w:rPr>
                <w:rFonts w:hint="default"/>
              </w:rPr>
              <w:t>）和《危险废物贮存污染控制标准》（GB18597-2001）</w:t>
            </w:r>
            <w:r>
              <w:rPr>
                <w:rFonts w:hint="eastAsia"/>
                <w:lang w:eastAsia="zh-CN"/>
              </w:rPr>
              <w:t>及</w:t>
            </w:r>
            <w:r>
              <w:rPr>
                <w:rFonts w:hint="eastAsia"/>
                <w:lang w:val="en-US" w:eastAsia="zh-CN"/>
              </w:rPr>
              <w:t>2013年修改单中相关</w:t>
            </w:r>
            <w:r>
              <w:rPr>
                <w:rFonts w:hint="default"/>
              </w:rPr>
              <w:t>规定，采取上述措施后，本</w:t>
            </w:r>
            <w:r>
              <w:rPr>
                <w:rFonts w:hint="eastAsia"/>
                <w:lang w:val="en-US" w:eastAsia="zh-CN"/>
              </w:rPr>
              <w:t>项目</w:t>
            </w:r>
            <w:r>
              <w:rPr>
                <w:rFonts w:hint="default"/>
              </w:rPr>
              <w:t>固体废物可得到妥善的处理，对周围环境造成的影响</w:t>
            </w:r>
            <w:r>
              <w:rPr>
                <w:rFonts w:hint="eastAsia"/>
                <w:lang w:val="en-US" w:eastAsia="zh-CN"/>
              </w:rPr>
              <w:t>较</w:t>
            </w:r>
            <w:r>
              <w:rPr>
                <w:rFonts w:hint="default"/>
              </w:rPr>
              <w:t>小。</w:t>
            </w:r>
          </w:p>
          <w:p>
            <w:pPr>
              <w:pStyle w:val="14"/>
              <w:bidi w:val="0"/>
              <w:rPr>
                <w:rFonts w:hint="eastAsia"/>
              </w:rPr>
            </w:pPr>
            <w:r>
              <w:rPr>
                <w:rFonts w:hint="eastAsia"/>
              </w:rPr>
              <w:t>5.地下水及土壤环境</w:t>
            </w:r>
          </w:p>
          <w:p>
            <w:pPr>
              <w:pStyle w:val="14"/>
              <w:bidi w:val="0"/>
              <w:rPr>
                <w:rFonts w:hint="eastAsia"/>
                <w:color w:val="000000"/>
                <w:spacing w:val="0"/>
                <w:w w:val="100"/>
                <w:position w:val="0"/>
                <w:lang w:eastAsia="zh-CN"/>
              </w:rPr>
            </w:pPr>
            <w:r>
              <w:rPr>
                <w:color w:val="000000"/>
                <w:spacing w:val="0"/>
                <w:w w:val="100"/>
                <w:position w:val="0"/>
              </w:rPr>
              <w:t>本项目地下水、土壤污染情况见</w:t>
            </w:r>
            <w:r>
              <w:rPr>
                <w:rFonts w:hint="eastAsia"/>
                <w:color w:val="000000"/>
                <w:spacing w:val="0"/>
                <w:w w:val="100"/>
                <w:position w:val="0"/>
                <w:lang w:eastAsia="zh-CN"/>
              </w:rPr>
              <w:t>下</w:t>
            </w:r>
            <w:r>
              <w:rPr>
                <w:color w:val="000000"/>
                <w:spacing w:val="0"/>
                <w:w w:val="100"/>
                <w:position w:val="0"/>
              </w:rPr>
              <w:t>表</w:t>
            </w:r>
            <w:r>
              <w:rPr>
                <w:rFonts w:hint="eastAsia"/>
                <w:color w:val="000000"/>
                <w:spacing w:val="0"/>
                <w:w w:val="100"/>
                <w:position w:val="0"/>
                <w:lang w:eastAsia="zh-CN"/>
              </w:rPr>
              <w:t>。</w:t>
            </w:r>
          </w:p>
          <w:p>
            <w:pPr>
              <w:pStyle w:val="36"/>
              <w:bidi w:val="0"/>
              <w:rPr>
                <w:color w:val="000000"/>
                <w:spacing w:val="0"/>
                <w:w w:val="100"/>
                <w:position w:val="0"/>
              </w:rPr>
            </w:pPr>
            <w:r>
              <w:rPr>
                <w:rFonts w:hint="eastAsia"/>
                <w:lang w:val="en-US" w:eastAsia="zh-CN"/>
              </w:rPr>
              <w:t>表4.2-22</w:t>
            </w:r>
            <w:r>
              <w:rPr>
                <w:color w:val="000000"/>
                <w:spacing w:val="0"/>
                <w:w w:val="100"/>
                <w:position w:val="0"/>
              </w:rPr>
              <w:t>地下水、土壌环境影响识别表</w:t>
            </w:r>
          </w:p>
          <w:tbl>
            <w:tblPr>
              <w:tblStyle w:val="31"/>
              <w:tblW w:w="7900" w:type="dxa"/>
              <w:jc w:val="center"/>
              <w:tblLayout w:type="autofit"/>
              <w:tblCellMar>
                <w:top w:w="0" w:type="dxa"/>
                <w:left w:w="10" w:type="dxa"/>
                <w:bottom w:w="0" w:type="dxa"/>
                <w:right w:w="10" w:type="dxa"/>
              </w:tblCellMar>
            </w:tblPr>
            <w:tblGrid>
              <w:gridCol w:w="1883"/>
              <w:gridCol w:w="1515"/>
              <w:gridCol w:w="1194"/>
              <w:gridCol w:w="1170"/>
              <w:gridCol w:w="941"/>
              <w:gridCol w:w="1170"/>
              <w:gridCol w:w="27"/>
            </w:tblGrid>
            <w:tr>
              <w:tblPrEx>
                <w:tblCellMar>
                  <w:top w:w="0" w:type="dxa"/>
                  <w:left w:w="10" w:type="dxa"/>
                  <w:bottom w:w="0" w:type="dxa"/>
                  <w:right w:w="10" w:type="dxa"/>
                </w:tblCellMar>
              </w:tblPrEx>
              <w:trPr>
                <w:trHeight w:val="340" w:hRule="exact"/>
                <w:jc w:val="center"/>
              </w:trPr>
              <w:tc>
                <w:tcPr>
                  <w:tcW w:w="1191" w:type="pct"/>
                  <w:tcBorders>
                    <w:top w:val="single" w:color="auto" w:sz="4" w:space="0"/>
                    <w:left w:val="single" w:color="auto" w:sz="4" w:space="0"/>
                  </w:tcBorders>
                  <w:shd w:val="clear" w:color="auto" w:fill="FFFFFF"/>
                  <w:vAlign w:val="center"/>
                </w:tcPr>
                <w:p>
                  <w:pPr>
                    <w:pStyle w:val="35"/>
                    <w:bidi w:val="0"/>
                    <w:jc w:val="center"/>
                  </w:pPr>
                  <w:r>
                    <w:t>污染源</w:t>
                  </w:r>
                </w:p>
              </w:tc>
              <w:tc>
                <w:tcPr>
                  <w:tcW w:w="958" w:type="pct"/>
                  <w:tcBorders>
                    <w:top w:val="single" w:color="auto" w:sz="4" w:space="0"/>
                    <w:left w:val="single" w:color="auto" w:sz="4" w:space="0"/>
                  </w:tcBorders>
                  <w:shd w:val="clear" w:color="auto" w:fill="FFFFFF"/>
                  <w:vAlign w:val="center"/>
                </w:tcPr>
                <w:p>
                  <w:pPr>
                    <w:pStyle w:val="35"/>
                    <w:bidi w:val="0"/>
                    <w:jc w:val="center"/>
                  </w:pPr>
                  <w:r>
                    <w:t>工艺流程节点</w:t>
                  </w:r>
                </w:p>
              </w:tc>
              <w:tc>
                <w:tcPr>
                  <w:tcW w:w="755" w:type="pct"/>
                  <w:tcBorders>
                    <w:top w:val="single" w:color="auto" w:sz="4" w:space="0"/>
                    <w:left w:val="single" w:color="auto" w:sz="4" w:space="0"/>
                  </w:tcBorders>
                  <w:shd w:val="clear" w:color="auto" w:fill="FFFFFF"/>
                  <w:vAlign w:val="center"/>
                </w:tcPr>
                <w:p>
                  <w:pPr>
                    <w:pStyle w:val="35"/>
                    <w:bidi w:val="0"/>
                    <w:jc w:val="center"/>
                  </w:pPr>
                  <w:r>
                    <w:t>污染途径</w:t>
                  </w:r>
                </w:p>
              </w:tc>
              <w:tc>
                <w:tcPr>
                  <w:tcW w:w="740" w:type="pct"/>
                  <w:tcBorders>
                    <w:top w:val="single" w:color="auto" w:sz="4" w:space="0"/>
                    <w:left w:val="single" w:color="auto" w:sz="4" w:space="0"/>
                  </w:tcBorders>
                  <w:shd w:val="clear" w:color="auto" w:fill="FFFFFF"/>
                  <w:vAlign w:val="center"/>
                </w:tcPr>
                <w:p>
                  <w:pPr>
                    <w:pStyle w:val="35"/>
                    <w:bidi w:val="0"/>
                    <w:jc w:val="center"/>
                  </w:pPr>
                  <w:r>
                    <w:t>污染物指标</w:t>
                  </w:r>
                </w:p>
              </w:tc>
              <w:tc>
                <w:tcPr>
                  <w:tcW w:w="595" w:type="pct"/>
                  <w:tcBorders>
                    <w:top w:val="single" w:color="auto" w:sz="4" w:space="0"/>
                    <w:left w:val="single" w:color="auto" w:sz="4" w:space="0"/>
                  </w:tcBorders>
                  <w:shd w:val="clear" w:color="auto" w:fill="FFFFFF"/>
                  <w:vAlign w:val="center"/>
                </w:tcPr>
                <w:p>
                  <w:pPr>
                    <w:pStyle w:val="35"/>
                    <w:bidi w:val="0"/>
                    <w:jc w:val="center"/>
                  </w:pPr>
                  <w:r>
                    <w:t>特征因子</w:t>
                  </w:r>
                </w:p>
              </w:tc>
              <w:tc>
                <w:tcPr>
                  <w:tcW w:w="740" w:type="pct"/>
                  <w:tcBorders>
                    <w:top w:val="single" w:color="auto" w:sz="4" w:space="0"/>
                    <w:left w:val="single" w:color="auto" w:sz="4" w:space="0"/>
                  </w:tcBorders>
                  <w:shd w:val="clear" w:color="auto" w:fill="FFFFFF"/>
                  <w:vAlign w:val="center"/>
                </w:tcPr>
                <w:p>
                  <w:pPr>
                    <w:pStyle w:val="35"/>
                    <w:bidi w:val="0"/>
                    <w:jc w:val="center"/>
                  </w:pPr>
                  <w:r>
                    <w:t>备注</w:t>
                  </w:r>
                </w:p>
              </w:tc>
              <w:tc>
                <w:tcPr>
                  <w:tcW w:w="17" w:type="pct"/>
                  <w:tcBorders>
                    <w:left w:val="single" w:color="auto" w:sz="4" w:space="0"/>
                    <w:right w:val="single" w:color="auto" w:sz="4" w:space="0"/>
                  </w:tcBorders>
                  <w:shd w:val="clear" w:color="auto" w:fill="FFFFFF"/>
                  <w:vAlign w:val="center"/>
                </w:tcPr>
                <w:p>
                  <w:pPr>
                    <w:pStyle w:val="35"/>
                    <w:bidi w:val="0"/>
                    <w:jc w:val="center"/>
                  </w:pPr>
                </w:p>
              </w:tc>
            </w:tr>
            <w:tr>
              <w:tblPrEx>
                <w:tblCellMar>
                  <w:top w:w="0" w:type="dxa"/>
                  <w:left w:w="10" w:type="dxa"/>
                  <w:bottom w:w="0" w:type="dxa"/>
                  <w:right w:w="10" w:type="dxa"/>
                </w:tblCellMar>
              </w:tblPrEx>
              <w:trPr>
                <w:trHeight w:val="340" w:hRule="exact"/>
                <w:jc w:val="center"/>
              </w:trPr>
              <w:tc>
                <w:tcPr>
                  <w:tcW w:w="1191" w:type="pct"/>
                  <w:vMerge w:val="restart"/>
                  <w:tcBorders>
                    <w:top w:val="single" w:color="auto" w:sz="4" w:space="0"/>
                    <w:left w:val="single" w:color="auto" w:sz="4" w:space="0"/>
                  </w:tcBorders>
                  <w:shd w:val="clear" w:color="auto" w:fill="FFFFFF"/>
                  <w:vAlign w:val="center"/>
                </w:tcPr>
                <w:p>
                  <w:pPr>
                    <w:pStyle w:val="35"/>
                    <w:bidi w:val="0"/>
                    <w:jc w:val="center"/>
                    <w:rPr>
                      <w:rFonts w:hint="default" w:eastAsia="宋体"/>
                      <w:lang w:val="en-US" w:eastAsia="zh-CN"/>
                    </w:rPr>
                  </w:pPr>
                  <w:r>
                    <w:rPr>
                      <w:rFonts w:hint="eastAsia"/>
                      <w:lang w:eastAsia="zh-CN"/>
                    </w:rPr>
                    <w:t>场地</w:t>
                  </w:r>
                  <w:r>
                    <w:rPr>
                      <w:rFonts w:hint="eastAsia"/>
                      <w:lang w:val="en-US" w:eastAsia="zh-CN"/>
                    </w:rPr>
                    <w:t>/车间</w:t>
                  </w:r>
                </w:p>
              </w:tc>
              <w:tc>
                <w:tcPr>
                  <w:tcW w:w="958" w:type="pct"/>
                  <w:tcBorders>
                    <w:top w:val="single" w:color="auto" w:sz="4" w:space="0"/>
                    <w:left w:val="single" w:color="auto" w:sz="4" w:space="0"/>
                  </w:tcBorders>
                  <w:shd w:val="clear" w:color="auto" w:fill="FFFFFF"/>
                  <w:vAlign w:val="center"/>
                </w:tcPr>
                <w:p>
                  <w:pPr>
                    <w:pStyle w:val="35"/>
                    <w:bidi w:val="0"/>
                    <w:jc w:val="center"/>
                  </w:pPr>
                  <w:r>
                    <w:rPr>
                      <w:rFonts w:hint="eastAsia"/>
                    </w:rPr>
                    <w:t>加油操作</w:t>
                  </w:r>
                </w:p>
              </w:tc>
              <w:tc>
                <w:tcPr>
                  <w:tcW w:w="755" w:type="pct"/>
                  <w:tcBorders>
                    <w:top w:val="single" w:color="auto" w:sz="4" w:space="0"/>
                    <w:left w:val="single" w:color="auto" w:sz="4" w:space="0"/>
                  </w:tcBorders>
                  <w:shd w:val="clear" w:color="auto" w:fill="FFFFFF"/>
                  <w:vAlign w:val="center"/>
                </w:tcPr>
                <w:p>
                  <w:pPr>
                    <w:pStyle w:val="35"/>
                    <w:bidi w:val="0"/>
                    <w:jc w:val="center"/>
                  </w:pPr>
                  <w:r>
                    <w:t>垂直渗入</w:t>
                  </w:r>
                </w:p>
              </w:tc>
              <w:tc>
                <w:tcPr>
                  <w:tcW w:w="740" w:type="pct"/>
                  <w:tcBorders>
                    <w:top w:val="single" w:color="auto" w:sz="4" w:space="0"/>
                    <w:left w:val="single" w:color="auto" w:sz="4" w:space="0"/>
                  </w:tcBorders>
                  <w:shd w:val="clear" w:color="auto" w:fill="FFFFFF"/>
                  <w:vAlign w:val="center"/>
                </w:tcPr>
                <w:p>
                  <w:pPr>
                    <w:pStyle w:val="35"/>
                    <w:bidi w:val="0"/>
                    <w:jc w:val="center"/>
                  </w:pPr>
                  <w:r>
                    <w:rPr>
                      <w:rFonts w:hint="eastAsia"/>
                    </w:rPr>
                    <w:t>矿物油</w:t>
                  </w:r>
                </w:p>
              </w:tc>
              <w:tc>
                <w:tcPr>
                  <w:tcW w:w="595" w:type="pct"/>
                  <w:vMerge w:val="restart"/>
                  <w:tcBorders>
                    <w:top w:val="single" w:color="auto" w:sz="4" w:space="0"/>
                    <w:left w:val="single" w:color="auto" w:sz="4" w:space="0"/>
                  </w:tcBorders>
                  <w:shd w:val="clear" w:color="auto" w:fill="FFFFFF"/>
                  <w:vAlign w:val="center"/>
                </w:tcPr>
                <w:p>
                  <w:pPr>
                    <w:pStyle w:val="35"/>
                    <w:bidi w:val="0"/>
                    <w:jc w:val="center"/>
                    <w:rPr>
                      <w:rFonts w:hint="eastAsia" w:eastAsia="宋体"/>
                      <w:lang w:eastAsia="zh-CN"/>
                    </w:rPr>
                  </w:pPr>
                  <w:r>
                    <w:rPr>
                      <w:rFonts w:hint="eastAsia"/>
                      <w:lang w:eastAsia="zh-CN"/>
                    </w:rPr>
                    <w:t>非甲烷总烃</w:t>
                  </w:r>
                </w:p>
              </w:tc>
              <w:tc>
                <w:tcPr>
                  <w:tcW w:w="740" w:type="pct"/>
                  <w:vMerge w:val="restart"/>
                  <w:tcBorders>
                    <w:top w:val="single" w:color="auto" w:sz="4" w:space="0"/>
                    <w:left w:val="single" w:color="auto" w:sz="4" w:space="0"/>
                  </w:tcBorders>
                  <w:shd w:val="clear" w:color="auto" w:fill="FFFFFF"/>
                  <w:vAlign w:val="center"/>
                </w:tcPr>
                <w:p>
                  <w:pPr>
                    <w:pStyle w:val="35"/>
                    <w:bidi w:val="0"/>
                    <w:jc w:val="center"/>
                  </w:pPr>
                  <w:r>
                    <w:t>事故状态泄</w:t>
                  </w:r>
                </w:p>
                <w:p>
                  <w:pPr>
                    <w:pStyle w:val="35"/>
                    <w:bidi w:val="0"/>
                    <w:jc w:val="center"/>
                  </w:pPr>
                  <w:r>
                    <w:t>漏</w:t>
                  </w:r>
                </w:p>
              </w:tc>
              <w:tc>
                <w:tcPr>
                  <w:tcW w:w="17" w:type="pct"/>
                  <w:tcBorders>
                    <w:left w:val="single" w:color="auto" w:sz="4" w:space="0"/>
                    <w:right w:val="single" w:color="auto" w:sz="4" w:space="0"/>
                  </w:tcBorders>
                  <w:shd w:val="clear" w:color="auto" w:fill="FFFFFF"/>
                  <w:vAlign w:val="center"/>
                </w:tcPr>
                <w:p>
                  <w:pPr>
                    <w:pStyle w:val="35"/>
                    <w:bidi w:val="0"/>
                    <w:jc w:val="center"/>
                  </w:pPr>
                </w:p>
              </w:tc>
            </w:tr>
            <w:tr>
              <w:tblPrEx>
                <w:tblCellMar>
                  <w:top w:w="0" w:type="dxa"/>
                  <w:left w:w="10" w:type="dxa"/>
                  <w:bottom w:w="0" w:type="dxa"/>
                  <w:right w:w="10" w:type="dxa"/>
                </w:tblCellMar>
              </w:tblPrEx>
              <w:trPr>
                <w:trHeight w:val="340" w:hRule="exact"/>
                <w:jc w:val="center"/>
              </w:trPr>
              <w:tc>
                <w:tcPr>
                  <w:tcW w:w="1191" w:type="pct"/>
                  <w:vMerge w:val="continue"/>
                  <w:tcBorders>
                    <w:left w:val="single" w:color="auto" w:sz="4" w:space="0"/>
                    <w:bottom w:val="single" w:color="auto" w:sz="4" w:space="0"/>
                  </w:tcBorders>
                  <w:shd w:val="clear" w:color="auto" w:fill="FFFFFF"/>
                  <w:vAlign w:val="center"/>
                </w:tcPr>
                <w:p>
                  <w:pPr>
                    <w:pStyle w:val="35"/>
                    <w:bidi w:val="0"/>
                    <w:jc w:val="center"/>
                  </w:pPr>
                </w:p>
              </w:tc>
              <w:tc>
                <w:tcPr>
                  <w:tcW w:w="958" w:type="pct"/>
                  <w:tcBorders>
                    <w:top w:val="single" w:color="auto" w:sz="4" w:space="0"/>
                    <w:left w:val="single" w:color="auto" w:sz="4" w:space="0"/>
                    <w:bottom w:val="single" w:color="auto" w:sz="4" w:space="0"/>
                  </w:tcBorders>
                  <w:shd w:val="clear" w:color="auto" w:fill="FFFFFF"/>
                  <w:vAlign w:val="center"/>
                </w:tcPr>
                <w:p>
                  <w:pPr>
                    <w:pStyle w:val="35"/>
                    <w:bidi w:val="0"/>
                    <w:jc w:val="center"/>
                  </w:pPr>
                  <w:r>
                    <w:t>危废暂存间</w:t>
                  </w:r>
                </w:p>
              </w:tc>
              <w:tc>
                <w:tcPr>
                  <w:tcW w:w="755" w:type="pct"/>
                  <w:tcBorders>
                    <w:top w:val="single" w:color="auto" w:sz="4" w:space="0"/>
                    <w:left w:val="single" w:color="auto" w:sz="4" w:space="0"/>
                    <w:bottom w:val="single" w:color="auto" w:sz="4" w:space="0"/>
                  </w:tcBorders>
                  <w:shd w:val="clear" w:color="auto" w:fill="FFFFFF"/>
                  <w:vAlign w:val="center"/>
                </w:tcPr>
                <w:p>
                  <w:pPr>
                    <w:pStyle w:val="35"/>
                    <w:bidi w:val="0"/>
                    <w:jc w:val="center"/>
                  </w:pPr>
                  <w:r>
                    <w:t>垂直渗入</w:t>
                  </w:r>
                </w:p>
              </w:tc>
              <w:tc>
                <w:tcPr>
                  <w:tcW w:w="740" w:type="pct"/>
                  <w:tcBorders>
                    <w:top w:val="single" w:color="auto" w:sz="4" w:space="0"/>
                    <w:left w:val="single" w:color="auto" w:sz="4" w:space="0"/>
                    <w:bottom w:val="single" w:color="auto" w:sz="4" w:space="0"/>
                  </w:tcBorders>
                  <w:shd w:val="clear" w:color="auto" w:fill="FFFFFF"/>
                  <w:vAlign w:val="center"/>
                </w:tcPr>
                <w:p>
                  <w:pPr>
                    <w:pStyle w:val="35"/>
                    <w:bidi w:val="0"/>
                    <w:jc w:val="center"/>
                  </w:pPr>
                  <w:r>
                    <w:rPr>
                      <w:rFonts w:hint="eastAsia"/>
                    </w:rPr>
                    <w:t>矿物油</w:t>
                  </w:r>
                </w:p>
              </w:tc>
              <w:tc>
                <w:tcPr>
                  <w:tcW w:w="595" w:type="pct"/>
                  <w:vMerge w:val="continue"/>
                  <w:tcBorders>
                    <w:left w:val="single" w:color="auto" w:sz="4" w:space="0"/>
                    <w:bottom w:val="single" w:color="auto" w:sz="4" w:space="0"/>
                  </w:tcBorders>
                  <w:shd w:val="clear" w:color="auto" w:fill="FFFFFF"/>
                  <w:vAlign w:val="center"/>
                </w:tcPr>
                <w:p>
                  <w:pPr>
                    <w:pStyle w:val="35"/>
                    <w:bidi w:val="0"/>
                    <w:jc w:val="center"/>
                  </w:pPr>
                </w:p>
              </w:tc>
              <w:tc>
                <w:tcPr>
                  <w:tcW w:w="740" w:type="pct"/>
                  <w:vMerge w:val="continue"/>
                  <w:tcBorders>
                    <w:left w:val="single" w:color="auto" w:sz="4" w:space="0"/>
                    <w:bottom w:val="single" w:color="auto" w:sz="4" w:space="0"/>
                  </w:tcBorders>
                  <w:shd w:val="clear" w:color="auto" w:fill="FFFFFF"/>
                  <w:vAlign w:val="center"/>
                </w:tcPr>
                <w:p>
                  <w:pPr>
                    <w:pStyle w:val="35"/>
                    <w:bidi w:val="0"/>
                    <w:jc w:val="center"/>
                  </w:pPr>
                </w:p>
              </w:tc>
              <w:tc>
                <w:tcPr>
                  <w:tcW w:w="17" w:type="pct"/>
                  <w:tcBorders>
                    <w:left w:val="single" w:color="auto" w:sz="4" w:space="0"/>
                    <w:bottom w:val="single" w:color="auto" w:sz="4" w:space="0"/>
                    <w:right w:val="single" w:color="auto" w:sz="4" w:space="0"/>
                  </w:tcBorders>
                  <w:shd w:val="clear" w:color="auto" w:fill="FFFFFF"/>
                  <w:vAlign w:val="center"/>
                </w:tcPr>
                <w:p>
                  <w:pPr>
                    <w:pStyle w:val="35"/>
                    <w:bidi w:val="0"/>
                    <w:jc w:val="center"/>
                  </w:pPr>
                </w:p>
              </w:tc>
            </w:tr>
          </w:tbl>
          <w:p>
            <w:pPr>
              <w:pStyle w:val="14"/>
              <w:bidi w:val="0"/>
              <w:rPr>
                <w:rFonts w:hint="eastAsia"/>
                <w:lang w:val="en-US" w:eastAsia="zh-CN"/>
              </w:rPr>
            </w:pPr>
            <w:r>
              <w:rPr>
                <w:rFonts w:hint="eastAsia"/>
                <w:lang w:val="en-US" w:eastAsia="zh-CN"/>
              </w:rPr>
              <w:t>本项目地下水的污染途径是渗透，因此采用源头控制和防渗防治措施来保护地下水环境。</w:t>
            </w:r>
          </w:p>
          <w:p>
            <w:pPr>
              <w:pStyle w:val="14"/>
              <w:bidi w:val="0"/>
              <w:rPr>
                <w:rFonts w:hint="eastAsia"/>
                <w:lang w:val="en-US" w:eastAsia="zh-CN"/>
              </w:rPr>
            </w:pPr>
            <w:r>
              <w:rPr>
                <w:rFonts w:hint="eastAsia"/>
                <w:lang w:val="en-US" w:eastAsia="zh-CN"/>
              </w:rPr>
              <w:t>①源头控制措施</w:t>
            </w:r>
          </w:p>
          <w:p>
            <w:pPr>
              <w:pStyle w:val="14"/>
              <w:bidi w:val="0"/>
              <w:rPr>
                <w:rFonts w:hint="eastAsia"/>
                <w:lang w:val="en-US" w:eastAsia="zh-CN"/>
              </w:rPr>
            </w:pPr>
            <w:r>
              <w:rPr>
                <w:rFonts w:hint="eastAsia"/>
                <w:lang w:val="en-US" w:eastAsia="zh-CN"/>
              </w:rPr>
              <w:t>项目应根据国家现行相关规范加强环境管理，采取防止和降低污染物跑、冒、滴、漏的措施。正常运营过程中应加强控制及处理机修过程中污染物跑、冒、滴、漏，同时应加强对防渗工程的检查，若发现防渗密封材料老化或损坏，应及时维修更换。</w:t>
            </w:r>
          </w:p>
          <w:p>
            <w:pPr>
              <w:pStyle w:val="14"/>
              <w:bidi w:val="0"/>
              <w:rPr>
                <w:rFonts w:hint="eastAsia"/>
                <w:lang w:val="en-US" w:eastAsia="zh-CN"/>
              </w:rPr>
            </w:pPr>
            <w:r>
              <w:rPr>
                <w:rFonts w:hint="eastAsia"/>
                <w:lang w:val="en-US" w:eastAsia="zh-CN"/>
              </w:rPr>
              <w:t>②防渗防治措施</w:t>
            </w:r>
          </w:p>
          <w:p>
            <w:pPr>
              <w:pStyle w:val="14"/>
              <w:bidi w:val="0"/>
              <w:rPr>
                <w:rFonts w:hint="eastAsia"/>
                <w:lang w:val="en-US" w:eastAsia="zh-CN"/>
              </w:rPr>
            </w:pPr>
            <w:r>
              <w:rPr>
                <w:rFonts w:hint="eastAsia"/>
                <w:lang w:val="en-US" w:eastAsia="zh-CN"/>
              </w:rPr>
              <w:t>本项目油罐使用双层油罐，采用钢制强化玻璃纤维制双层结构储油容器，是由钢制內罐和钢化玻璃纤维外罐（玻璃纤维厚度达4mm以上，具有良好的抗震抗压及耐腐蚀性）组成的双层埋地储罐，中间有均匀夹层空间。油罐区设置消防器材箱、消防沙箱。</w:t>
            </w:r>
          </w:p>
          <w:p>
            <w:pPr>
              <w:pStyle w:val="14"/>
              <w:bidi w:val="0"/>
              <w:rPr>
                <w:rFonts w:hint="eastAsia"/>
                <w:lang w:val="en-US" w:eastAsia="zh-CN"/>
              </w:rPr>
            </w:pPr>
            <w:r>
              <w:rPr>
                <w:rFonts w:hint="eastAsia"/>
                <w:lang w:val="en-US" w:eastAsia="zh-CN"/>
              </w:rPr>
              <w:t>油罐设置有双层罐渗漏监测系统，能进行在线分析和报警；设置隔爆型液位仪和磁致伸缩液位探棒，能实时显示油位的液面等情况，同时具备高液位报警功能。</w:t>
            </w:r>
          </w:p>
          <w:p>
            <w:pPr>
              <w:pStyle w:val="14"/>
              <w:bidi w:val="0"/>
              <w:rPr>
                <w:rFonts w:hint="eastAsia"/>
                <w:lang w:val="en-US" w:eastAsia="zh-CN"/>
              </w:rPr>
            </w:pPr>
            <w:r>
              <w:rPr>
                <w:rFonts w:hint="eastAsia"/>
                <w:lang w:val="en-US" w:eastAsia="zh-CN"/>
              </w:rPr>
              <w:t>卸油管道、加油管道、卸油油气回收和加油油气回收管道采用双层导静电复合管。管线敷设采用管沟方式，管线安装完毕后沟内用细沙填满，站内加油管道表面进行试压和防腐处理。</w:t>
            </w:r>
          </w:p>
          <w:p>
            <w:pPr>
              <w:pStyle w:val="14"/>
              <w:bidi w:val="0"/>
              <w:rPr>
                <w:rFonts w:hint="eastAsia"/>
                <w:lang w:val="en-US" w:eastAsia="zh-CN"/>
              </w:rPr>
            </w:pPr>
            <w:r>
              <w:rPr>
                <w:rFonts w:hint="eastAsia"/>
                <w:lang w:val="en-US" w:eastAsia="zh-CN"/>
              </w:rPr>
              <w:t>本项目将全场按物料或者污染物泄漏的途径和生产功能单元所处的位置划分为重点防渗区、一般防渗区以及简单防渗区三类地下水污染防治区域。</w:t>
            </w:r>
          </w:p>
          <w:p>
            <w:pPr>
              <w:pStyle w:val="14"/>
              <w:bidi w:val="0"/>
              <w:rPr>
                <w:rFonts w:hint="eastAsia" w:ascii="Times New Roman" w:hAnsi="Times New Roman" w:eastAsia="宋体" w:cs="Times New Roman"/>
                <w:b w:val="0"/>
                <w:bCs w:val="0"/>
                <w:i w:val="0"/>
                <w:iCs w:val="0"/>
                <w:color w:val="auto"/>
                <w:spacing w:val="0"/>
                <w:position w:val="0"/>
                <w:sz w:val="24"/>
                <w:szCs w:val="24"/>
                <w:u w:val="none" w:color="auto"/>
                <w:lang w:val="en-US" w:eastAsia="zh-CN"/>
              </w:rPr>
            </w:pPr>
            <w:r>
              <w:rPr>
                <w:rFonts w:hint="eastAsia" w:ascii="Times New Roman" w:hAnsi="Times New Roman" w:eastAsia="宋体" w:cs="Times New Roman"/>
                <w:b w:val="0"/>
                <w:bCs w:val="0"/>
                <w:i w:val="0"/>
                <w:iCs w:val="0"/>
                <w:color w:val="auto"/>
                <w:spacing w:val="0"/>
                <w:position w:val="0"/>
                <w:sz w:val="24"/>
                <w:szCs w:val="24"/>
                <w:u w:val="none" w:color="auto"/>
                <w:lang w:val="en-US" w:eastAsia="zh-CN"/>
              </w:rPr>
              <w:t>重点防渗区为油罐区、输油管、隔油池、沉淀池、洗车区等，等效黏土防渗层Mb≥6.0m，渗透系数≤1.0×10</w:t>
            </w:r>
            <w:r>
              <w:rPr>
                <w:rFonts w:hint="eastAsia" w:ascii="Times New Roman" w:hAnsi="Times New Roman" w:eastAsia="宋体" w:cs="Times New Roman"/>
                <w:b w:val="0"/>
                <w:bCs w:val="0"/>
                <w:i w:val="0"/>
                <w:iCs w:val="0"/>
                <w:color w:val="auto"/>
                <w:spacing w:val="0"/>
                <w:position w:val="0"/>
                <w:sz w:val="24"/>
                <w:szCs w:val="24"/>
                <w:u w:val="none" w:color="auto"/>
                <w:vertAlign w:val="superscript"/>
                <w:lang w:val="en-US" w:eastAsia="zh-CN"/>
              </w:rPr>
              <w:t>-7</w:t>
            </w:r>
            <w:r>
              <w:rPr>
                <w:rFonts w:hint="eastAsia" w:ascii="Times New Roman" w:hAnsi="Times New Roman" w:eastAsia="宋体" w:cs="Times New Roman"/>
                <w:b w:val="0"/>
                <w:bCs w:val="0"/>
                <w:i w:val="0"/>
                <w:iCs w:val="0"/>
                <w:color w:val="auto"/>
                <w:spacing w:val="0"/>
                <w:position w:val="0"/>
                <w:sz w:val="24"/>
                <w:szCs w:val="24"/>
                <w:u w:val="none" w:color="auto"/>
                <w:lang w:val="en-US" w:eastAsia="zh-CN"/>
              </w:rPr>
              <w:t xml:space="preserve"> cm/s，或参照GB18598执行；一般防渗区为加油区、化粪池等，等效黏土防渗层Mb≥1.5m，渗透系数≤1.0×10</w:t>
            </w:r>
            <w:r>
              <w:rPr>
                <w:rFonts w:hint="eastAsia" w:ascii="Times New Roman" w:hAnsi="Times New Roman" w:eastAsia="宋体" w:cs="Times New Roman"/>
                <w:b w:val="0"/>
                <w:bCs w:val="0"/>
                <w:i w:val="0"/>
                <w:iCs w:val="0"/>
                <w:color w:val="auto"/>
                <w:spacing w:val="0"/>
                <w:position w:val="0"/>
                <w:sz w:val="24"/>
                <w:szCs w:val="24"/>
                <w:u w:val="none" w:color="auto"/>
                <w:vertAlign w:val="superscript"/>
                <w:lang w:val="en-US" w:eastAsia="zh-CN"/>
              </w:rPr>
              <w:t>-7</w:t>
            </w:r>
            <w:r>
              <w:rPr>
                <w:rFonts w:hint="eastAsia" w:ascii="Times New Roman" w:hAnsi="Times New Roman" w:eastAsia="宋体" w:cs="Times New Roman"/>
                <w:b w:val="0"/>
                <w:bCs w:val="0"/>
                <w:i w:val="0"/>
                <w:iCs w:val="0"/>
                <w:color w:val="auto"/>
                <w:spacing w:val="0"/>
                <w:position w:val="0"/>
                <w:sz w:val="24"/>
                <w:szCs w:val="24"/>
                <w:u w:val="none" w:color="auto"/>
                <w:lang w:val="en-US" w:eastAsia="zh-CN"/>
              </w:rPr>
              <w:t>cm/s，或参照GB16889执行；简单防渗区为站房、站内道路等区域，一般地面硬化。</w:t>
            </w:r>
          </w:p>
          <w:p>
            <w:pPr>
              <w:pStyle w:val="14"/>
              <w:bidi w:val="0"/>
              <w:rPr>
                <w:rFonts w:hint="eastAsia"/>
                <w:lang w:val="en-US" w:eastAsia="zh-CN"/>
              </w:rPr>
            </w:pPr>
            <w:r>
              <w:rPr>
                <w:rFonts w:hint="eastAsia"/>
                <w:lang w:val="en-US" w:eastAsia="zh-CN"/>
              </w:rPr>
              <w:t>重点防渗区：主要为油罐罐体防渗、油罐罐池防渗、输油管线防渗，采取的具体防渗措施如下：</w:t>
            </w:r>
          </w:p>
          <w:p>
            <w:pPr>
              <w:pStyle w:val="14"/>
              <w:bidi w:val="0"/>
              <w:rPr>
                <w:rFonts w:hint="eastAsia"/>
                <w:lang w:val="en-US" w:eastAsia="zh-CN"/>
              </w:rPr>
            </w:pPr>
            <w:r>
              <w:rPr>
                <w:rFonts w:hint="eastAsia"/>
                <w:lang w:val="en-US" w:eastAsia="zh-CN"/>
              </w:rPr>
              <w:t>a、油罐防渗措施</w:t>
            </w:r>
          </w:p>
          <w:p>
            <w:pPr>
              <w:pStyle w:val="14"/>
              <w:bidi w:val="0"/>
              <w:rPr>
                <w:rFonts w:hint="eastAsia"/>
                <w:lang w:val="en-US" w:eastAsia="zh-CN"/>
              </w:rPr>
            </w:pPr>
            <w:r>
              <w:rPr>
                <w:rFonts w:hint="eastAsia"/>
                <w:lang w:val="en-US" w:eastAsia="zh-CN"/>
              </w:rPr>
              <w:t>本项目使用储油罐体材料为钢；腐蚀裕度：1mm；储罐壁厚：储罐筒体壁厚6mm、冲压封头壁厚8mm；焊接工艺：焊接采用电弧焊；储罐区人孔井为边长为1680mm*1480mm 的长方形砖砌人孔，人孔井砖砌体确保底部与罐顶（加强筋外径）150mm 的间距，施工时先砌筑人孔井再按尺寸要求安放检测井钢板；人孔井底部与罐体连接处，加焊钢质平板，使人孔井底部水平；采用耐油橡胶石棉法兰垫，按国家标准配置螺栓、螺母、垫片；储油罐采用喷砂除锈，除锈等级达到Sa2.5，使用加强级环氧煤沥青漆防腐；涂层结构：底漆-面漆-玻璃布-面漆-玻璃布-两层面漆，涂层总厚度不小于0.6mm，3000 伏电火花试验合格；储罐防漂浮形式：设防漂浮抱箍、鞍座（固定于基础上）形式；储油罐设计使用寿命30年。</w:t>
            </w:r>
          </w:p>
          <w:p>
            <w:pPr>
              <w:pStyle w:val="14"/>
              <w:bidi w:val="0"/>
              <w:rPr>
                <w:rFonts w:hint="eastAsia"/>
                <w:lang w:val="en-US" w:eastAsia="zh-CN"/>
              </w:rPr>
            </w:pPr>
            <w:r>
              <w:rPr>
                <w:rFonts w:hint="eastAsia"/>
                <w:lang w:val="en-US" w:eastAsia="zh-CN"/>
              </w:rPr>
              <w:t>根据《加油站地下水污染防治技术指南（试行）》，项目双层罐需符合以下要求：</w:t>
            </w:r>
          </w:p>
          <w:p>
            <w:pPr>
              <w:pStyle w:val="14"/>
              <w:bidi w:val="0"/>
              <w:rPr>
                <w:rFonts w:hint="eastAsia"/>
                <w:lang w:val="en-US" w:eastAsia="zh-CN"/>
              </w:rPr>
            </w:pPr>
            <w:r>
              <w:rPr>
                <w:rFonts w:hint="eastAsia"/>
                <w:lang w:val="en-US" w:eastAsia="zh-CN"/>
              </w:rPr>
              <w:t>A、埋地油罐采用双层油罐，采用玻璃纤维增强塑料等满足强度和防渗要求的材料进行衬里改造。</w:t>
            </w:r>
          </w:p>
          <w:p>
            <w:pPr>
              <w:pStyle w:val="14"/>
              <w:bidi w:val="0"/>
              <w:rPr>
                <w:rFonts w:hint="eastAsia"/>
                <w:lang w:val="en-US" w:eastAsia="zh-CN"/>
              </w:rPr>
            </w:pPr>
            <w:r>
              <w:rPr>
                <w:rFonts w:hint="eastAsia"/>
                <w:lang w:val="en-US" w:eastAsia="zh-CN"/>
              </w:rPr>
              <w:t>B、双层钢制油罐和内钢外玻璃纤维增强塑料双层油罐的内层罐的罐体结构设计，按现行行业标准《钢制常压储罐第一部分：储存对水有污染的易燃和不易燃液体的埋地卧式圆筒形单层和双层储罐》（AQ 3020）的有关规定执行，并符合《汽车加油加气加氢站技术标准》GB 50156-2021）的其他规定。</w:t>
            </w:r>
          </w:p>
          <w:p>
            <w:pPr>
              <w:pStyle w:val="14"/>
              <w:bidi w:val="0"/>
              <w:rPr>
                <w:rFonts w:hint="eastAsia"/>
                <w:lang w:val="en-US" w:eastAsia="zh-CN"/>
              </w:rPr>
            </w:pPr>
            <w:r>
              <w:rPr>
                <w:rFonts w:hint="eastAsia"/>
                <w:lang w:val="en-US" w:eastAsia="zh-CN"/>
              </w:rPr>
              <w:t>C、与土壤接触的钢制油罐外表面，其防腐设计符合现行行业标准《石油化工设备和管道涂料防腐蚀技术规范》（SH 3022）的有关规定，且防腐等级不低于加强级。</w:t>
            </w:r>
          </w:p>
          <w:p>
            <w:pPr>
              <w:pStyle w:val="14"/>
              <w:bidi w:val="0"/>
              <w:rPr>
                <w:rFonts w:hint="eastAsia"/>
                <w:lang w:val="en-US" w:eastAsia="zh-CN"/>
              </w:rPr>
            </w:pPr>
            <w:r>
              <w:rPr>
                <w:rFonts w:hint="eastAsia"/>
                <w:lang w:val="en-US" w:eastAsia="zh-CN"/>
              </w:rPr>
              <w:t>D、埋地加油管道采用双层管道。</w:t>
            </w:r>
          </w:p>
          <w:p>
            <w:pPr>
              <w:pStyle w:val="14"/>
              <w:bidi w:val="0"/>
              <w:rPr>
                <w:rFonts w:hint="eastAsia"/>
                <w:lang w:val="en-US" w:eastAsia="zh-CN"/>
              </w:rPr>
            </w:pPr>
            <w:r>
              <w:rPr>
                <w:rFonts w:hint="eastAsia"/>
                <w:lang w:val="en-US" w:eastAsia="zh-CN"/>
              </w:rPr>
              <w:t>b、油罐罐池防渗措施</w:t>
            </w:r>
          </w:p>
          <w:p>
            <w:pPr>
              <w:pStyle w:val="14"/>
              <w:bidi w:val="0"/>
              <w:rPr>
                <w:rFonts w:hint="eastAsia"/>
                <w:lang w:val="en-US" w:eastAsia="zh-CN"/>
              </w:rPr>
            </w:pPr>
            <w:r>
              <w:rPr>
                <w:rFonts w:hint="eastAsia"/>
                <w:lang w:val="en-US" w:eastAsia="zh-CN"/>
              </w:rPr>
              <w:t>油罐区为重点防渗区，防水等级为一级。本项目油罐罐池为矩形结构，储罐间间距为0.65m，油罐罐池基坑开挖时，大面积开挖至-3.2m标高，然后只开挖1.6m 宽基槽至-4.74m 标高。基槽底部挖至硬土层，然后作用300mm厚砂卵石垫层，并夯实，卵石垫层上部采用混凝土铺设。除下部外，油罐周围回填材料采用级配砂石。罐区硬化地面、底板采用厚砂卵石垫层，并夯实，卵石垫层上部采用混凝土铺设。地基承载力100kN/m²，管槽的开挖坡角为 60°，储罐的覆土层厚度为600mm。</w:t>
            </w:r>
          </w:p>
          <w:p>
            <w:pPr>
              <w:pStyle w:val="14"/>
              <w:bidi w:val="0"/>
              <w:rPr>
                <w:rFonts w:hint="eastAsia"/>
                <w:lang w:val="en-US" w:eastAsia="zh-CN"/>
              </w:rPr>
            </w:pPr>
            <w:r>
              <w:rPr>
                <w:rFonts w:hint="eastAsia"/>
                <w:lang w:val="en-US" w:eastAsia="zh-CN"/>
              </w:rPr>
              <w:t>进油管、出油管以不小于3‰的坡度坡向油罐，通气管横管线均以不小于1%的坡度坡向油罐。</w:t>
            </w:r>
          </w:p>
          <w:p>
            <w:pPr>
              <w:pStyle w:val="14"/>
              <w:bidi w:val="0"/>
              <w:rPr>
                <w:rFonts w:hint="eastAsia"/>
                <w:lang w:val="en-US" w:eastAsia="zh-CN"/>
              </w:rPr>
            </w:pPr>
            <w:r>
              <w:rPr>
                <w:rFonts w:hint="eastAsia"/>
                <w:lang w:val="en-US" w:eastAsia="zh-CN"/>
              </w:rPr>
              <w:t>c、输油管线防渗措施</w:t>
            </w:r>
          </w:p>
          <w:p>
            <w:pPr>
              <w:pStyle w:val="14"/>
              <w:bidi w:val="0"/>
              <w:rPr>
                <w:rFonts w:hint="eastAsia"/>
                <w:lang w:val="en-US" w:eastAsia="zh-CN"/>
              </w:rPr>
            </w:pPr>
            <w:r>
              <w:rPr>
                <w:rFonts w:hint="eastAsia"/>
                <w:lang w:val="en-US" w:eastAsia="zh-CN"/>
              </w:rPr>
              <w:t>加油站输油管道用 20 号无缝钢管埋地敷设，且深埋地下500mm 以上。管沟底回填至少100mm 厚的细土或中性沙子，管道敷设完成后进行了压力测试。回填管沟时，先回填300mm 左右厚的河沙，再在其上铺设水泥混凝土。凡与油罐相连接的工艺管道皆坡向油罐，坡度均为i≥0.003，其中通气管线以 i≥0.01 的坡度坡向油罐。</w:t>
            </w:r>
          </w:p>
          <w:p>
            <w:pPr>
              <w:keepNext w:val="0"/>
              <w:pageBreakBefore w:val="0"/>
              <w:kinsoku/>
              <w:wordWrap/>
              <w:topLinePunct w:val="0"/>
              <w:bidi w:val="0"/>
              <w:adjustRightInd/>
              <w:snapToGrid/>
              <w:ind w:left="0" w:leftChars="0" w:right="0" w:rightChars="0" w:firstLine="482"/>
              <w:rPr>
                <w:rFonts w:hint="eastAsia" w:ascii="Times New Roman" w:hAnsi="Times New Roman" w:eastAsia="宋体" w:cs="Times New Roman"/>
                <w:b w:val="0"/>
                <w:bCs w:val="0"/>
                <w:i w:val="0"/>
                <w:iCs w:val="0"/>
                <w:color w:val="auto"/>
                <w:spacing w:val="0"/>
                <w:position w:val="0"/>
                <w:sz w:val="24"/>
                <w:szCs w:val="24"/>
                <w:u w:val="none" w:color="auto"/>
                <w:lang w:val="en-US" w:eastAsia="zh-CN"/>
              </w:rPr>
            </w:pPr>
            <w:r>
              <w:rPr>
                <w:rFonts w:hint="eastAsia" w:ascii="Times New Roman" w:hAnsi="Times New Roman" w:eastAsia="宋体" w:cs="Times New Roman"/>
                <w:b w:val="0"/>
                <w:bCs w:val="0"/>
                <w:i w:val="0"/>
                <w:iCs w:val="0"/>
                <w:color w:val="auto"/>
                <w:spacing w:val="0"/>
                <w:position w:val="0"/>
                <w:sz w:val="24"/>
                <w:szCs w:val="24"/>
                <w:u w:val="none" w:color="auto"/>
                <w:lang w:val="en-US" w:eastAsia="zh-CN"/>
              </w:rPr>
              <w:t>一</w:t>
            </w:r>
            <w:r>
              <w:rPr>
                <w:rStyle w:val="37"/>
                <w:rFonts w:hint="eastAsia"/>
                <w:lang w:val="en-US" w:eastAsia="zh-CN"/>
              </w:rPr>
              <w:t>般防渗区：主要为加油区、化粪池等。防渗措施为：地面采取粘土铺底，再在上层铺10~15cm的水泥进行硬化。通过上述措施可使一般防渗区各单元防渗层渗透系数≤10</w:t>
            </w:r>
            <w:r>
              <w:rPr>
                <w:rStyle w:val="37"/>
                <w:rFonts w:hint="eastAsia"/>
                <w:vertAlign w:val="superscript"/>
                <w:lang w:val="en-US" w:eastAsia="zh-CN"/>
              </w:rPr>
              <w:t>-7</w:t>
            </w:r>
            <w:r>
              <w:rPr>
                <w:rStyle w:val="37"/>
                <w:rFonts w:hint="eastAsia"/>
                <w:lang w:val="en-US" w:eastAsia="zh-CN"/>
              </w:rPr>
              <w:t>cm/s。</w:t>
            </w:r>
          </w:p>
          <w:p>
            <w:pPr>
              <w:keepNext w:val="0"/>
              <w:pageBreakBefore w:val="0"/>
              <w:kinsoku/>
              <w:wordWrap/>
              <w:topLinePunct w:val="0"/>
              <w:bidi w:val="0"/>
              <w:adjustRightInd/>
              <w:snapToGrid/>
              <w:ind w:left="0" w:leftChars="0" w:right="0" w:rightChars="0" w:firstLine="482"/>
              <w:rPr>
                <w:rFonts w:hint="eastAsia" w:ascii="Times New Roman" w:hAnsi="Times New Roman" w:eastAsia="宋体" w:cs="Times New Roman"/>
                <w:b w:val="0"/>
                <w:bCs w:val="0"/>
                <w:i w:val="0"/>
                <w:iCs w:val="0"/>
                <w:color w:val="auto"/>
                <w:spacing w:val="0"/>
                <w:position w:val="0"/>
                <w:sz w:val="24"/>
                <w:szCs w:val="24"/>
                <w:u w:val="none" w:color="auto"/>
                <w:lang w:val="en-US" w:eastAsia="zh-CN"/>
              </w:rPr>
            </w:pPr>
            <w:r>
              <w:rPr>
                <w:rFonts w:hint="eastAsia" w:ascii="Times New Roman" w:hAnsi="Times New Roman" w:eastAsia="宋体" w:cs="Times New Roman"/>
                <w:b w:val="0"/>
                <w:bCs w:val="0"/>
                <w:i w:val="0"/>
                <w:iCs w:val="0"/>
                <w:color w:val="auto"/>
                <w:spacing w:val="0"/>
                <w:position w:val="0"/>
                <w:sz w:val="24"/>
                <w:szCs w:val="24"/>
                <w:u w:val="none" w:color="auto"/>
                <w:lang w:val="en-US" w:eastAsia="zh-CN"/>
              </w:rPr>
              <w:t>简单防渗区：主要为站房、</w:t>
            </w:r>
            <w:r>
              <w:rPr>
                <w:rFonts w:hint="eastAsia" w:eastAsia="宋体" w:cs="Times New Roman"/>
                <w:b w:val="0"/>
                <w:bCs w:val="0"/>
                <w:i w:val="0"/>
                <w:iCs w:val="0"/>
                <w:color w:val="auto"/>
                <w:spacing w:val="0"/>
                <w:position w:val="0"/>
                <w:sz w:val="24"/>
                <w:szCs w:val="24"/>
                <w:u w:val="none" w:color="auto"/>
                <w:lang w:val="en-US" w:eastAsia="zh-CN"/>
              </w:rPr>
              <w:t>辅助用房、</w:t>
            </w:r>
            <w:r>
              <w:rPr>
                <w:rFonts w:hint="eastAsia" w:ascii="Times New Roman" w:hAnsi="Times New Roman" w:eastAsia="宋体" w:cs="Times New Roman"/>
                <w:b w:val="0"/>
                <w:bCs w:val="0"/>
                <w:i w:val="0"/>
                <w:iCs w:val="0"/>
                <w:color w:val="auto"/>
                <w:spacing w:val="0"/>
                <w:position w:val="0"/>
                <w:sz w:val="24"/>
                <w:szCs w:val="24"/>
                <w:u w:val="none" w:color="auto"/>
                <w:lang w:val="en-US" w:eastAsia="zh-CN"/>
              </w:rPr>
              <w:t>站内道路等区域，采取水泥硬化地面。具体的项目区防渗区域划分详见项目分区防渗图。</w:t>
            </w:r>
          </w:p>
          <w:p>
            <w:pPr>
              <w:pStyle w:val="14"/>
              <w:bidi w:val="0"/>
              <w:rPr>
                <w:rFonts w:hint="eastAsia"/>
                <w:lang w:val="en-US" w:eastAsia="zh-CN"/>
              </w:rPr>
            </w:pPr>
            <w:r>
              <w:rPr>
                <w:rFonts w:hint="eastAsia"/>
                <w:lang w:val="en-US" w:eastAsia="zh-CN"/>
              </w:rPr>
              <w:t>本次环评要求采取以下措施降低对地下水的影响：</w:t>
            </w:r>
          </w:p>
          <w:p>
            <w:pPr>
              <w:pStyle w:val="14"/>
              <w:bidi w:val="0"/>
              <w:rPr>
                <w:rFonts w:hint="eastAsia"/>
                <w:lang w:val="en-US" w:eastAsia="zh-CN"/>
              </w:rPr>
            </w:pPr>
            <w:r>
              <w:rPr>
                <w:rFonts w:hint="eastAsia"/>
                <w:lang w:val="en-US" w:eastAsia="zh-CN"/>
              </w:rPr>
              <w:t>a.对埋地罐区采取防渗、防腐、硬化处理；</w:t>
            </w:r>
          </w:p>
          <w:p>
            <w:pPr>
              <w:pStyle w:val="14"/>
              <w:bidi w:val="0"/>
              <w:rPr>
                <w:rFonts w:hint="eastAsia"/>
                <w:lang w:val="en-US" w:eastAsia="zh-CN"/>
              </w:rPr>
            </w:pPr>
            <w:r>
              <w:rPr>
                <w:rFonts w:hint="eastAsia"/>
                <w:lang w:val="en-US" w:eastAsia="zh-CN"/>
              </w:rPr>
              <w:t>b.化粪池底部采用防渗、防腐处理。废水采用管道输送，管道材料表面做防腐蚀处理，以减轻管道腐蚀造成的渗漏，并定期检查，确保消除跑、冒、滴、漏现象发生；</w:t>
            </w:r>
          </w:p>
          <w:p>
            <w:pPr>
              <w:pStyle w:val="14"/>
              <w:bidi w:val="0"/>
              <w:rPr>
                <w:rFonts w:hint="eastAsia"/>
                <w:lang w:val="en-US" w:eastAsia="zh-CN"/>
              </w:rPr>
            </w:pPr>
            <w:r>
              <w:rPr>
                <w:rFonts w:hint="eastAsia"/>
                <w:lang w:val="en-US" w:eastAsia="zh-CN"/>
              </w:rPr>
              <w:t>c.卸油时油罐采取防满溢措施，油料达到油罐75%容量时，触动高液位报警装置，油料到达油罐 80%容量时，自动停止油料进罐；</w:t>
            </w:r>
          </w:p>
          <w:p>
            <w:pPr>
              <w:pStyle w:val="14"/>
              <w:bidi w:val="0"/>
              <w:rPr>
                <w:rFonts w:hint="eastAsia"/>
                <w:lang w:val="en-US" w:eastAsia="zh-CN"/>
              </w:rPr>
            </w:pPr>
            <w:r>
              <w:rPr>
                <w:rFonts w:hint="eastAsia"/>
                <w:lang w:val="en-US" w:eastAsia="zh-CN"/>
              </w:rPr>
              <w:t>d.项目油品储罐均为埋地式储油罐，油罐采用砖混承重罐池，罐底设砂垫层，顶部设钢筋混凝土地面，且油罐均做加强级的防腐层。埋地油罐人孔为封闭状态，量油帽设有锁，而量油帽下的接合管伸入罐内，距罐底 0.2m 的高度，管口伸入油品液面下，罐底的油面浸没管口形成液封，使罐内空间与管内空间没有直接关系。</w:t>
            </w:r>
          </w:p>
          <w:p>
            <w:pPr>
              <w:pStyle w:val="14"/>
              <w:bidi w:val="0"/>
              <w:rPr>
                <w:rFonts w:hint="eastAsia"/>
                <w:lang w:val="en-US" w:eastAsia="zh-CN"/>
              </w:rPr>
            </w:pPr>
            <w:r>
              <w:rPr>
                <w:rFonts w:hint="eastAsia"/>
                <w:lang w:val="en-US" w:eastAsia="zh-CN"/>
              </w:rPr>
              <w:t>③地下水日常监测</w:t>
            </w:r>
          </w:p>
          <w:p>
            <w:pPr>
              <w:pStyle w:val="14"/>
              <w:bidi w:val="0"/>
              <w:rPr>
                <w:rFonts w:hint="eastAsia"/>
                <w:lang w:val="en-US" w:eastAsia="zh-CN"/>
              </w:rPr>
            </w:pPr>
            <w:r>
              <w:rPr>
                <w:rFonts w:hint="eastAsia"/>
                <w:lang w:val="en-US" w:eastAsia="zh-CN"/>
              </w:rPr>
              <w:t>本项目在埋地油罐区地下水流向的下游设置常规地下水监测井一个，以便日常监测。</w:t>
            </w:r>
          </w:p>
          <w:p>
            <w:pPr>
              <w:pStyle w:val="14"/>
              <w:bidi w:val="0"/>
              <w:rPr>
                <w:rFonts w:hint="eastAsia"/>
                <w:lang w:val="en-US" w:eastAsia="zh-CN"/>
              </w:rPr>
            </w:pPr>
            <w:r>
              <w:rPr>
                <w:rFonts w:hint="eastAsia"/>
                <w:lang w:val="en-US" w:eastAsia="zh-CN"/>
              </w:rPr>
              <w:t>④定期对管道、设备、油、污水储存及处理构筑物检查，确保无“跑、冒、 滴、漏”现象发生。</w:t>
            </w:r>
          </w:p>
          <w:p>
            <w:pPr>
              <w:pStyle w:val="14"/>
              <w:bidi w:val="0"/>
              <w:rPr>
                <w:rFonts w:hint="eastAsia"/>
                <w:lang w:val="en-US" w:eastAsia="zh-CN"/>
              </w:rPr>
            </w:pPr>
            <w:r>
              <w:rPr>
                <w:rFonts w:hint="eastAsia"/>
                <w:lang w:val="en-US" w:eastAsia="zh-CN"/>
              </w:rPr>
              <w:t>⑤地下储油罐区设置油品观察井，为及时发现地下油罐渗漏提供条件，防止成品油泄漏造成大面积的地下水污染。</w:t>
            </w:r>
          </w:p>
          <w:p>
            <w:pPr>
              <w:pStyle w:val="14"/>
              <w:bidi w:val="0"/>
              <w:rPr>
                <w:rFonts w:hint="eastAsia"/>
                <w:lang w:val="en-US" w:eastAsia="zh-CN"/>
              </w:rPr>
            </w:pPr>
            <w:r>
              <w:rPr>
                <w:rFonts w:hint="eastAsia"/>
                <w:lang w:val="en-US" w:eastAsia="zh-CN"/>
              </w:rPr>
              <w:t>⑥加强日常管理，如发现油品泄漏，需启动环境预警和开展应急响应，立即采取补救措施。</w:t>
            </w:r>
          </w:p>
          <w:p>
            <w:pPr>
              <w:pStyle w:val="14"/>
              <w:bidi w:val="0"/>
              <w:rPr>
                <w:rFonts w:hint="eastAsia"/>
                <w:lang w:val="en-US" w:eastAsia="zh-CN"/>
              </w:rPr>
            </w:pPr>
            <w:r>
              <w:rPr>
                <w:rFonts w:hint="eastAsia"/>
                <w:lang w:val="en-US" w:eastAsia="zh-CN"/>
              </w:rPr>
              <w:t>综上所述，采取以上措施后，本项目对地下水环境质量影响较小。</w:t>
            </w:r>
          </w:p>
          <w:p>
            <w:pPr>
              <w:pStyle w:val="14"/>
              <w:bidi w:val="0"/>
              <w:rPr>
                <w:rFonts w:hint="eastAsia"/>
                <w:lang w:val="en-US" w:eastAsia="zh-CN"/>
              </w:rPr>
            </w:pPr>
            <w:r>
              <w:rPr>
                <w:rFonts w:hint="eastAsia"/>
                <w:lang w:val="en-US" w:eastAsia="zh-CN"/>
              </w:rPr>
              <w:t>（3）地下水跟踪监测计划</w:t>
            </w:r>
          </w:p>
          <w:p>
            <w:pPr>
              <w:pStyle w:val="14"/>
              <w:bidi w:val="0"/>
              <w:rPr>
                <w:rFonts w:hint="eastAsia"/>
                <w:lang w:val="en-US" w:eastAsia="zh-CN"/>
              </w:rPr>
            </w:pPr>
            <w:r>
              <w:rPr>
                <w:rFonts w:hint="eastAsia"/>
                <w:lang w:val="en-US" w:eastAsia="zh-CN"/>
              </w:rPr>
              <w:t>根据《加油站地下水污染防治技术指南（试行）》，本项目在站内埋地油罐区设置1个防渗观测井，站外地下水流向设置1个地下水监测井，并定期开展地下水常规监测。</w:t>
            </w:r>
          </w:p>
          <w:p>
            <w:pPr>
              <w:pStyle w:val="14"/>
              <w:bidi w:val="0"/>
              <w:rPr>
                <w:rFonts w:hint="eastAsia"/>
                <w:lang w:val="en-US" w:eastAsia="zh-CN"/>
              </w:rPr>
            </w:pPr>
            <w:r>
              <w:rPr>
                <w:rFonts w:hint="eastAsia"/>
                <w:lang w:val="en-US" w:eastAsia="zh-CN"/>
              </w:rPr>
              <w:t>①定性检测：可通过肉眼观察、使用测油膏、便携式气体监测仪等其他快速方法判定地下水监测井中是否存在油品污染，定性监测每周一次。</w:t>
            </w:r>
          </w:p>
          <w:p>
            <w:pPr>
              <w:pStyle w:val="14"/>
              <w:bidi w:val="0"/>
              <w:rPr>
                <w:rFonts w:hint="eastAsia"/>
                <w:lang w:val="en-US" w:eastAsia="zh-CN"/>
              </w:rPr>
            </w:pPr>
            <w:r>
              <w:rPr>
                <w:rFonts w:hint="eastAsia"/>
                <w:lang w:val="en-US" w:eastAsia="zh-CN"/>
              </w:rPr>
              <w:t>②定量监测：若定性监测发现地下水存在油品污染，立即启动定量监测；若定性监测未发现问题，则每季度监测1次，具体监测指标见下。</w:t>
            </w:r>
          </w:p>
          <w:p>
            <w:pPr>
              <w:pStyle w:val="14"/>
              <w:bidi w:val="0"/>
              <w:rPr>
                <w:rFonts w:hint="eastAsia"/>
                <w:lang w:val="en-US" w:eastAsia="zh-CN"/>
              </w:rPr>
            </w:pPr>
            <w:r>
              <w:rPr>
                <w:rFonts w:hint="eastAsia"/>
                <w:lang w:val="en-US" w:eastAsia="zh-CN"/>
              </w:rPr>
              <w:t>监测点位：地下水监测井</w:t>
            </w:r>
          </w:p>
          <w:p>
            <w:pPr>
              <w:pStyle w:val="14"/>
              <w:bidi w:val="0"/>
              <w:rPr>
                <w:rFonts w:hint="eastAsia"/>
                <w:lang w:val="en-US" w:eastAsia="zh-CN"/>
              </w:rPr>
            </w:pPr>
            <w:r>
              <w:rPr>
                <w:rFonts w:hint="eastAsia"/>
                <w:lang w:val="en-US" w:eastAsia="zh-CN"/>
              </w:rPr>
              <w:t>监测频率：每年监测一次。</w:t>
            </w:r>
          </w:p>
          <w:p>
            <w:pPr>
              <w:pStyle w:val="14"/>
              <w:bidi w:val="0"/>
              <w:rPr>
                <w:rFonts w:hint="eastAsia"/>
                <w:lang w:val="en-US" w:eastAsia="zh-CN"/>
              </w:rPr>
            </w:pPr>
            <w:r>
              <w:rPr>
                <w:rFonts w:hint="eastAsia"/>
                <w:lang w:val="en-US" w:eastAsia="zh-CN"/>
              </w:rPr>
              <w:t>监测项目：特征指标挥发性有机物（萘、苯、甲苯、乙苯、邻二甲苯、间（对）二甲苯、甲基叔丁基醚）、其他（石油类）。</w:t>
            </w:r>
          </w:p>
          <w:p>
            <w:pPr>
              <w:pStyle w:val="14"/>
              <w:bidi w:val="0"/>
              <w:rPr>
                <w:rFonts w:hint="eastAsia"/>
                <w:lang w:val="en-US" w:eastAsia="zh-CN"/>
              </w:rPr>
            </w:pPr>
            <w:r>
              <w:rPr>
                <w:rFonts w:hint="eastAsia"/>
                <w:lang w:val="en-US" w:eastAsia="zh-CN"/>
              </w:rPr>
              <w:t>监测单位：委托有资质的单位进行监测。</w:t>
            </w:r>
          </w:p>
          <w:p>
            <w:pPr>
              <w:pStyle w:val="14"/>
              <w:bidi w:val="0"/>
              <w:rPr>
                <w:rFonts w:hint="eastAsia"/>
                <w:lang w:eastAsia="zh-CN"/>
              </w:rPr>
            </w:pPr>
            <w:r>
              <w:rPr>
                <w:rFonts w:hint="eastAsia"/>
                <w:lang w:val="en-US" w:eastAsia="zh-CN"/>
              </w:rPr>
              <w:t>上述监测结果应按项目有关规定及时建立档案，对于常规监测数据应进行公开，特别是对项目所在区域附近的居民进行公开。满足法律中关于知情权的要求。如发现异常或发生事故，加密监测频次，并分析污染原因，确定泄露污染源，及时采取应急措施</w:t>
            </w:r>
            <w:r>
              <w:rPr>
                <w:rFonts w:hint="eastAsia"/>
                <w:lang w:eastAsia="zh-CN"/>
              </w:rPr>
              <w:t>。</w:t>
            </w:r>
          </w:p>
          <w:p>
            <w:pPr>
              <w:pStyle w:val="14"/>
              <w:bidi w:val="0"/>
              <w:rPr>
                <w:rFonts w:hint="eastAsia"/>
                <w:lang w:val="en-US" w:eastAsia="zh-CN"/>
              </w:rPr>
            </w:pPr>
            <w:r>
              <w:t>综上所述，本项目在严格落实防渗措施的情况下，物料渗入影响土壤、地下水的可能性较小，若发生渗入影响，在及时处置的情况下对土壤、地下水的影响可以接受。</w:t>
            </w:r>
          </w:p>
          <w:p>
            <w:pPr>
              <w:pStyle w:val="14"/>
              <w:bidi w:val="0"/>
              <w:rPr>
                <w:rFonts w:hint="eastAsia"/>
                <w:lang w:val="en-US" w:eastAsia="zh-CN"/>
              </w:rPr>
            </w:pPr>
            <w:r>
              <w:rPr>
                <w:rFonts w:hint="eastAsia"/>
                <w:lang w:val="en-US" w:eastAsia="zh-CN"/>
              </w:rPr>
              <w:t>6、生态</w:t>
            </w:r>
          </w:p>
          <w:p>
            <w:pPr>
              <w:pStyle w:val="14"/>
              <w:bidi w:val="0"/>
              <w:rPr>
                <w:rFonts w:hint="eastAsia"/>
                <w:lang w:val="en-US" w:eastAsia="zh-CN"/>
              </w:rPr>
            </w:pPr>
            <w:r>
              <w:t>项目拟建地不属于生物多样性保护区域或生态敏感区域，工程影响范围不大，项目建设对生物群落影响相对较小，生物量、物种多样性减少轻微，绿地数量略有减少，可能导致一定程度的分布不均，连通性变差，但区域环境总体理化性质变化不大，项目所在地周围生态环境相对稳定，因此，项目建设对生态环境影响不大。</w:t>
            </w:r>
          </w:p>
          <w:p>
            <w:pPr>
              <w:pStyle w:val="14"/>
              <w:numPr>
                <w:ilvl w:val="0"/>
                <w:numId w:val="10"/>
              </w:numPr>
              <w:bidi w:val="0"/>
              <w:rPr>
                <w:rFonts w:hint="default"/>
              </w:rPr>
            </w:pPr>
            <w:r>
              <w:rPr>
                <w:rFonts w:hint="default"/>
              </w:rPr>
              <w:t>环境风险</w:t>
            </w:r>
          </w:p>
          <w:p>
            <w:pPr>
              <w:pStyle w:val="14"/>
              <w:ind w:firstLine="480"/>
            </w:pPr>
            <w:bookmarkStart w:id="69" w:name="_Toc7229"/>
            <w:r>
              <w:t>根据《建设项目环境风险评价技术导则》（HJ169-2018）附录B可知，本项目在运营过程中风险源有：汽油和柴油泄露、火灾和爆炸等。</w:t>
            </w:r>
          </w:p>
          <w:bookmarkEnd w:id="69"/>
          <w:p>
            <w:pPr>
              <w:pStyle w:val="14"/>
              <w:bidi w:val="0"/>
            </w:pPr>
            <w:r>
              <w:rPr>
                <w:rFonts w:hint="eastAsia"/>
                <w:lang w:val="en-US" w:eastAsia="zh-CN"/>
              </w:rPr>
              <w:t>7.1</w:t>
            </w:r>
            <w:r>
              <w:t>环境风险评价等级</w:t>
            </w:r>
          </w:p>
          <w:p>
            <w:pPr>
              <w:pStyle w:val="14"/>
              <w:bidi w:val="0"/>
              <w:ind w:firstLine="720" w:firstLineChars="300"/>
            </w:pPr>
            <w:r>
              <w:t>本项目生产、加工、运输、使用或贮存中涉及名录中的危险物质有</w:t>
            </w:r>
            <w:r>
              <w:rPr>
                <w:rFonts w:hint="eastAsia"/>
                <w:lang w:eastAsia="zh-CN"/>
              </w:rPr>
              <w:t>机油、废机油、油漆等</w:t>
            </w:r>
            <w:r>
              <w:rPr>
                <w:rFonts w:hint="eastAsia"/>
              </w:rPr>
              <w:t>。</w:t>
            </w:r>
            <w:r>
              <w:t>按照《建设项目环境风险评价技术导则》（HJ169-2018）附录B，本项目危险物质的危险性、类别、储存量、储存临界量见下表。</w:t>
            </w:r>
          </w:p>
          <w:p>
            <w:pPr>
              <w:pStyle w:val="36"/>
              <w:bidi w:val="0"/>
              <w:rPr>
                <w:rFonts w:hint="eastAsia"/>
                <w:lang w:val="en-US" w:eastAsia="zh-CN"/>
              </w:rPr>
            </w:pPr>
            <w:r>
              <w:t>表</w:t>
            </w:r>
            <w:r>
              <w:rPr>
                <w:rFonts w:hint="eastAsia"/>
                <w:lang w:val="en-US" w:eastAsia="zh-CN"/>
              </w:rPr>
              <w:t>4.2-23环境风险物质</w:t>
            </w:r>
            <w:r>
              <w:t>分布及主要危险物质一览表</w:t>
            </w:r>
            <w:r>
              <w:rPr>
                <w:rFonts w:hint="eastAsia"/>
                <w:lang w:val="en-US" w:eastAsia="zh-CN"/>
              </w:rPr>
              <w:t xml:space="preserve"> </w:t>
            </w:r>
          </w:p>
          <w:tbl>
            <w:tblPr>
              <w:tblStyle w:val="31"/>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675"/>
              <w:gridCol w:w="1421"/>
              <w:gridCol w:w="1429"/>
              <w:gridCol w:w="1855"/>
              <w:gridCol w:w="1294"/>
              <w:gridCol w:w="12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428" w:type="pct"/>
                  <w:noWrap w:val="0"/>
                  <w:vAlign w:val="center"/>
                </w:tcPr>
                <w:p>
                  <w:pPr>
                    <w:pStyle w:val="35"/>
                    <w:bidi w:val="0"/>
                    <w:jc w:val="center"/>
                  </w:pPr>
                  <w:r>
                    <w:t>序号</w:t>
                  </w:r>
                </w:p>
              </w:tc>
              <w:tc>
                <w:tcPr>
                  <w:tcW w:w="900" w:type="pct"/>
                  <w:noWrap w:val="0"/>
                  <w:vAlign w:val="center"/>
                </w:tcPr>
                <w:p>
                  <w:pPr>
                    <w:pStyle w:val="35"/>
                    <w:bidi w:val="0"/>
                    <w:jc w:val="center"/>
                  </w:pPr>
                  <w:r>
                    <w:t>物料名称</w:t>
                  </w:r>
                </w:p>
              </w:tc>
              <w:tc>
                <w:tcPr>
                  <w:tcW w:w="905" w:type="pct"/>
                  <w:noWrap w:val="0"/>
                  <w:vAlign w:val="center"/>
                </w:tcPr>
                <w:p>
                  <w:pPr>
                    <w:pStyle w:val="35"/>
                    <w:bidi w:val="0"/>
                    <w:jc w:val="center"/>
                  </w:pPr>
                  <w:r>
                    <w:t>危险类别</w:t>
                  </w:r>
                </w:p>
              </w:tc>
              <w:tc>
                <w:tcPr>
                  <w:tcW w:w="1175" w:type="pct"/>
                  <w:noWrap w:val="0"/>
                  <w:vAlign w:val="center"/>
                </w:tcPr>
                <w:p>
                  <w:pPr>
                    <w:pStyle w:val="35"/>
                    <w:bidi w:val="0"/>
                    <w:jc w:val="center"/>
                  </w:pPr>
                  <w:r>
                    <w:t>最大储存质量（t）</w:t>
                  </w:r>
                </w:p>
              </w:tc>
              <w:tc>
                <w:tcPr>
                  <w:tcW w:w="819" w:type="pct"/>
                  <w:noWrap w:val="0"/>
                  <w:vAlign w:val="center"/>
                </w:tcPr>
                <w:p>
                  <w:pPr>
                    <w:pStyle w:val="35"/>
                    <w:bidi w:val="0"/>
                    <w:jc w:val="center"/>
                  </w:pPr>
                  <w:r>
                    <w:t>临界量（t）</w:t>
                  </w:r>
                </w:p>
              </w:tc>
              <w:tc>
                <w:tcPr>
                  <w:tcW w:w="770" w:type="pct"/>
                  <w:noWrap w:val="0"/>
                  <w:vAlign w:val="center"/>
                </w:tcPr>
                <w:p>
                  <w:pPr>
                    <w:pStyle w:val="35"/>
                    <w:bidi w:val="0"/>
                    <w:jc w:val="center"/>
                  </w:pPr>
                  <w:r>
                    <w:t>qn/Qn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28" w:type="pct"/>
                  <w:noWrap w:val="0"/>
                  <w:vAlign w:val="center"/>
                </w:tcPr>
                <w:p>
                  <w:pPr>
                    <w:pStyle w:val="35"/>
                    <w:bidi w:val="0"/>
                    <w:jc w:val="center"/>
                  </w:pPr>
                  <w:r>
                    <w:t>1</w:t>
                  </w:r>
                </w:p>
              </w:tc>
              <w:tc>
                <w:tcPr>
                  <w:tcW w:w="900" w:type="pct"/>
                  <w:noWrap w:val="0"/>
                  <w:vAlign w:val="center"/>
                </w:tcPr>
                <w:p>
                  <w:pPr>
                    <w:pStyle w:val="35"/>
                    <w:rPr>
                      <w:rFonts w:hint="eastAsia" w:ascii="Times New Roman" w:hAnsi="Times New Roman" w:eastAsia="宋体"/>
                      <w:kern w:val="2"/>
                      <w:sz w:val="21"/>
                      <w:szCs w:val="21"/>
                      <w:lang w:val="en-US" w:eastAsia="zh-CN" w:bidi="ar-SA"/>
                    </w:rPr>
                  </w:pPr>
                  <w:r>
                    <w:rPr>
                      <w:rFonts w:hint="eastAsia"/>
                      <w:lang w:eastAsia="zh-CN"/>
                    </w:rPr>
                    <w:t>柴</w:t>
                  </w:r>
                  <w:r>
                    <w:rPr>
                      <w:rFonts w:hint="eastAsia"/>
                    </w:rPr>
                    <w:t>油</w:t>
                  </w:r>
                </w:p>
              </w:tc>
              <w:tc>
                <w:tcPr>
                  <w:tcW w:w="905" w:type="pct"/>
                  <w:noWrap w:val="0"/>
                  <w:vAlign w:val="center"/>
                </w:tcPr>
                <w:p>
                  <w:pPr>
                    <w:pStyle w:val="35"/>
                    <w:bidi w:val="0"/>
                    <w:jc w:val="center"/>
                  </w:pPr>
                  <w:r>
                    <w:t>油类物质</w:t>
                  </w:r>
                </w:p>
              </w:tc>
              <w:tc>
                <w:tcPr>
                  <w:tcW w:w="1175" w:type="pct"/>
                  <w:noWrap w:val="0"/>
                  <w:vAlign w:val="center"/>
                </w:tcPr>
                <w:p>
                  <w:pPr>
                    <w:pStyle w:val="35"/>
                    <w:tabs>
                      <w:tab w:val="left" w:pos="1021"/>
                    </w:tabs>
                    <w:rPr>
                      <w:rFonts w:hint="default" w:ascii="Times New Roman" w:hAnsi="Times New Roman" w:eastAsia="宋体" w:cs="Times New Roman"/>
                      <w:kern w:val="2"/>
                      <w:sz w:val="21"/>
                      <w:szCs w:val="21"/>
                      <w:lang w:val="en-US" w:eastAsia="zh-CN" w:bidi="ar-SA"/>
                    </w:rPr>
                  </w:pPr>
                  <w:r>
                    <w:rPr>
                      <w:rFonts w:hint="eastAsia" w:cs="Times New Roman"/>
                      <w:kern w:val="2"/>
                      <w:sz w:val="21"/>
                      <w:szCs w:val="21"/>
                      <w:lang w:val="en-US" w:eastAsia="zh-CN" w:bidi="ar-SA"/>
                    </w:rPr>
                    <w:t>37</w:t>
                  </w:r>
                </w:p>
              </w:tc>
              <w:tc>
                <w:tcPr>
                  <w:tcW w:w="819" w:type="pct"/>
                  <w:vMerge w:val="restart"/>
                  <w:noWrap w:val="0"/>
                  <w:vAlign w:val="center"/>
                </w:tcPr>
                <w:p>
                  <w:pPr>
                    <w:pStyle w:val="35"/>
                    <w:bidi w:val="0"/>
                    <w:jc w:val="center"/>
                  </w:pPr>
                  <w:r>
                    <w:t>2500</w:t>
                  </w:r>
                </w:p>
              </w:tc>
              <w:tc>
                <w:tcPr>
                  <w:tcW w:w="770" w:type="pct"/>
                  <w:vMerge w:val="restart"/>
                  <w:noWrap w:val="0"/>
                  <w:vAlign w:val="center"/>
                </w:tcPr>
                <w:p>
                  <w:pPr>
                    <w:pStyle w:val="35"/>
                    <w:bidi w:val="0"/>
                    <w:jc w:val="center"/>
                    <w:rPr>
                      <w:rFonts w:hint="default" w:eastAsia="宋体"/>
                      <w:lang w:val="en-US" w:eastAsia="zh-CN"/>
                    </w:rPr>
                  </w:pPr>
                  <w:r>
                    <w:rPr>
                      <w:rFonts w:hint="eastAsia"/>
                      <w:lang w:val="en-US" w:eastAsia="zh-CN"/>
                    </w:rPr>
                    <w:t>0.04264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28" w:type="pct"/>
                  <w:noWrap w:val="0"/>
                  <w:vAlign w:val="center"/>
                </w:tcPr>
                <w:p>
                  <w:pPr>
                    <w:pStyle w:val="35"/>
                    <w:bidi w:val="0"/>
                    <w:jc w:val="center"/>
                  </w:pPr>
                  <w:r>
                    <w:t>2</w:t>
                  </w:r>
                </w:p>
              </w:tc>
              <w:tc>
                <w:tcPr>
                  <w:tcW w:w="900" w:type="pct"/>
                  <w:noWrap w:val="0"/>
                  <w:vAlign w:val="center"/>
                </w:tcPr>
                <w:p>
                  <w:pPr>
                    <w:pStyle w:val="35"/>
                    <w:rPr>
                      <w:rFonts w:hint="eastAsia" w:ascii="Times New Roman" w:hAnsi="Times New Roman" w:eastAsia="宋体"/>
                      <w:kern w:val="2"/>
                      <w:sz w:val="21"/>
                      <w:szCs w:val="21"/>
                      <w:lang w:val="en-US" w:eastAsia="zh-CN" w:bidi="ar-SA"/>
                    </w:rPr>
                  </w:pPr>
                  <w:r>
                    <w:rPr>
                      <w:rFonts w:hint="eastAsia"/>
                      <w:lang w:eastAsia="zh-CN"/>
                    </w:rPr>
                    <w:t>汽</w:t>
                  </w:r>
                  <w:r>
                    <w:rPr>
                      <w:rFonts w:hint="eastAsia"/>
                    </w:rPr>
                    <w:t>油</w:t>
                  </w:r>
                </w:p>
              </w:tc>
              <w:tc>
                <w:tcPr>
                  <w:tcW w:w="905" w:type="pct"/>
                  <w:noWrap w:val="0"/>
                  <w:vAlign w:val="center"/>
                </w:tcPr>
                <w:p>
                  <w:pPr>
                    <w:pStyle w:val="35"/>
                    <w:bidi w:val="0"/>
                    <w:jc w:val="center"/>
                  </w:pPr>
                  <w:r>
                    <w:t>油类物质</w:t>
                  </w:r>
                </w:p>
              </w:tc>
              <w:tc>
                <w:tcPr>
                  <w:tcW w:w="1175" w:type="pct"/>
                  <w:noWrap w:val="0"/>
                  <w:vAlign w:val="center"/>
                </w:tcPr>
                <w:p>
                  <w:pPr>
                    <w:pStyle w:val="35"/>
                    <w:tabs>
                      <w:tab w:val="left" w:pos="1021"/>
                    </w:tabs>
                    <w:rPr>
                      <w:rFonts w:hint="default" w:ascii="Times New Roman" w:hAnsi="Times New Roman" w:eastAsia="宋体" w:cs="Times New Roman"/>
                      <w:kern w:val="2"/>
                      <w:sz w:val="21"/>
                      <w:szCs w:val="21"/>
                      <w:lang w:val="en-US" w:eastAsia="zh-CN" w:bidi="ar-SA"/>
                    </w:rPr>
                  </w:pPr>
                  <w:r>
                    <w:rPr>
                      <w:rFonts w:hint="eastAsia" w:cs="Times New Roman"/>
                      <w:kern w:val="2"/>
                      <w:sz w:val="21"/>
                      <w:szCs w:val="21"/>
                      <w:lang w:val="en-US" w:eastAsia="zh-CN" w:bidi="ar-SA"/>
                    </w:rPr>
                    <w:t>69.6</w:t>
                  </w:r>
                </w:p>
              </w:tc>
              <w:tc>
                <w:tcPr>
                  <w:tcW w:w="819" w:type="pct"/>
                  <w:vMerge w:val="continue"/>
                  <w:noWrap w:val="0"/>
                  <w:vAlign w:val="center"/>
                </w:tcPr>
                <w:p>
                  <w:pPr>
                    <w:pStyle w:val="35"/>
                    <w:bidi w:val="0"/>
                    <w:jc w:val="center"/>
                    <w:rPr>
                      <w:rFonts w:hint="default" w:eastAsia="宋体"/>
                      <w:lang w:val="en-US" w:eastAsia="zh-CN"/>
                    </w:rPr>
                  </w:pPr>
                </w:p>
              </w:tc>
              <w:tc>
                <w:tcPr>
                  <w:tcW w:w="770" w:type="pct"/>
                  <w:vMerge w:val="continue"/>
                  <w:noWrap w:val="0"/>
                  <w:vAlign w:val="center"/>
                </w:tcPr>
                <w:p>
                  <w:pPr>
                    <w:pStyle w:val="35"/>
                    <w:bidi w:val="0"/>
                    <w:jc w:val="cente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28" w:type="pct"/>
                  <w:noWrap w:val="0"/>
                  <w:vAlign w:val="center"/>
                </w:tcPr>
                <w:p>
                  <w:pPr>
                    <w:pStyle w:val="35"/>
                    <w:bidi w:val="0"/>
                    <w:jc w:val="center"/>
                  </w:pPr>
                  <w:r>
                    <w:t>3</w:t>
                  </w:r>
                </w:p>
              </w:tc>
              <w:tc>
                <w:tcPr>
                  <w:tcW w:w="3800" w:type="pct"/>
                  <w:gridSpan w:val="4"/>
                  <w:noWrap w:val="0"/>
                  <w:vAlign w:val="center"/>
                </w:tcPr>
                <w:p>
                  <w:pPr>
                    <w:pStyle w:val="35"/>
                    <w:bidi w:val="0"/>
                    <w:jc w:val="center"/>
                  </w:pPr>
                  <w:r>
                    <w:rPr>
                      <w:rFonts w:hint="eastAsia"/>
                      <w:lang w:eastAsia="zh-CN"/>
                    </w:rPr>
                    <w:t>合计</w:t>
                  </w:r>
                </w:p>
              </w:tc>
              <w:tc>
                <w:tcPr>
                  <w:tcW w:w="770" w:type="pct"/>
                  <w:noWrap w:val="0"/>
                  <w:vAlign w:val="center"/>
                </w:tcPr>
                <w:p>
                  <w:pPr>
                    <w:pStyle w:val="35"/>
                    <w:bidi w:val="0"/>
                    <w:jc w:val="center"/>
                    <w:rPr>
                      <w:rFonts w:hint="default"/>
                      <w:lang w:val="en-US" w:eastAsia="zh-CN"/>
                    </w:rPr>
                  </w:pPr>
                  <w:r>
                    <w:rPr>
                      <w:rFonts w:hint="eastAsia"/>
                      <w:lang w:val="en-US" w:eastAsia="zh-CN"/>
                    </w:rPr>
                    <w:t>0.04264</w:t>
                  </w:r>
                </w:p>
              </w:tc>
            </w:tr>
          </w:tbl>
          <w:p>
            <w:pPr>
              <w:pStyle w:val="14"/>
              <w:bidi w:val="0"/>
            </w:pPr>
            <w:r>
              <w:t>单元内存在的危险物质为多品种时，则按下式计算Q ：</w:t>
            </w:r>
          </w:p>
          <w:p>
            <w:pPr>
              <w:bidi w:val="0"/>
              <w:jc w:val="center"/>
            </w:pPr>
            <w:r>
              <w:drawing>
                <wp:inline distT="0" distB="0" distL="114300" distR="114300">
                  <wp:extent cx="1590675" cy="342900"/>
                  <wp:effectExtent l="0" t="0" r="9525" b="0"/>
                  <wp:docPr id="5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4"/>
                          <pic:cNvPicPr>
                            <a:picLocks noChangeAspect="1"/>
                          </pic:cNvPicPr>
                        </pic:nvPicPr>
                        <pic:blipFill>
                          <a:blip r:embed="rId23"/>
                          <a:stretch>
                            <a:fillRect/>
                          </a:stretch>
                        </pic:blipFill>
                        <pic:spPr>
                          <a:xfrm>
                            <a:off x="0" y="0"/>
                            <a:ext cx="1590675" cy="342900"/>
                          </a:xfrm>
                          <a:prstGeom prst="rect">
                            <a:avLst/>
                          </a:prstGeom>
                          <a:noFill/>
                          <a:ln>
                            <a:noFill/>
                          </a:ln>
                        </pic:spPr>
                      </pic:pic>
                    </a:graphicData>
                  </a:graphic>
                </wp:inline>
              </w:drawing>
            </w:r>
          </w:p>
          <w:p>
            <w:pPr>
              <w:pStyle w:val="14"/>
              <w:ind w:firstLine="480"/>
            </w:pPr>
            <w:r>
              <w:t>式中：q</w:t>
            </w:r>
            <w:r>
              <w:rPr>
                <w:vertAlign w:val="subscript"/>
              </w:rPr>
              <w:t>1</w:t>
            </w:r>
            <w:r>
              <w:t>、q</w:t>
            </w:r>
            <w:r>
              <w:rPr>
                <w:vertAlign w:val="subscript"/>
              </w:rPr>
              <w:t>2</w:t>
            </w:r>
            <w:r>
              <w:t xml:space="preserve"> …… qn ——每种危险物质的最大存在量，t；</w:t>
            </w:r>
          </w:p>
          <w:p>
            <w:pPr>
              <w:pStyle w:val="14"/>
              <w:ind w:firstLine="480"/>
            </w:pPr>
            <w:r>
              <w:t>Q</w:t>
            </w:r>
            <w:r>
              <w:rPr>
                <w:vertAlign w:val="subscript"/>
              </w:rPr>
              <w:t>1</w:t>
            </w:r>
            <w:r>
              <w:t>、Q</w:t>
            </w:r>
            <w:r>
              <w:rPr>
                <w:vertAlign w:val="subscript"/>
              </w:rPr>
              <w:t>2</w:t>
            </w:r>
            <w:r>
              <w:t xml:space="preserve">  ……Qn  ——每种危险物质的临界量，t。</w:t>
            </w:r>
          </w:p>
          <w:p>
            <w:pPr>
              <w:pStyle w:val="14"/>
              <w:ind w:firstLine="480"/>
            </w:pPr>
            <w:r>
              <w:t>当 Q&lt;1 时，该项目环境风险潜势为 I。</w:t>
            </w:r>
          </w:p>
          <w:p>
            <w:pPr>
              <w:pStyle w:val="14"/>
              <w:ind w:firstLine="480"/>
            </w:pPr>
            <w:r>
              <w:t>当 Q≥1 时，将 Q 值划分为：（1）1≤Q&lt;10；（2）10≤Q&lt;100；（3）Q≥100。再综合所属行业及生产工艺特点（M）另行判定。</w:t>
            </w:r>
          </w:p>
          <w:p>
            <w:pPr>
              <w:pStyle w:val="14"/>
              <w:bidi w:val="0"/>
            </w:pPr>
            <w:r>
              <w:rPr>
                <w:rFonts w:hint="eastAsia"/>
                <w:lang w:eastAsia="zh-CN"/>
              </w:rPr>
              <w:t>项目</w:t>
            </w:r>
            <w:r>
              <w:t>Q=</w:t>
            </w:r>
            <w:r>
              <w:rPr>
                <w:rFonts w:hint="eastAsia"/>
                <w:lang w:val="en-US" w:eastAsia="zh-CN"/>
              </w:rPr>
              <w:t>0.04264</w:t>
            </w:r>
            <w:r>
              <w:t>＜1。</w:t>
            </w:r>
          </w:p>
          <w:p>
            <w:pPr>
              <w:pStyle w:val="14"/>
              <w:bidi w:val="0"/>
              <w:rPr>
                <w:rFonts w:hint="default" w:ascii="Times New Roman" w:hAnsi="Times New Roman" w:cs="Times New Roman"/>
                <w:lang w:eastAsia="zh-CN"/>
              </w:rPr>
            </w:pPr>
            <w:r>
              <w:rPr>
                <w:rFonts w:hint="default" w:ascii="Times New Roman" w:hAnsi="Times New Roman" w:cs="Times New Roman"/>
              </w:rPr>
              <w:t>根据《建设项目环境风险评价技术导则》（HJ169-2018）附录 C 1.1，当Q小于1时，该项目环境风险潜势为I。根据《建设项目环境风险评价技术导则》（HJ169-2018） 评价工作等级划分，环境风险潜势为 I 的项目进行简单分析即可。无需再确定所属行业及生产工艺特点（M）等。即主要针对危险物质、环境影响途径、环境危害后果、风险方法措施等方面给出定性的说明</w:t>
            </w:r>
            <w:r>
              <w:rPr>
                <w:rFonts w:hint="default" w:ascii="Times New Roman" w:hAnsi="Times New Roman" w:cs="Times New Roman"/>
                <w:lang w:eastAsia="zh-CN"/>
              </w:rPr>
              <w:t>。</w:t>
            </w:r>
          </w:p>
          <w:p>
            <w:pPr>
              <w:pStyle w:val="14"/>
              <w:bidi w:val="0"/>
            </w:pPr>
            <w:r>
              <w:rPr>
                <w:rFonts w:hint="eastAsia"/>
                <w:lang w:val="en-US" w:eastAsia="zh-CN"/>
              </w:rPr>
              <w:t>7.2</w:t>
            </w:r>
            <w:r>
              <w:rPr>
                <w:rFonts w:hint="default"/>
                <w:lang w:val="en-US" w:eastAsia="zh-CN"/>
              </w:rPr>
              <w:t>环境风险识别</w:t>
            </w:r>
          </w:p>
          <w:p>
            <w:pPr>
              <w:pStyle w:val="14"/>
              <w:bidi w:val="0"/>
              <w:rPr>
                <w:rFonts w:hint="default"/>
                <w:lang w:val="en-US" w:eastAsia="zh-CN"/>
              </w:rPr>
            </w:pPr>
            <w:r>
              <w:rPr>
                <w:rFonts w:hint="default"/>
                <w:lang w:val="en-US" w:eastAsia="zh-CN"/>
              </w:rPr>
              <w:t>①储油罐、加油区：油品储存在埋地油罐中，油品因设备损坏、失灵或人为操作失误造成油品跑冒滴漏，泄漏后挥发的非甲烷总烃经大气扩散影响周边居民，油品流向路基、排水沟等进入外环境，污染地表水、地下水、土壤环境。</w:t>
            </w:r>
          </w:p>
          <w:p>
            <w:pPr>
              <w:pStyle w:val="14"/>
              <w:bidi w:val="0"/>
            </w:pPr>
            <w:r>
              <w:rPr>
                <w:rFonts w:hint="default"/>
                <w:lang w:val="en-US" w:eastAsia="zh-CN"/>
              </w:rPr>
              <w:t>②火灾、爆炸等引发的次生环境事件：日常运行管理不善，加油漏油时遇明火、电气设备或线路老化、短路产生电火花等情况可能会引发火灾、爆炸事故，发生火灾、爆炸事故时，燃烧产生的烟尘、CO、SO</w:t>
            </w:r>
            <w:r>
              <w:rPr>
                <w:rFonts w:hint="default"/>
                <w:vertAlign w:val="subscript"/>
                <w:lang w:val="en-US" w:eastAsia="zh-CN"/>
              </w:rPr>
              <w:t>2</w:t>
            </w:r>
            <w:r>
              <w:rPr>
                <w:rFonts w:hint="default"/>
                <w:lang w:val="en-US" w:eastAsia="zh-CN"/>
              </w:rPr>
              <w:t>和 NO</w:t>
            </w:r>
            <w:r>
              <w:rPr>
                <w:rFonts w:hint="default"/>
                <w:vertAlign w:val="subscript"/>
                <w:lang w:val="en-US" w:eastAsia="zh-CN"/>
              </w:rPr>
              <w:t>2</w:t>
            </w:r>
            <w:r>
              <w:rPr>
                <w:rFonts w:hint="default"/>
                <w:lang w:val="en-US" w:eastAsia="zh-CN"/>
              </w:rPr>
              <w:t>等污染物通过大气扩散影响周围居民，灭火产生的消防废水如未及时收集处理，进入雨水管网会影响周边地表水</w:t>
            </w:r>
            <w:r>
              <w:t>。</w:t>
            </w:r>
          </w:p>
          <w:p>
            <w:pPr>
              <w:pStyle w:val="14"/>
              <w:bidi w:val="0"/>
            </w:pPr>
            <w:r>
              <w:rPr>
                <w:rFonts w:hint="eastAsia"/>
                <w:lang w:val="en-US" w:eastAsia="zh-CN"/>
              </w:rPr>
              <w:t>7.3</w:t>
            </w:r>
            <w:r>
              <w:rPr>
                <w:rFonts w:hint="default" w:ascii="Times New Roman" w:hAnsi="Times New Roman" w:eastAsia="宋体" w:cs="Times New Roman"/>
                <w:i w:val="0"/>
                <w:iCs w:val="0"/>
                <w:sz w:val="24"/>
                <w:szCs w:val="24"/>
                <w:u w:val="none" w:color="auto"/>
                <w:lang w:val="en-US" w:eastAsia="zh-CN"/>
              </w:rPr>
              <w:t>环境风险防范措施及应急要求</w:t>
            </w:r>
          </w:p>
          <w:p>
            <w:pPr>
              <w:pStyle w:val="14"/>
              <w:bidi w:val="0"/>
              <w:rPr>
                <w:rFonts w:hint="default"/>
                <w:lang w:val="en-US" w:eastAsia="zh-CN"/>
              </w:rPr>
            </w:pPr>
            <w:r>
              <w:rPr>
                <w:rFonts w:hint="default"/>
                <w:lang w:val="en-US" w:eastAsia="zh-CN"/>
              </w:rPr>
              <w:t>1）落实相关设计规范文件建设要求</w:t>
            </w:r>
          </w:p>
          <w:p>
            <w:pPr>
              <w:pStyle w:val="14"/>
              <w:bidi w:val="0"/>
              <w:rPr>
                <w:rFonts w:hint="default"/>
                <w:lang w:val="en-US" w:eastAsia="zh-CN"/>
              </w:rPr>
            </w:pPr>
            <w:r>
              <w:rPr>
                <w:rFonts w:hint="default"/>
                <w:lang w:val="en-US" w:eastAsia="zh-CN"/>
              </w:rPr>
              <w:t>①严格按照《汽车加油加气加氢站技术标准》（GB 50156-2021）相关规定，落实站区总图布置、建筑方面的安全间距和防火距离，落实卸油、加油等设备防静电、防雷击等措施，落实消防设备配备要求；根据《加油站地下水污染防治技术指南》要求，落实安装双层油罐、双层输油管道，站内设置1个地下水监测井，站外设置1个防渗观测井，落实《加油站大气污染物排放标准》（GB20952-2020）中的汽油油气回收系统。</w:t>
            </w:r>
          </w:p>
          <w:p>
            <w:pPr>
              <w:pStyle w:val="14"/>
              <w:bidi w:val="0"/>
              <w:rPr>
                <w:rFonts w:hint="default"/>
                <w:lang w:val="en-US" w:eastAsia="zh-CN"/>
              </w:rPr>
            </w:pPr>
            <w:r>
              <w:rPr>
                <w:rFonts w:hint="default"/>
                <w:lang w:val="en-US" w:eastAsia="zh-CN"/>
              </w:rPr>
              <w:t>②对储罐、阀门等进行定期检测，发现储罐或阀门的设备损坏及时修复或更换。对泄漏到液池内的物料应使用临时抽吸系统尽快收集，减少蒸发量或引起爆炸和着火的机会。</w:t>
            </w:r>
          </w:p>
          <w:p>
            <w:pPr>
              <w:pStyle w:val="14"/>
              <w:bidi w:val="0"/>
              <w:rPr>
                <w:rFonts w:hint="default"/>
                <w:lang w:val="en-US" w:eastAsia="zh-CN"/>
              </w:rPr>
            </w:pPr>
            <w:r>
              <w:rPr>
                <w:rFonts w:hint="default"/>
                <w:lang w:val="en-US" w:eastAsia="zh-CN"/>
              </w:rPr>
              <w:t>③安装油罐自动液位报警和防渗报警系统，及时掌握油罐情况，做好防渗、防漏等污染防治措施，如果发生泄漏能够及时发现，及时采取措施。</w:t>
            </w:r>
          </w:p>
          <w:p>
            <w:pPr>
              <w:pStyle w:val="14"/>
              <w:bidi w:val="0"/>
              <w:rPr>
                <w:rFonts w:hint="default"/>
                <w:lang w:val="en-US" w:eastAsia="zh-CN"/>
              </w:rPr>
            </w:pPr>
            <w:r>
              <w:rPr>
                <w:rFonts w:hint="default"/>
                <w:lang w:val="en-US" w:eastAsia="zh-CN"/>
              </w:rPr>
              <w:t>④建设单位应在厂区地面四周内侧围绕厂界设置环形导水沟，当发生火灾事故产生消防废水时，可有效收集厂区的消防废水并引入隔油沉淀池作进一步处理。</w:t>
            </w:r>
          </w:p>
          <w:p>
            <w:pPr>
              <w:pStyle w:val="14"/>
              <w:bidi w:val="0"/>
              <w:rPr>
                <w:rFonts w:hint="default"/>
                <w:lang w:val="en-US" w:eastAsia="zh-CN"/>
              </w:rPr>
            </w:pPr>
            <w:r>
              <w:rPr>
                <w:rFonts w:hint="default"/>
                <w:lang w:val="en-US" w:eastAsia="zh-CN"/>
              </w:rPr>
              <w:t>⑤备用发电机房储存的发电用柴油采用塑料桶储存，储油桶周围设置围堰，围堰底层采用混凝土防渗</w:t>
            </w:r>
            <w:r>
              <w:rPr>
                <w:rFonts w:hint="eastAsia"/>
                <w:lang w:val="en-US" w:eastAsia="zh-CN"/>
              </w:rPr>
              <w:t>、</w:t>
            </w:r>
          </w:p>
          <w:p>
            <w:pPr>
              <w:pStyle w:val="14"/>
              <w:bidi w:val="0"/>
              <w:rPr>
                <w:rFonts w:hint="default"/>
                <w:lang w:val="en-US" w:eastAsia="zh-CN"/>
              </w:rPr>
            </w:pPr>
            <w:r>
              <w:rPr>
                <w:rFonts w:hint="default"/>
                <w:lang w:val="en-US" w:eastAsia="zh-CN"/>
              </w:rPr>
              <w:t>2）建立环境风险管理制度</w:t>
            </w:r>
          </w:p>
          <w:p>
            <w:pPr>
              <w:pStyle w:val="14"/>
              <w:bidi w:val="0"/>
              <w:rPr>
                <w:rFonts w:hint="default"/>
                <w:lang w:val="en-US" w:eastAsia="zh-CN"/>
              </w:rPr>
            </w:pPr>
            <w:r>
              <w:rPr>
                <w:rFonts w:hint="default"/>
                <w:lang w:val="en-US" w:eastAsia="zh-CN"/>
              </w:rPr>
              <w:t>①设置危险单元设备设施专职管理，保证运转正常，并对站区内危险物质的运输、贮存、销售等情况进行登记形成台账。</w:t>
            </w:r>
          </w:p>
          <w:p>
            <w:pPr>
              <w:pStyle w:val="14"/>
              <w:bidi w:val="0"/>
              <w:rPr>
                <w:rFonts w:hint="default"/>
                <w:lang w:val="en-US" w:eastAsia="zh-CN"/>
              </w:rPr>
            </w:pPr>
            <w:r>
              <w:rPr>
                <w:rFonts w:hint="default"/>
                <w:lang w:val="en-US" w:eastAsia="zh-CN"/>
              </w:rPr>
              <w:t>②加强员工安全生产、环保培训，实行持证上岗证制度，在卸油、加油等作业中严格按照作业程序进行操作，并掌握正确处理应对各种突发风险事件的应急办法、抢救措施。</w:t>
            </w:r>
          </w:p>
          <w:p>
            <w:pPr>
              <w:pStyle w:val="14"/>
              <w:bidi w:val="0"/>
              <w:rPr>
                <w:rFonts w:hint="default"/>
                <w:lang w:val="en-US" w:eastAsia="zh-CN"/>
              </w:rPr>
            </w:pPr>
            <w:r>
              <w:rPr>
                <w:rFonts w:hint="default"/>
                <w:lang w:val="en-US" w:eastAsia="zh-CN"/>
              </w:rPr>
              <w:t>③制定环境风险源巡查制度，定期对各生产设施、储存设施、环保设施等维护保养；对油罐、阀门、管线、计量口等各类设施定期进行检查和不定期抽查，如发现破损及时维修，修理结束后经技术人员检查无误后方可投入使用。</w:t>
            </w:r>
          </w:p>
          <w:p>
            <w:pPr>
              <w:pStyle w:val="14"/>
              <w:bidi w:val="0"/>
              <w:rPr>
                <w:rFonts w:hint="default"/>
                <w:lang w:val="en-US" w:eastAsia="zh-CN"/>
              </w:rPr>
            </w:pPr>
            <w:r>
              <w:rPr>
                <w:rFonts w:hint="default"/>
                <w:lang w:val="en-US" w:eastAsia="zh-CN"/>
              </w:rPr>
              <w:t>④落实污染物监测计划，并按监测计划要求定期实时监测，建立污染物监测数据台账。</w:t>
            </w:r>
          </w:p>
          <w:p>
            <w:pPr>
              <w:pStyle w:val="14"/>
              <w:bidi w:val="0"/>
              <w:rPr>
                <w:rFonts w:hint="default"/>
                <w:lang w:val="en-US" w:eastAsia="zh-CN"/>
              </w:rPr>
            </w:pPr>
            <w:r>
              <w:rPr>
                <w:rFonts w:hint="default"/>
                <w:lang w:val="en-US" w:eastAsia="zh-CN"/>
              </w:rPr>
              <w:t>⑤定期组织进行消防培训及演习。</w:t>
            </w:r>
          </w:p>
          <w:p>
            <w:pPr>
              <w:pStyle w:val="14"/>
              <w:bidi w:val="0"/>
              <w:rPr>
                <w:rFonts w:hint="default"/>
                <w:lang w:val="en-US" w:eastAsia="zh-CN"/>
              </w:rPr>
            </w:pPr>
            <w:r>
              <w:rPr>
                <w:rFonts w:hint="default"/>
                <w:lang w:val="en-US" w:eastAsia="zh-CN"/>
              </w:rPr>
              <w:t>3）完善各类警示标志</w:t>
            </w:r>
          </w:p>
          <w:p>
            <w:pPr>
              <w:pStyle w:val="14"/>
              <w:bidi w:val="0"/>
              <w:rPr>
                <w:rFonts w:hint="default"/>
                <w:lang w:val="en-US" w:eastAsia="zh-CN"/>
              </w:rPr>
            </w:pPr>
            <w:r>
              <w:rPr>
                <w:rFonts w:hint="default"/>
                <w:lang w:val="en-US" w:eastAsia="zh-CN"/>
              </w:rPr>
              <w:t>在站区适当增设禁火、禁烟、禁打手机等安全警示标志，并对褪色警示标志及时更新替换。</w:t>
            </w:r>
          </w:p>
          <w:p>
            <w:pPr>
              <w:pStyle w:val="14"/>
              <w:bidi w:val="0"/>
              <w:rPr>
                <w:rFonts w:hint="default"/>
                <w:lang w:val="en-US" w:eastAsia="zh-CN"/>
              </w:rPr>
            </w:pPr>
            <w:r>
              <w:rPr>
                <w:rFonts w:hint="default"/>
                <w:lang w:val="en-US" w:eastAsia="zh-CN"/>
              </w:rPr>
              <w:t>4）应急措施</w:t>
            </w:r>
          </w:p>
          <w:p>
            <w:pPr>
              <w:pStyle w:val="14"/>
              <w:bidi w:val="0"/>
              <w:rPr>
                <w:rFonts w:hint="default"/>
                <w:lang w:val="en-US" w:eastAsia="zh-CN"/>
              </w:rPr>
            </w:pPr>
            <w:r>
              <w:rPr>
                <w:rFonts w:hint="default"/>
                <w:lang w:val="en-US" w:eastAsia="zh-CN"/>
              </w:rPr>
              <w:t>①加油站内按照要求配备消防设施和应急处置措施，并配置适量防毒面罩、防护服等个人防护用品，以及急救药箱。</w:t>
            </w:r>
          </w:p>
          <w:p>
            <w:pPr>
              <w:pStyle w:val="14"/>
              <w:bidi w:val="0"/>
              <w:rPr>
                <w:rFonts w:hint="default"/>
                <w:lang w:val="en-US" w:eastAsia="zh-CN"/>
              </w:rPr>
            </w:pPr>
            <w:r>
              <w:rPr>
                <w:rFonts w:hint="default"/>
                <w:lang w:val="en-US" w:eastAsia="zh-CN"/>
              </w:rPr>
              <w:t>②加油站正式投产前应编制突发环境事件应急预案并在生态环境部门备案，定期开展应急培训和演练。一旦发生环境风险事故，如人工观测/常规监测或报警系统显示有油品泄漏，或发生油品火灾爆炸事故，加油站应急组织机构迅速启动应急预案，根据事故严重程度启动相应级别的应急预案，并采取适当的应急处理处置措施和救援措施。</w:t>
            </w:r>
          </w:p>
          <w:p>
            <w:pPr>
              <w:pStyle w:val="14"/>
              <w:bidi w:val="0"/>
            </w:pPr>
            <w:r>
              <w:rPr>
                <w:rFonts w:hint="default" w:ascii="Times New Roman" w:hAnsi="Times New Roman" w:eastAsia="宋体" w:cs="Times New Roman"/>
                <w:i w:val="0"/>
                <w:iCs w:val="0"/>
                <w:sz w:val="24"/>
                <w:szCs w:val="24"/>
                <w:u w:val="none" w:color="auto"/>
                <w:lang w:val="en-US" w:eastAsia="zh-CN"/>
              </w:rPr>
              <w:t>综上可知，本项目环境风险评价工作等级为简单分析</w:t>
            </w:r>
            <w:r>
              <w:t>。</w:t>
            </w:r>
          </w:p>
          <w:p>
            <w:pPr>
              <w:pStyle w:val="36"/>
              <w:bidi w:val="0"/>
              <w:rPr>
                <w:rFonts w:hint="default"/>
                <w:lang w:val="en-US" w:eastAsia="zh-CN"/>
              </w:rPr>
            </w:pPr>
            <w:r>
              <w:rPr>
                <w:rFonts w:hint="default"/>
              </w:rPr>
              <w:t>表</w:t>
            </w:r>
            <w:r>
              <w:rPr>
                <w:rFonts w:hint="eastAsia"/>
                <w:lang w:val="en-US" w:eastAsia="zh-CN"/>
              </w:rPr>
              <w:t>4.2</w:t>
            </w:r>
            <w:r>
              <w:rPr>
                <w:rFonts w:hint="default"/>
                <w:lang w:val="en-US" w:eastAsia="zh-CN"/>
              </w:rPr>
              <w:t>-</w:t>
            </w:r>
            <w:r>
              <w:rPr>
                <w:rFonts w:hint="eastAsia"/>
                <w:lang w:val="en-US" w:eastAsia="zh-CN"/>
              </w:rPr>
              <w:t>24</w:t>
            </w:r>
            <w:r>
              <w:rPr>
                <w:rFonts w:hint="default"/>
                <w:lang w:val="en-US" w:eastAsia="zh-CN"/>
              </w:rPr>
              <w:t>建设项目环境风险分析表</w:t>
            </w:r>
          </w:p>
          <w:tbl>
            <w:tblPr>
              <w:tblStyle w:val="31"/>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2011"/>
              <w:gridCol w:w="1258"/>
              <w:gridCol w:w="1286"/>
              <w:gridCol w:w="723"/>
              <w:gridCol w:w="911"/>
              <w:gridCol w:w="17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275" w:type="pct"/>
                  <w:noWrap w:val="0"/>
                  <w:vAlign w:val="center"/>
                </w:tcPr>
                <w:p>
                  <w:pPr>
                    <w:pStyle w:val="35"/>
                    <w:bidi w:val="0"/>
                    <w:rPr>
                      <w:rFonts w:hint="eastAsia"/>
                    </w:rPr>
                  </w:pPr>
                  <w:r>
                    <w:rPr>
                      <w:rFonts w:hint="eastAsia"/>
                    </w:rPr>
                    <w:t>建设项目名称</w:t>
                  </w:r>
                </w:p>
              </w:tc>
              <w:tc>
                <w:tcPr>
                  <w:tcW w:w="3724" w:type="pct"/>
                  <w:gridSpan w:val="5"/>
                  <w:noWrap w:val="0"/>
                  <w:vAlign w:val="center"/>
                </w:tcPr>
                <w:p>
                  <w:pPr>
                    <w:pStyle w:val="35"/>
                    <w:bidi w:val="0"/>
                    <w:rPr>
                      <w:rFonts w:hint="eastAsia"/>
                      <w:lang w:eastAsia="zh-CN"/>
                    </w:rPr>
                  </w:pPr>
                  <w:r>
                    <w:rPr>
                      <w:rFonts w:hint="eastAsia"/>
                      <w:lang w:eastAsia="zh-CN"/>
                    </w:rPr>
                    <w:t>衡阳汐甄新能源有限公司南山加油站建设项目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275" w:type="pct"/>
                  <w:noWrap w:val="0"/>
                  <w:vAlign w:val="center"/>
                </w:tcPr>
                <w:p>
                  <w:pPr>
                    <w:pStyle w:val="35"/>
                    <w:bidi w:val="0"/>
                    <w:rPr>
                      <w:rFonts w:hint="eastAsia"/>
                    </w:rPr>
                  </w:pPr>
                  <w:r>
                    <w:rPr>
                      <w:rFonts w:hint="eastAsia"/>
                    </w:rPr>
                    <w:t>建设地点</w:t>
                  </w:r>
                </w:p>
              </w:tc>
              <w:tc>
                <w:tcPr>
                  <w:tcW w:w="797" w:type="pct"/>
                  <w:noWrap w:val="0"/>
                  <w:vAlign w:val="center"/>
                </w:tcPr>
                <w:p>
                  <w:pPr>
                    <w:pStyle w:val="35"/>
                    <w:bidi w:val="0"/>
                    <w:rPr>
                      <w:rFonts w:hint="eastAsia"/>
                    </w:rPr>
                  </w:pPr>
                  <w:r>
                    <w:rPr>
                      <w:rFonts w:hint="eastAsia"/>
                    </w:rPr>
                    <w:t>湖南省</w:t>
                  </w:r>
                </w:p>
              </w:tc>
              <w:tc>
                <w:tcPr>
                  <w:tcW w:w="815" w:type="pct"/>
                  <w:noWrap w:val="0"/>
                  <w:vAlign w:val="center"/>
                </w:tcPr>
                <w:p>
                  <w:pPr>
                    <w:pStyle w:val="35"/>
                    <w:bidi w:val="0"/>
                    <w:rPr>
                      <w:rFonts w:hint="eastAsia"/>
                    </w:rPr>
                  </w:pPr>
                  <w:r>
                    <w:rPr>
                      <w:rFonts w:hint="eastAsia"/>
                      <w:lang w:eastAsia="zh-CN"/>
                    </w:rPr>
                    <w:t>衡阳市</w:t>
                  </w:r>
                </w:p>
              </w:tc>
              <w:tc>
                <w:tcPr>
                  <w:tcW w:w="2111" w:type="pct"/>
                  <w:gridSpan w:val="3"/>
                  <w:noWrap w:val="0"/>
                  <w:vAlign w:val="center"/>
                </w:tcPr>
                <w:p>
                  <w:pPr>
                    <w:pStyle w:val="35"/>
                    <w:bidi w:val="0"/>
                  </w:pPr>
                  <w:r>
                    <w:rPr>
                      <w:rFonts w:hint="eastAsia"/>
                      <w:lang w:eastAsia="zh-CN"/>
                    </w:rPr>
                    <w:t>祁东县永昌街道南山大道南侧(南山大道与永湘路交叉口东南角)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275" w:type="pct"/>
                  <w:noWrap w:val="0"/>
                  <w:vAlign w:val="center"/>
                </w:tcPr>
                <w:p>
                  <w:pPr>
                    <w:pStyle w:val="35"/>
                    <w:bidi w:val="0"/>
                    <w:rPr>
                      <w:rFonts w:hint="eastAsia"/>
                    </w:rPr>
                  </w:pPr>
                  <w:r>
                    <w:rPr>
                      <w:rFonts w:hint="eastAsia"/>
                    </w:rPr>
                    <w:t>地理坐标</w:t>
                  </w:r>
                </w:p>
              </w:tc>
              <w:tc>
                <w:tcPr>
                  <w:tcW w:w="797" w:type="pct"/>
                  <w:noWrap w:val="0"/>
                  <w:vAlign w:val="center"/>
                </w:tcPr>
                <w:p>
                  <w:pPr>
                    <w:pStyle w:val="35"/>
                    <w:bidi w:val="0"/>
                    <w:rPr>
                      <w:rFonts w:hint="eastAsia"/>
                    </w:rPr>
                  </w:pPr>
                  <w:r>
                    <w:rPr>
                      <w:rFonts w:hint="eastAsia"/>
                    </w:rPr>
                    <w:t>经度</w:t>
                  </w:r>
                </w:p>
              </w:tc>
              <w:tc>
                <w:tcPr>
                  <w:tcW w:w="1273" w:type="pct"/>
                  <w:gridSpan w:val="2"/>
                  <w:noWrap w:val="0"/>
                  <w:vAlign w:val="center"/>
                </w:tcPr>
                <w:p>
                  <w:pPr>
                    <w:pStyle w:val="35"/>
                    <w:bidi w:val="0"/>
                  </w:pPr>
                  <w:r>
                    <w:rPr>
                      <w:rFonts w:hint="default"/>
                      <w:lang w:eastAsia="zh-CN"/>
                    </w:rPr>
                    <w:t>11</w:t>
                  </w:r>
                  <w:r>
                    <w:rPr>
                      <w:rFonts w:hint="eastAsia"/>
                      <w:lang w:val="en-US" w:eastAsia="zh-CN"/>
                    </w:rPr>
                    <w:t>2</w:t>
                  </w:r>
                  <w:r>
                    <w:rPr>
                      <w:rFonts w:hint="default"/>
                      <w:lang w:eastAsia="zh-CN"/>
                    </w:rPr>
                    <w:t>°</w:t>
                  </w:r>
                  <w:r>
                    <w:rPr>
                      <w:rFonts w:hint="eastAsia"/>
                      <w:lang w:val="en-US" w:eastAsia="zh-CN"/>
                    </w:rPr>
                    <w:t>05</w:t>
                  </w:r>
                  <w:r>
                    <w:rPr>
                      <w:rFonts w:hint="default"/>
                      <w:lang w:eastAsia="zh-CN"/>
                    </w:rPr>
                    <w:t>′</w:t>
                  </w:r>
                  <w:r>
                    <w:rPr>
                      <w:rFonts w:hint="eastAsia"/>
                      <w:lang w:val="en-US" w:eastAsia="zh-CN"/>
                    </w:rPr>
                    <w:t>28.716</w:t>
                  </w:r>
                  <w:r>
                    <w:rPr>
                      <w:rFonts w:hint="default"/>
                      <w:lang w:eastAsia="zh-CN"/>
                    </w:rPr>
                    <w:t>″</w:t>
                  </w:r>
                </w:p>
              </w:tc>
              <w:tc>
                <w:tcPr>
                  <w:tcW w:w="577" w:type="pct"/>
                  <w:noWrap w:val="0"/>
                  <w:vAlign w:val="center"/>
                </w:tcPr>
                <w:p>
                  <w:pPr>
                    <w:pStyle w:val="35"/>
                    <w:bidi w:val="0"/>
                    <w:rPr>
                      <w:rFonts w:hint="eastAsia"/>
                    </w:rPr>
                  </w:pPr>
                  <w:r>
                    <w:rPr>
                      <w:rFonts w:hint="eastAsia"/>
                    </w:rPr>
                    <w:t>纬度</w:t>
                  </w:r>
                </w:p>
              </w:tc>
              <w:tc>
                <w:tcPr>
                  <w:tcW w:w="1076" w:type="pct"/>
                  <w:noWrap w:val="0"/>
                  <w:vAlign w:val="center"/>
                </w:tcPr>
                <w:p>
                  <w:pPr>
                    <w:pStyle w:val="35"/>
                    <w:bidi w:val="0"/>
                  </w:pPr>
                  <w:r>
                    <w:rPr>
                      <w:rFonts w:hint="default"/>
                      <w:lang w:eastAsia="zh-CN"/>
                    </w:rPr>
                    <w:t>2</w:t>
                  </w:r>
                  <w:r>
                    <w:rPr>
                      <w:rFonts w:hint="eastAsia"/>
                      <w:lang w:val="en-US" w:eastAsia="zh-CN"/>
                    </w:rPr>
                    <w:t>6</w:t>
                  </w:r>
                  <w:r>
                    <w:rPr>
                      <w:rFonts w:hint="default"/>
                      <w:lang w:eastAsia="zh-CN"/>
                    </w:rPr>
                    <w:t>°</w:t>
                  </w:r>
                  <w:r>
                    <w:rPr>
                      <w:rFonts w:hint="eastAsia"/>
                      <w:lang w:val="en-US" w:eastAsia="zh-CN"/>
                    </w:rPr>
                    <w:t>47</w:t>
                  </w:r>
                  <w:r>
                    <w:rPr>
                      <w:rFonts w:hint="default"/>
                      <w:lang w:eastAsia="zh-CN"/>
                    </w:rPr>
                    <w:t>′</w:t>
                  </w:r>
                  <w:r>
                    <w:rPr>
                      <w:rFonts w:hint="eastAsia"/>
                      <w:lang w:val="en-US" w:eastAsia="zh-CN"/>
                    </w:rPr>
                    <w:t>7.541</w:t>
                  </w:r>
                  <w:r>
                    <w:rPr>
                      <w:rFonts w:hint="default"/>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275" w:type="pct"/>
                  <w:noWrap w:val="0"/>
                  <w:vAlign w:val="center"/>
                </w:tcPr>
                <w:p>
                  <w:pPr>
                    <w:pStyle w:val="35"/>
                    <w:bidi w:val="0"/>
                    <w:rPr>
                      <w:rFonts w:hint="eastAsia"/>
                    </w:rPr>
                  </w:pPr>
                  <w:r>
                    <w:rPr>
                      <w:rFonts w:hint="eastAsia"/>
                    </w:rPr>
                    <w:t>主要危险物质及分布</w:t>
                  </w:r>
                </w:p>
              </w:tc>
              <w:tc>
                <w:tcPr>
                  <w:tcW w:w="3724" w:type="pct"/>
                  <w:gridSpan w:val="5"/>
                  <w:noWrap w:val="0"/>
                  <w:vAlign w:val="center"/>
                </w:tcPr>
                <w:p>
                  <w:pPr>
                    <w:pStyle w:val="35"/>
                    <w:bidi w:val="0"/>
                    <w:rPr>
                      <w:rFonts w:hint="eastAsia"/>
                    </w:rPr>
                  </w:pPr>
                  <w:r>
                    <w:rPr>
                      <w:rFonts w:hint="default"/>
                      <w:lang w:val="en-US" w:eastAsia="zh-CN"/>
                    </w:rPr>
                    <w:t>本项目汽油属于易爆物品，属危险物质。主要存在于地下油罐内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275" w:type="pct"/>
                  <w:noWrap w:val="0"/>
                  <w:vAlign w:val="center"/>
                </w:tcPr>
                <w:p>
                  <w:pPr>
                    <w:pStyle w:val="35"/>
                    <w:bidi w:val="0"/>
                    <w:rPr>
                      <w:rFonts w:hint="eastAsia"/>
                    </w:rPr>
                  </w:pPr>
                  <w:r>
                    <w:rPr>
                      <w:rFonts w:hint="eastAsia"/>
                    </w:rPr>
                    <w:t>环境影响途径及危害后果</w:t>
                  </w:r>
                </w:p>
              </w:tc>
              <w:tc>
                <w:tcPr>
                  <w:tcW w:w="3724" w:type="pct"/>
                  <w:gridSpan w:val="5"/>
                  <w:noWrap w:val="0"/>
                  <w:vAlign w:val="center"/>
                </w:tcPr>
                <w:p>
                  <w:pPr>
                    <w:pStyle w:val="35"/>
                    <w:bidi w:val="0"/>
                    <w:rPr>
                      <w:rFonts w:hint="default"/>
                      <w:lang w:eastAsia="zh-CN"/>
                    </w:rPr>
                  </w:pPr>
                  <w:r>
                    <w:rPr>
                      <w:rFonts w:hint="default"/>
                    </w:rPr>
                    <w:t>项目营运期可能出现的环境风险事故为：火灾与爆炸、溢出与泄漏两大类</w:t>
                  </w:r>
                  <w:r>
                    <w:rPr>
                      <w:rFonts w:hint="default"/>
                      <w:lang w:eastAsia="zh-CN"/>
                    </w:rPr>
                    <w:t>。</w:t>
                  </w:r>
                </w:p>
                <w:p>
                  <w:pPr>
                    <w:pStyle w:val="35"/>
                    <w:bidi w:val="0"/>
                    <w:rPr>
                      <w:rFonts w:hint="eastAsia"/>
                      <w:lang w:eastAsia="zh-CN"/>
                    </w:rPr>
                  </w:pPr>
                  <w:r>
                    <w:rPr>
                      <w:rFonts w:hint="default"/>
                      <w:lang w:val="en-US" w:eastAsia="zh-CN"/>
                    </w:rPr>
                    <w:t>火灾爆炸产生的废气会污染大气环境，损坏周边建筑结构，并可能造成人员伤亡。油品泄漏将会污染地表水、地下水土壤，导至树木死亡，还会产生严重异味，并具有较强的致畸致癌性，严重影响人体健康</w:t>
                  </w:r>
                  <w:r>
                    <w:rPr>
                      <w:rFonts w:hint="eastAsia"/>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275" w:type="pct"/>
                  <w:noWrap w:val="0"/>
                  <w:vAlign w:val="center"/>
                </w:tcPr>
                <w:p>
                  <w:pPr>
                    <w:pStyle w:val="35"/>
                    <w:bidi w:val="0"/>
                    <w:rPr>
                      <w:rFonts w:hint="eastAsia"/>
                    </w:rPr>
                  </w:pPr>
                  <w:r>
                    <w:rPr>
                      <w:rFonts w:hint="eastAsia"/>
                    </w:rPr>
                    <w:t>风险防范措施及要求</w:t>
                  </w:r>
                </w:p>
              </w:tc>
              <w:tc>
                <w:tcPr>
                  <w:tcW w:w="3724" w:type="pct"/>
                  <w:gridSpan w:val="5"/>
                  <w:noWrap w:val="0"/>
                  <w:vAlign w:val="center"/>
                </w:tcPr>
                <w:p>
                  <w:pPr>
                    <w:pStyle w:val="35"/>
                    <w:bidi w:val="0"/>
                    <w:rPr>
                      <w:rFonts w:hint="eastAsia"/>
                    </w:rPr>
                  </w:pPr>
                  <w:r>
                    <w:rPr>
                      <w:rFonts w:hint="default"/>
                    </w:rPr>
                    <w:t>本项目为防止事故的发生，严格按照</w:t>
                  </w:r>
                  <w:r>
                    <w:rPr>
                      <w:rFonts w:hint="eastAsia"/>
                      <w:lang w:eastAsia="zh-CN"/>
                    </w:rPr>
                    <w:t>《汽车加油加气加氢站技术标准》GB 50156-2021 ）</w:t>
                  </w:r>
                  <w:r>
                    <w:rPr>
                      <w:rFonts w:hint="default"/>
                    </w:rPr>
                    <w:t>进行了设计与施工，采取了</w:t>
                  </w:r>
                  <w:r>
                    <w:rPr>
                      <w:rFonts w:hint="eastAsia"/>
                      <w:lang w:val="en-US" w:eastAsia="zh-CN"/>
                    </w:rPr>
                    <w:t>相关风险防范</w:t>
                  </w:r>
                  <w:r>
                    <w:rPr>
                      <w:rFonts w:hint="default"/>
                    </w:rPr>
                    <w:t>措施</w:t>
                  </w:r>
                  <w:r>
                    <w:rPr>
                      <w:rFonts w:hint="default"/>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5000" w:type="pct"/>
                  <w:gridSpan w:val="6"/>
                  <w:noWrap w:val="0"/>
                  <w:vAlign w:val="center"/>
                </w:tcPr>
                <w:p>
                  <w:pPr>
                    <w:pStyle w:val="35"/>
                    <w:bidi w:val="0"/>
                    <w:jc w:val="left"/>
                    <w:rPr>
                      <w:rFonts w:hint="eastAsia"/>
                    </w:rPr>
                  </w:pPr>
                  <w:r>
                    <w:rPr>
                      <w:rFonts w:hint="eastAsia"/>
                    </w:rPr>
                    <w:t>填表说明（列出项目相关信息及评价说明）：</w:t>
                  </w:r>
                </w:p>
                <w:p>
                  <w:pPr>
                    <w:pStyle w:val="35"/>
                    <w:bidi w:val="0"/>
                    <w:jc w:val="left"/>
                    <w:rPr>
                      <w:rFonts w:hint="eastAsia"/>
                    </w:rPr>
                  </w:pPr>
                  <w:r>
                    <w:rPr>
                      <w:rFonts w:hint="eastAsia"/>
                    </w:rPr>
                    <w:t>①风险物质识别：依据《危险化学品名录》（</w:t>
                  </w:r>
                  <w:r>
                    <w:t>2018</w:t>
                  </w:r>
                  <w:r>
                    <w:rPr>
                      <w:rFonts w:hint="eastAsia"/>
                    </w:rPr>
                    <w:t>版）、《建设项目环境风险评价技术导则》（</w:t>
                  </w:r>
                  <w:r>
                    <w:t>HJ 169-2018</w:t>
                  </w:r>
                  <w:r>
                    <w:rPr>
                      <w:rFonts w:hint="eastAsia"/>
                    </w:rPr>
                    <w:t>）附录</w:t>
                  </w:r>
                  <w:r>
                    <w:t>B.1</w:t>
                  </w:r>
                  <w:r>
                    <w:rPr>
                      <w:rFonts w:hint="eastAsia"/>
                    </w:rPr>
                    <w:t xml:space="preserve">中表 </w:t>
                  </w:r>
                  <w:r>
                    <w:t>1“</w:t>
                  </w:r>
                  <w:r>
                    <w:rPr>
                      <w:rFonts w:hint="eastAsia"/>
                    </w:rPr>
                    <w:t>物质危险性标准</w:t>
                  </w:r>
                  <w:r>
                    <w:t>”</w:t>
                  </w:r>
                  <w:r>
                    <w:rPr>
                      <w:rFonts w:hint="eastAsia"/>
                    </w:rPr>
                    <w:t>、《企业突发环境事件风险分级方法》（</w:t>
                  </w:r>
                  <w:r>
                    <w:t>HJ 941-2018</w:t>
                  </w:r>
                  <w:r>
                    <w:rPr>
                      <w:rFonts w:hint="eastAsia"/>
                    </w:rPr>
                    <w:t xml:space="preserve">） 附录 </w:t>
                  </w:r>
                  <w:r>
                    <w:t xml:space="preserve">A </w:t>
                  </w:r>
                  <w:r>
                    <w:rPr>
                      <w:rFonts w:hint="eastAsia"/>
                    </w:rPr>
                    <w:t>中</w:t>
                  </w:r>
                  <w:r>
                    <w:t>“</w:t>
                  </w:r>
                  <w:r>
                    <w:rPr>
                      <w:rFonts w:hint="eastAsia"/>
                    </w:rPr>
                    <w:t>化学物质及临界量清单</w:t>
                  </w:r>
                  <w:r>
                    <w:t>”</w:t>
                  </w:r>
                  <w:r>
                    <w:rPr>
                      <w:rFonts w:hint="eastAsia"/>
                    </w:rPr>
                    <w:t>和《危险化学品重大危险源辨识》（</w:t>
                  </w:r>
                  <w:r>
                    <w:t>GB 18218-2018</w:t>
                  </w:r>
                  <w:r>
                    <w:rPr>
                      <w:rFonts w:hint="eastAsia"/>
                    </w:rPr>
                    <w:t>）；</w:t>
                  </w:r>
                </w:p>
                <w:p>
                  <w:pPr>
                    <w:pStyle w:val="35"/>
                    <w:bidi w:val="0"/>
                    <w:jc w:val="left"/>
                    <w:rPr>
                      <w:rFonts w:hint="eastAsia"/>
                    </w:rPr>
                  </w:pPr>
                  <w:r>
                    <w:rPr>
                      <w:rFonts w:hint="eastAsia"/>
                    </w:rPr>
                    <w:t>②</w:t>
                  </w:r>
                  <w:r>
                    <w:t xml:space="preserve">Q </w:t>
                  </w:r>
                  <w:r>
                    <w:rPr>
                      <w:rFonts w:hint="eastAsia"/>
                    </w:rPr>
                    <w:t xml:space="preserve">值：项目 </w:t>
                  </w:r>
                  <w:r>
                    <w:t>Q</w:t>
                  </w:r>
                  <w:r>
                    <w:rPr>
                      <w:rFonts w:hint="eastAsia"/>
                    </w:rPr>
                    <w:t>＜</w:t>
                  </w:r>
                  <w:r>
                    <w:t>1</w:t>
                  </w:r>
                  <w:r>
                    <w:rPr>
                      <w:rFonts w:hint="eastAsia"/>
                    </w:rPr>
                    <w:t>。根据《建设项目环境风险评价技术导则》（</w:t>
                  </w:r>
                  <w:r>
                    <w:t>HJ 169-2018</w:t>
                  </w:r>
                  <w:r>
                    <w:rPr>
                      <w:rFonts w:hint="eastAsia"/>
                    </w:rPr>
                    <w:t xml:space="preserve">）附录 </w:t>
                  </w:r>
                  <w:r>
                    <w:t xml:space="preserve">C.1.1 </w:t>
                  </w:r>
                  <w:r>
                    <w:rPr>
                      <w:rFonts w:hint="eastAsia"/>
                    </w:rPr>
                    <w:t xml:space="preserve">中规定， 当 </w:t>
                  </w:r>
                  <w:r>
                    <w:t>Q</w:t>
                  </w:r>
                  <w:r>
                    <w:rPr>
                      <w:rFonts w:hint="eastAsia"/>
                    </w:rPr>
                    <w:t>＜</w:t>
                  </w:r>
                  <w:r>
                    <w:t xml:space="preserve">1 </w:t>
                  </w:r>
                  <w:r>
                    <w:rPr>
                      <w:rFonts w:hint="eastAsia"/>
                    </w:rPr>
                    <w:t>时，该项目环境风险潜势为Ⅰ。</w:t>
                  </w:r>
                </w:p>
              </w:tc>
            </w:tr>
          </w:tbl>
          <w:p>
            <w:pPr>
              <w:pStyle w:val="14"/>
              <w:bidi w:val="0"/>
              <w:rPr>
                <w:rFonts w:hint="eastAsia"/>
                <w:lang w:val="en-US" w:eastAsia="zh-CN"/>
              </w:rPr>
            </w:pPr>
            <w:r>
              <w:rPr>
                <w:rFonts w:hint="default"/>
                <w:lang w:val="en-US" w:eastAsia="zh-CN"/>
              </w:rPr>
              <w:t>8、电磁辐射</w:t>
            </w:r>
          </w:p>
          <w:p>
            <w:pPr>
              <w:pStyle w:val="14"/>
              <w:bidi w:val="0"/>
              <w:rPr>
                <w:rFonts w:hint="eastAsia" w:ascii="宋体" w:hAnsi="宋体" w:eastAsia="宋体" w:cs="宋体"/>
                <w:bCs/>
                <w:spacing w:val="-10"/>
                <w:szCs w:val="21"/>
                <w:lang w:val="en-US" w:eastAsia="zh-CN"/>
              </w:rPr>
            </w:pPr>
            <w:r>
              <w:rPr>
                <w:rFonts w:hint="eastAsia"/>
                <w:lang w:val="en-US" w:eastAsia="zh-CN"/>
              </w:rPr>
              <w:t xml:space="preserve">      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06" w:hRule="atLeast"/>
          <w:jc w:val="center"/>
        </w:trPr>
        <w:tc>
          <w:tcPr>
            <w:tcW w:w="191" w:type="pct"/>
            <w:noWrap w:val="0"/>
            <w:tcMar>
              <w:left w:w="28" w:type="dxa"/>
              <w:right w:w="28" w:type="dxa"/>
            </w:tcMar>
            <w:vAlign w:val="center"/>
          </w:tcPr>
          <w:p>
            <w:pPr>
              <w:adjustRightInd w:val="0"/>
              <w:snapToGrid w:val="0"/>
              <w:jc w:val="center"/>
              <w:rPr>
                <w:rFonts w:hint="eastAsia" w:ascii="宋体" w:hAnsi="宋体" w:eastAsia="宋体" w:cs="宋体"/>
                <w:bCs/>
                <w:sz w:val="24"/>
                <w:szCs w:val="24"/>
                <w:lang w:eastAsia="zh-CN"/>
              </w:rPr>
            </w:pPr>
            <w:r>
              <w:rPr>
                <w:rFonts w:hint="eastAsia" w:ascii="宋体" w:hAnsi="宋体" w:cs="宋体"/>
                <w:bCs/>
                <w:sz w:val="24"/>
                <w:szCs w:val="24"/>
                <w:lang w:eastAsia="zh-CN"/>
              </w:rPr>
              <w:t>其他</w:t>
            </w:r>
          </w:p>
        </w:tc>
        <w:tc>
          <w:tcPr>
            <w:tcW w:w="4808" w:type="pct"/>
            <w:noWrap w:val="0"/>
            <w:vAlign w:val="center"/>
          </w:tcPr>
          <w:p>
            <w:pPr>
              <w:pStyle w:val="14"/>
              <w:bidi w:val="0"/>
              <w:ind w:left="0" w:leftChars="0" w:firstLine="0" w:firstLineChars="0"/>
            </w:pPr>
            <w:r>
              <w:rPr>
                <w:rFonts w:hint="eastAsia"/>
                <w:lang w:val="en-US" w:eastAsia="zh-CN"/>
              </w:rPr>
              <w:t>1、</w:t>
            </w:r>
            <w:r>
              <w:t>环保投资</w:t>
            </w:r>
          </w:p>
          <w:p>
            <w:pPr>
              <w:pStyle w:val="14"/>
              <w:bidi w:val="0"/>
            </w:pPr>
            <w:r>
              <w:t>本工程总投资</w:t>
            </w:r>
            <w:r>
              <w:rPr>
                <w:rFonts w:hint="eastAsia"/>
                <w:lang w:val="en-US" w:eastAsia="zh-CN"/>
              </w:rPr>
              <w:t>3000</w:t>
            </w:r>
            <w:r>
              <w:t>万元，环保投资</w:t>
            </w:r>
            <w:r>
              <w:rPr>
                <w:rFonts w:hint="eastAsia"/>
                <w:lang w:val="en-US" w:eastAsia="zh-CN"/>
              </w:rPr>
              <w:t>50</w:t>
            </w:r>
            <w:r>
              <w:t>万元，占总投资的</w:t>
            </w:r>
            <w:r>
              <w:rPr>
                <w:rFonts w:hint="eastAsia"/>
                <w:lang w:val="en-US" w:eastAsia="zh-CN"/>
              </w:rPr>
              <w:t>1.67</w:t>
            </w:r>
            <w:r>
              <w:t>%，环保投资算详见</w:t>
            </w:r>
            <w:r>
              <w:rPr>
                <w:rFonts w:hint="eastAsia"/>
                <w:lang w:eastAsia="zh-CN"/>
              </w:rPr>
              <w:t>下</w:t>
            </w:r>
            <w:r>
              <w:t>表。</w:t>
            </w:r>
          </w:p>
          <w:p>
            <w:pPr>
              <w:pStyle w:val="36"/>
              <w:tabs>
                <w:tab w:val="left" w:pos="1021"/>
              </w:tabs>
            </w:pPr>
            <w:r>
              <w:t>表</w:t>
            </w:r>
            <w:r>
              <w:rPr>
                <w:rFonts w:hint="eastAsia"/>
                <w:lang w:val="en-US" w:eastAsia="zh-CN"/>
              </w:rPr>
              <w:t>4.3-1</w:t>
            </w:r>
            <w:r>
              <w:t>项目环保投资一览表</w:t>
            </w:r>
          </w:p>
          <w:tbl>
            <w:tblPr>
              <w:tblStyle w:val="31"/>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936"/>
              <w:gridCol w:w="546"/>
              <w:gridCol w:w="1499"/>
              <w:gridCol w:w="3004"/>
              <w:gridCol w:w="190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3" w:hRule="atLeast"/>
              </w:trPr>
              <w:tc>
                <w:tcPr>
                  <w:tcW w:w="593" w:type="pct"/>
                  <w:vAlign w:val="center"/>
                </w:tcPr>
                <w:p>
                  <w:pPr>
                    <w:pStyle w:val="35"/>
                    <w:tabs>
                      <w:tab w:val="left" w:pos="1021"/>
                    </w:tabs>
                  </w:pPr>
                  <w:r>
                    <w:t>序号</w:t>
                  </w:r>
                </w:p>
              </w:tc>
              <w:tc>
                <w:tcPr>
                  <w:tcW w:w="1296" w:type="pct"/>
                  <w:gridSpan w:val="2"/>
                  <w:vAlign w:val="center"/>
                </w:tcPr>
                <w:p>
                  <w:pPr>
                    <w:pStyle w:val="35"/>
                    <w:tabs>
                      <w:tab w:val="left" w:pos="1021"/>
                    </w:tabs>
                  </w:pPr>
                  <w:r>
                    <w:t>污染类型</w:t>
                  </w:r>
                </w:p>
              </w:tc>
              <w:tc>
                <w:tcPr>
                  <w:tcW w:w="1902" w:type="pct"/>
                  <w:vAlign w:val="center"/>
                </w:tcPr>
                <w:p>
                  <w:pPr>
                    <w:pStyle w:val="35"/>
                    <w:tabs>
                      <w:tab w:val="left" w:pos="1021"/>
                    </w:tabs>
                  </w:pPr>
                  <w:r>
                    <w:t>防治措施</w:t>
                  </w:r>
                </w:p>
              </w:tc>
              <w:tc>
                <w:tcPr>
                  <w:tcW w:w="1207" w:type="pct"/>
                  <w:vAlign w:val="center"/>
                </w:tcPr>
                <w:p>
                  <w:pPr>
                    <w:pStyle w:val="35"/>
                    <w:tabs>
                      <w:tab w:val="left" w:pos="1021"/>
                    </w:tabs>
                  </w:pPr>
                  <w:r>
                    <w:t>预计投资（万元）</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3" w:hRule="atLeast"/>
              </w:trPr>
              <w:tc>
                <w:tcPr>
                  <w:tcW w:w="593" w:type="pct"/>
                  <w:vMerge w:val="restart"/>
                  <w:vAlign w:val="center"/>
                </w:tcPr>
                <w:p>
                  <w:pPr>
                    <w:pStyle w:val="35"/>
                    <w:tabs>
                      <w:tab w:val="left" w:pos="1021"/>
                    </w:tabs>
                  </w:pPr>
                </w:p>
                <w:p>
                  <w:pPr>
                    <w:pStyle w:val="35"/>
                    <w:tabs>
                      <w:tab w:val="left" w:pos="1021"/>
                    </w:tabs>
                  </w:pPr>
                  <w:r>
                    <w:t>施工期</w:t>
                  </w:r>
                </w:p>
              </w:tc>
              <w:tc>
                <w:tcPr>
                  <w:tcW w:w="1296" w:type="pct"/>
                  <w:gridSpan w:val="2"/>
                  <w:vAlign w:val="center"/>
                </w:tcPr>
                <w:p>
                  <w:pPr>
                    <w:pStyle w:val="35"/>
                    <w:tabs>
                      <w:tab w:val="left" w:pos="1021"/>
                    </w:tabs>
                  </w:pPr>
                  <w:r>
                    <w:t>废水</w:t>
                  </w:r>
                </w:p>
              </w:tc>
              <w:tc>
                <w:tcPr>
                  <w:tcW w:w="1902" w:type="pct"/>
                  <w:vAlign w:val="center"/>
                </w:tcPr>
                <w:p>
                  <w:pPr>
                    <w:pStyle w:val="35"/>
                    <w:tabs>
                      <w:tab w:val="left" w:pos="1021"/>
                    </w:tabs>
                  </w:pPr>
                  <w:r>
                    <w:t>临时沉淀池</w:t>
                  </w:r>
                </w:p>
              </w:tc>
              <w:tc>
                <w:tcPr>
                  <w:tcW w:w="1207" w:type="pct"/>
                  <w:vAlign w:val="center"/>
                </w:tcPr>
                <w:p>
                  <w:pPr>
                    <w:pStyle w:val="35"/>
                    <w:tabs>
                      <w:tab w:val="left" w:pos="1021"/>
                    </w:tabs>
                  </w:pPr>
                  <w:r>
                    <w:t>0.5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0" w:hRule="atLeast"/>
              </w:trPr>
              <w:tc>
                <w:tcPr>
                  <w:tcW w:w="593" w:type="pct"/>
                  <w:vMerge w:val="continue"/>
                  <w:tcBorders>
                    <w:top w:val="nil"/>
                  </w:tcBorders>
                  <w:vAlign w:val="center"/>
                </w:tcPr>
                <w:p>
                  <w:pPr>
                    <w:pStyle w:val="35"/>
                    <w:tabs>
                      <w:tab w:val="left" w:pos="1021"/>
                    </w:tabs>
                  </w:pPr>
                </w:p>
              </w:tc>
              <w:tc>
                <w:tcPr>
                  <w:tcW w:w="1296" w:type="pct"/>
                  <w:gridSpan w:val="2"/>
                  <w:vAlign w:val="center"/>
                </w:tcPr>
                <w:p>
                  <w:pPr>
                    <w:pStyle w:val="35"/>
                    <w:tabs>
                      <w:tab w:val="left" w:pos="1021"/>
                    </w:tabs>
                  </w:pPr>
                  <w:r>
                    <w:t>噪声</w:t>
                  </w:r>
                </w:p>
              </w:tc>
              <w:tc>
                <w:tcPr>
                  <w:tcW w:w="1902" w:type="pct"/>
                  <w:vAlign w:val="center"/>
                </w:tcPr>
                <w:p>
                  <w:pPr>
                    <w:pStyle w:val="35"/>
                    <w:tabs>
                      <w:tab w:val="left" w:pos="1021"/>
                    </w:tabs>
                  </w:pPr>
                  <w:r>
                    <w:t>隔声围挡</w:t>
                  </w:r>
                </w:p>
              </w:tc>
              <w:tc>
                <w:tcPr>
                  <w:tcW w:w="1207" w:type="pct"/>
                  <w:vAlign w:val="center"/>
                </w:tcPr>
                <w:p>
                  <w:pPr>
                    <w:pStyle w:val="35"/>
                    <w:tabs>
                      <w:tab w:val="left" w:pos="1021"/>
                    </w:tabs>
                  </w:pPr>
                  <w:r>
                    <w:t>1.5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12" w:hRule="atLeast"/>
              </w:trPr>
              <w:tc>
                <w:tcPr>
                  <w:tcW w:w="593" w:type="pct"/>
                  <w:vMerge w:val="continue"/>
                  <w:tcBorders>
                    <w:top w:val="nil"/>
                  </w:tcBorders>
                  <w:vAlign w:val="center"/>
                </w:tcPr>
                <w:p>
                  <w:pPr>
                    <w:pStyle w:val="35"/>
                    <w:tabs>
                      <w:tab w:val="left" w:pos="1021"/>
                    </w:tabs>
                  </w:pPr>
                </w:p>
              </w:tc>
              <w:tc>
                <w:tcPr>
                  <w:tcW w:w="1296" w:type="pct"/>
                  <w:gridSpan w:val="2"/>
                  <w:tcBorders>
                    <w:bottom w:val="single" w:color="auto" w:sz="4" w:space="0"/>
                  </w:tcBorders>
                  <w:vAlign w:val="center"/>
                </w:tcPr>
                <w:p>
                  <w:pPr>
                    <w:pStyle w:val="35"/>
                    <w:tabs>
                      <w:tab w:val="left" w:pos="1021"/>
                    </w:tabs>
                  </w:pPr>
                  <w:r>
                    <w:t>废气</w:t>
                  </w:r>
                </w:p>
              </w:tc>
              <w:tc>
                <w:tcPr>
                  <w:tcW w:w="1902" w:type="pct"/>
                  <w:tcBorders>
                    <w:bottom w:val="single" w:color="auto" w:sz="4" w:space="0"/>
                  </w:tcBorders>
                  <w:vAlign w:val="center"/>
                </w:tcPr>
                <w:p>
                  <w:pPr>
                    <w:pStyle w:val="35"/>
                    <w:tabs>
                      <w:tab w:val="left" w:pos="1021"/>
                    </w:tabs>
                  </w:pPr>
                  <w:r>
                    <w:t>围挡、洒水除尘</w:t>
                  </w:r>
                </w:p>
              </w:tc>
              <w:tc>
                <w:tcPr>
                  <w:tcW w:w="1207" w:type="pct"/>
                  <w:tcBorders>
                    <w:bottom w:val="single" w:color="auto" w:sz="4" w:space="0"/>
                  </w:tcBorders>
                  <w:vAlign w:val="center"/>
                </w:tcPr>
                <w:p>
                  <w:pPr>
                    <w:pStyle w:val="35"/>
                    <w:tabs>
                      <w:tab w:val="left" w:pos="1021"/>
                    </w:tabs>
                    <w:rPr>
                      <w:rFonts w:hint="eastAsia"/>
                      <w:lang w:eastAsia="zh-CN"/>
                    </w:rPr>
                  </w:pPr>
                  <w:r>
                    <w:rPr>
                      <w:rFonts w:hint="eastAsia"/>
                      <w:lang w:val="en-US" w:eastAsia="zh-CN"/>
                    </w:rPr>
                    <w:t>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0" w:hRule="atLeast"/>
              </w:trPr>
              <w:tc>
                <w:tcPr>
                  <w:tcW w:w="593" w:type="pct"/>
                  <w:vMerge w:val="continue"/>
                  <w:vAlign w:val="center"/>
                </w:tcPr>
                <w:p>
                  <w:pPr>
                    <w:pStyle w:val="35"/>
                    <w:tabs>
                      <w:tab w:val="left" w:pos="1021"/>
                    </w:tabs>
                  </w:pPr>
                </w:p>
              </w:tc>
              <w:tc>
                <w:tcPr>
                  <w:tcW w:w="1296" w:type="pct"/>
                  <w:gridSpan w:val="2"/>
                  <w:tcBorders>
                    <w:top w:val="single" w:color="auto" w:sz="4" w:space="0"/>
                  </w:tcBorders>
                  <w:vAlign w:val="center"/>
                </w:tcPr>
                <w:p>
                  <w:pPr>
                    <w:pStyle w:val="35"/>
                    <w:tabs>
                      <w:tab w:val="left" w:pos="1021"/>
                    </w:tabs>
                  </w:pPr>
                  <w:r>
                    <w:t>固废</w:t>
                  </w:r>
                </w:p>
              </w:tc>
              <w:tc>
                <w:tcPr>
                  <w:tcW w:w="1902" w:type="pct"/>
                  <w:tcBorders>
                    <w:top w:val="single" w:color="auto" w:sz="4" w:space="0"/>
                  </w:tcBorders>
                  <w:vAlign w:val="center"/>
                </w:tcPr>
                <w:p>
                  <w:pPr>
                    <w:pStyle w:val="35"/>
                    <w:tabs>
                      <w:tab w:val="left" w:pos="1021"/>
                    </w:tabs>
                    <w:bidi w:val="0"/>
                  </w:pPr>
                  <w:r>
                    <w:t>建筑垃圾、生活垃圾外运</w:t>
                  </w:r>
                </w:p>
              </w:tc>
              <w:tc>
                <w:tcPr>
                  <w:tcW w:w="1207" w:type="pct"/>
                  <w:tcBorders>
                    <w:top w:val="single" w:color="auto" w:sz="4" w:space="0"/>
                  </w:tcBorders>
                  <w:vAlign w:val="center"/>
                </w:tcPr>
                <w:p>
                  <w:pPr>
                    <w:pStyle w:val="35"/>
                    <w:tabs>
                      <w:tab w:val="left" w:pos="1021"/>
                    </w:tabs>
                    <w:rPr>
                      <w:rFonts w:hint="eastAsia"/>
                      <w:lang w:val="en-US" w:eastAsia="zh-CN"/>
                    </w:rPr>
                  </w:pPr>
                  <w:r>
                    <w:rPr>
                      <w:rFonts w:hint="eastAsia"/>
                      <w:lang w:val="en-US" w:eastAsia="zh-CN"/>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3" w:hRule="atLeast"/>
              </w:trPr>
              <w:tc>
                <w:tcPr>
                  <w:tcW w:w="593" w:type="pct"/>
                  <w:vMerge w:val="restart"/>
                  <w:vAlign w:val="center"/>
                </w:tcPr>
                <w:p>
                  <w:pPr>
                    <w:pStyle w:val="35"/>
                    <w:tabs>
                      <w:tab w:val="left" w:pos="1021"/>
                    </w:tabs>
                  </w:pPr>
                </w:p>
                <w:p>
                  <w:pPr>
                    <w:pStyle w:val="35"/>
                    <w:tabs>
                      <w:tab w:val="left" w:pos="1021"/>
                    </w:tabs>
                  </w:pPr>
                </w:p>
                <w:p>
                  <w:pPr>
                    <w:pStyle w:val="35"/>
                    <w:tabs>
                      <w:tab w:val="left" w:pos="1021"/>
                    </w:tabs>
                  </w:pPr>
                </w:p>
                <w:p>
                  <w:pPr>
                    <w:pStyle w:val="35"/>
                    <w:tabs>
                      <w:tab w:val="left" w:pos="1021"/>
                    </w:tabs>
                  </w:pPr>
                </w:p>
                <w:p>
                  <w:pPr>
                    <w:pStyle w:val="35"/>
                    <w:tabs>
                      <w:tab w:val="left" w:pos="1021"/>
                    </w:tabs>
                  </w:pPr>
                  <w:r>
                    <w:t>营运期</w:t>
                  </w:r>
                </w:p>
              </w:tc>
              <w:tc>
                <w:tcPr>
                  <w:tcW w:w="1296" w:type="pct"/>
                  <w:gridSpan w:val="2"/>
                  <w:vMerge w:val="restart"/>
                  <w:vAlign w:val="center"/>
                </w:tcPr>
                <w:p>
                  <w:pPr>
                    <w:pStyle w:val="35"/>
                    <w:tabs>
                      <w:tab w:val="left" w:pos="1021"/>
                    </w:tabs>
                  </w:pPr>
                  <w:r>
                    <w:t>油品废气</w:t>
                  </w:r>
                </w:p>
                <w:p>
                  <w:pPr>
                    <w:pStyle w:val="35"/>
                    <w:tabs>
                      <w:tab w:val="left" w:pos="1021"/>
                    </w:tabs>
                  </w:pPr>
                  <w:r>
                    <w:t>（非甲烷总烃）</w:t>
                  </w:r>
                </w:p>
              </w:tc>
              <w:tc>
                <w:tcPr>
                  <w:tcW w:w="1902" w:type="pct"/>
                  <w:vAlign w:val="center"/>
                </w:tcPr>
                <w:p>
                  <w:pPr>
                    <w:pStyle w:val="35"/>
                    <w:tabs>
                      <w:tab w:val="left" w:pos="1021"/>
                    </w:tabs>
                  </w:pPr>
                  <w:r>
                    <w:t>加油油气回收系统</w:t>
                  </w:r>
                </w:p>
              </w:tc>
              <w:tc>
                <w:tcPr>
                  <w:tcW w:w="1207" w:type="pct"/>
                  <w:vAlign w:val="center"/>
                </w:tcPr>
                <w:p>
                  <w:pPr>
                    <w:pStyle w:val="35"/>
                    <w:tabs>
                      <w:tab w:val="left" w:pos="1021"/>
                    </w:tabs>
                  </w:pPr>
                  <w:r>
                    <w:t>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3" w:hRule="atLeast"/>
              </w:trPr>
              <w:tc>
                <w:tcPr>
                  <w:tcW w:w="593" w:type="pct"/>
                  <w:vMerge w:val="continue"/>
                  <w:tcBorders>
                    <w:top w:val="nil"/>
                  </w:tcBorders>
                  <w:vAlign w:val="center"/>
                </w:tcPr>
                <w:p>
                  <w:pPr>
                    <w:pStyle w:val="35"/>
                    <w:tabs>
                      <w:tab w:val="left" w:pos="1021"/>
                    </w:tabs>
                  </w:pPr>
                </w:p>
              </w:tc>
              <w:tc>
                <w:tcPr>
                  <w:tcW w:w="1296" w:type="pct"/>
                  <w:gridSpan w:val="2"/>
                  <w:vMerge w:val="continue"/>
                  <w:tcBorders>
                    <w:top w:val="nil"/>
                  </w:tcBorders>
                  <w:vAlign w:val="center"/>
                </w:tcPr>
                <w:p>
                  <w:pPr>
                    <w:pStyle w:val="35"/>
                    <w:tabs>
                      <w:tab w:val="left" w:pos="1021"/>
                    </w:tabs>
                  </w:pPr>
                </w:p>
              </w:tc>
              <w:tc>
                <w:tcPr>
                  <w:tcW w:w="1902" w:type="pct"/>
                  <w:vAlign w:val="center"/>
                </w:tcPr>
                <w:p>
                  <w:pPr>
                    <w:pStyle w:val="35"/>
                    <w:tabs>
                      <w:tab w:val="left" w:pos="1021"/>
                    </w:tabs>
                  </w:pPr>
                  <w:r>
                    <w:t>油气在线监测系统费用</w:t>
                  </w:r>
                </w:p>
              </w:tc>
              <w:tc>
                <w:tcPr>
                  <w:tcW w:w="1207" w:type="pct"/>
                  <w:vAlign w:val="center"/>
                </w:tcPr>
                <w:p>
                  <w:pPr>
                    <w:pStyle w:val="35"/>
                    <w:tabs>
                      <w:tab w:val="left" w:pos="1021"/>
                    </w:tabs>
                  </w:pPr>
                  <w:r>
                    <w:t>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3" w:hRule="atLeast"/>
              </w:trPr>
              <w:tc>
                <w:tcPr>
                  <w:tcW w:w="593" w:type="pct"/>
                  <w:vMerge w:val="continue"/>
                  <w:tcBorders>
                    <w:top w:val="nil"/>
                  </w:tcBorders>
                  <w:vAlign w:val="center"/>
                </w:tcPr>
                <w:p>
                  <w:pPr>
                    <w:pStyle w:val="35"/>
                    <w:tabs>
                      <w:tab w:val="left" w:pos="1021"/>
                    </w:tabs>
                  </w:pPr>
                </w:p>
              </w:tc>
              <w:tc>
                <w:tcPr>
                  <w:tcW w:w="1296" w:type="pct"/>
                  <w:gridSpan w:val="2"/>
                  <w:vMerge w:val="continue"/>
                  <w:tcBorders>
                    <w:top w:val="nil"/>
                  </w:tcBorders>
                  <w:vAlign w:val="center"/>
                </w:tcPr>
                <w:p>
                  <w:pPr>
                    <w:pStyle w:val="35"/>
                    <w:tabs>
                      <w:tab w:val="left" w:pos="1021"/>
                    </w:tabs>
                  </w:pPr>
                </w:p>
              </w:tc>
              <w:tc>
                <w:tcPr>
                  <w:tcW w:w="1902" w:type="pct"/>
                  <w:vAlign w:val="center"/>
                </w:tcPr>
                <w:p>
                  <w:pPr>
                    <w:pStyle w:val="35"/>
                    <w:tabs>
                      <w:tab w:val="left" w:pos="1021"/>
                    </w:tabs>
                  </w:pPr>
                  <w:r>
                    <w:t>油气排放处理装置</w:t>
                  </w:r>
                </w:p>
              </w:tc>
              <w:tc>
                <w:tcPr>
                  <w:tcW w:w="1207" w:type="pct"/>
                  <w:vAlign w:val="center"/>
                </w:tcPr>
                <w:p>
                  <w:pPr>
                    <w:pStyle w:val="35"/>
                    <w:tabs>
                      <w:tab w:val="left" w:pos="1021"/>
                    </w:tabs>
                  </w:pPr>
                  <w:r>
                    <w:t>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0" w:hRule="atLeast"/>
              </w:trPr>
              <w:tc>
                <w:tcPr>
                  <w:tcW w:w="593" w:type="pct"/>
                  <w:vMerge w:val="continue"/>
                  <w:tcBorders>
                    <w:top w:val="nil"/>
                  </w:tcBorders>
                  <w:vAlign w:val="center"/>
                </w:tcPr>
                <w:p>
                  <w:pPr>
                    <w:pStyle w:val="35"/>
                    <w:tabs>
                      <w:tab w:val="left" w:pos="1021"/>
                    </w:tabs>
                  </w:pPr>
                </w:p>
              </w:tc>
              <w:tc>
                <w:tcPr>
                  <w:tcW w:w="346" w:type="pct"/>
                  <w:vMerge w:val="restart"/>
                  <w:vAlign w:val="center"/>
                </w:tcPr>
                <w:p>
                  <w:pPr>
                    <w:pStyle w:val="35"/>
                    <w:tabs>
                      <w:tab w:val="left" w:pos="1021"/>
                    </w:tabs>
                  </w:pPr>
                </w:p>
                <w:p>
                  <w:pPr>
                    <w:pStyle w:val="35"/>
                    <w:tabs>
                      <w:tab w:val="left" w:pos="1021"/>
                    </w:tabs>
                  </w:pPr>
                  <w:r>
                    <w:t>废水</w:t>
                  </w:r>
                </w:p>
              </w:tc>
              <w:tc>
                <w:tcPr>
                  <w:tcW w:w="950" w:type="pct"/>
                  <w:vAlign w:val="center"/>
                </w:tcPr>
                <w:p>
                  <w:pPr>
                    <w:pStyle w:val="35"/>
                    <w:tabs>
                      <w:tab w:val="left" w:pos="1021"/>
                    </w:tabs>
                  </w:pPr>
                  <w:r>
                    <w:t>生活污水</w:t>
                  </w:r>
                </w:p>
              </w:tc>
              <w:tc>
                <w:tcPr>
                  <w:tcW w:w="1902" w:type="pct"/>
                  <w:vAlign w:val="center"/>
                </w:tcPr>
                <w:p>
                  <w:pPr>
                    <w:pStyle w:val="35"/>
                    <w:tabs>
                      <w:tab w:val="left" w:pos="1021"/>
                    </w:tabs>
                  </w:pPr>
                  <w:r>
                    <w:t>化粪池</w:t>
                  </w:r>
                </w:p>
              </w:tc>
              <w:tc>
                <w:tcPr>
                  <w:tcW w:w="1207" w:type="pct"/>
                  <w:vAlign w:val="center"/>
                </w:tcPr>
                <w:p>
                  <w:pPr>
                    <w:pStyle w:val="35"/>
                    <w:tabs>
                      <w:tab w:val="left" w:pos="1021"/>
                    </w:tabs>
                  </w:pPr>
                  <w: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8" w:hRule="atLeast"/>
              </w:trPr>
              <w:tc>
                <w:tcPr>
                  <w:tcW w:w="593" w:type="pct"/>
                  <w:vMerge w:val="continue"/>
                  <w:tcBorders>
                    <w:top w:val="nil"/>
                  </w:tcBorders>
                  <w:vAlign w:val="center"/>
                </w:tcPr>
                <w:p>
                  <w:pPr>
                    <w:pStyle w:val="35"/>
                    <w:tabs>
                      <w:tab w:val="left" w:pos="1021"/>
                    </w:tabs>
                  </w:pPr>
                </w:p>
              </w:tc>
              <w:tc>
                <w:tcPr>
                  <w:tcW w:w="346" w:type="pct"/>
                  <w:vMerge w:val="continue"/>
                  <w:vAlign w:val="center"/>
                </w:tcPr>
                <w:p>
                  <w:pPr>
                    <w:pStyle w:val="35"/>
                    <w:tabs>
                      <w:tab w:val="left" w:pos="1021"/>
                    </w:tabs>
                  </w:pPr>
                </w:p>
              </w:tc>
              <w:tc>
                <w:tcPr>
                  <w:tcW w:w="950" w:type="pct"/>
                  <w:vAlign w:val="center"/>
                </w:tcPr>
                <w:p>
                  <w:pPr>
                    <w:pStyle w:val="35"/>
                    <w:tabs>
                      <w:tab w:val="left" w:pos="1021"/>
                    </w:tabs>
                    <w:rPr>
                      <w:rFonts w:hint="eastAsia"/>
                      <w:lang w:eastAsia="zh-CN"/>
                    </w:rPr>
                  </w:pPr>
                  <w:r>
                    <w:rPr>
                      <w:rFonts w:hint="eastAsia"/>
                      <w:lang w:eastAsia="zh-CN"/>
                    </w:rPr>
                    <w:t>场地清洁废水</w:t>
                  </w:r>
                </w:p>
              </w:tc>
              <w:tc>
                <w:tcPr>
                  <w:tcW w:w="1902" w:type="pct"/>
                  <w:vMerge w:val="restart"/>
                  <w:vAlign w:val="center"/>
                </w:tcPr>
                <w:p>
                  <w:pPr>
                    <w:pStyle w:val="35"/>
                    <w:tabs>
                      <w:tab w:val="left" w:pos="1021"/>
                    </w:tabs>
                  </w:pPr>
                  <w:r>
                    <w:t>隔油沉淀池、监测井、排水沟渠</w:t>
                  </w:r>
                </w:p>
              </w:tc>
              <w:tc>
                <w:tcPr>
                  <w:tcW w:w="1207" w:type="pct"/>
                  <w:vMerge w:val="restart"/>
                  <w:vAlign w:val="center"/>
                </w:tcPr>
                <w:p>
                  <w:pPr>
                    <w:pStyle w:val="35"/>
                    <w:tabs>
                      <w:tab w:val="left" w:pos="1021"/>
                    </w:tabs>
                  </w:pPr>
                  <w:r>
                    <w:t>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94" w:hRule="atLeast"/>
              </w:trPr>
              <w:tc>
                <w:tcPr>
                  <w:tcW w:w="593" w:type="pct"/>
                  <w:vMerge w:val="continue"/>
                  <w:tcBorders>
                    <w:top w:val="nil"/>
                  </w:tcBorders>
                  <w:vAlign w:val="center"/>
                </w:tcPr>
                <w:p>
                  <w:pPr>
                    <w:pStyle w:val="35"/>
                    <w:tabs>
                      <w:tab w:val="left" w:pos="1021"/>
                    </w:tabs>
                  </w:pPr>
                </w:p>
              </w:tc>
              <w:tc>
                <w:tcPr>
                  <w:tcW w:w="346" w:type="pct"/>
                  <w:vMerge w:val="continue"/>
                  <w:tcBorders>
                    <w:bottom w:val="single" w:color="000000" w:sz="6" w:space="0"/>
                  </w:tcBorders>
                  <w:vAlign w:val="center"/>
                </w:tcPr>
                <w:p>
                  <w:pPr>
                    <w:pStyle w:val="35"/>
                    <w:tabs>
                      <w:tab w:val="left" w:pos="1021"/>
                    </w:tabs>
                  </w:pPr>
                </w:p>
              </w:tc>
              <w:tc>
                <w:tcPr>
                  <w:tcW w:w="950" w:type="pct"/>
                  <w:tcBorders>
                    <w:bottom w:val="single" w:color="auto" w:sz="4" w:space="0"/>
                  </w:tcBorders>
                  <w:vAlign w:val="center"/>
                </w:tcPr>
                <w:p>
                  <w:pPr>
                    <w:pStyle w:val="35"/>
                    <w:tabs>
                      <w:tab w:val="left" w:pos="1021"/>
                    </w:tabs>
                  </w:pPr>
                  <w:r>
                    <w:t>初期雨水</w:t>
                  </w:r>
                </w:p>
              </w:tc>
              <w:tc>
                <w:tcPr>
                  <w:tcW w:w="1902" w:type="pct"/>
                  <w:vMerge w:val="continue"/>
                  <w:tcBorders>
                    <w:bottom w:val="single" w:color="000000" w:sz="6" w:space="0"/>
                  </w:tcBorders>
                  <w:vAlign w:val="center"/>
                </w:tcPr>
                <w:p>
                  <w:pPr>
                    <w:pStyle w:val="35"/>
                    <w:tabs>
                      <w:tab w:val="left" w:pos="1021"/>
                    </w:tabs>
                  </w:pPr>
                </w:p>
              </w:tc>
              <w:tc>
                <w:tcPr>
                  <w:tcW w:w="1207" w:type="pct"/>
                  <w:vMerge w:val="continue"/>
                  <w:tcBorders>
                    <w:bottom w:val="single" w:color="000000" w:sz="6" w:space="0"/>
                  </w:tcBorders>
                  <w:vAlign w:val="center"/>
                </w:tcPr>
                <w:p>
                  <w:pPr>
                    <w:pStyle w:val="35"/>
                    <w:tabs>
                      <w:tab w:val="left" w:pos="1021"/>
                    </w:tabs>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8" w:hRule="atLeast"/>
              </w:trPr>
              <w:tc>
                <w:tcPr>
                  <w:tcW w:w="593" w:type="pct"/>
                  <w:vMerge w:val="continue"/>
                  <w:tcBorders>
                    <w:top w:val="nil"/>
                  </w:tcBorders>
                  <w:vAlign w:val="center"/>
                </w:tcPr>
                <w:p>
                  <w:pPr>
                    <w:pStyle w:val="35"/>
                    <w:tabs>
                      <w:tab w:val="left" w:pos="1021"/>
                    </w:tabs>
                  </w:pPr>
                </w:p>
              </w:tc>
              <w:tc>
                <w:tcPr>
                  <w:tcW w:w="346" w:type="pct"/>
                  <w:vMerge w:val="continue"/>
                  <w:tcBorders>
                    <w:bottom w:val="single" w:color="000000" w:sz="6" w:space="0"/>
                  </w:tcBorders>
                  <w:vAlign w:val="center"/>
                </w:tcPr>
                <w:p>
                  <w:pPr>
                    <w:pStyle w:val="35"/>
                    <w:tabs>
                      <w:tab w:val="left" w:pos="1021"/>
                    </w:tabs>
                  </w:pPr>
                </w:p>
              </w:tc>
              <w:tc>
                <w:tcPr>
                  <w:tcW w:w="950" w:type="pct"/>
                  <w:tcBorders>
                    <w:top w:val="single" w:color="auto" w:sz="4" w:space="0"/>
                    <w:bottom w:val="single" w:color="000000" w:sz="6" w:space="0"/>
                  </w:tcBorders>
                  <w:vAlign w:val="center"/>
                </w:tcPr>
                <w:p>
                  <w:pPr>
                    <w:pStyle w:val="35"/>
                    <w:tabs>
                      <w:tab w:val="left" w:pos="1021"/>
                    </w:tabs>
                  </w:pPr>
                  <w:r>
                    <w:t>洗车废水</w:t>
                  </w:r>
                </w:p>
              </w:tc>
              <w:tc>
                <w:tcPr>
                  <w:tcW w:w="1902" w:type="pct"/>
                  <w:vMerge w:val="continue"/>
                  <w:tcBorders>
                    <w:bottom w:val="single" w:color="000000" w:sz="6" w:space="0"/>
                  </w:tcBorders>
                  <w:vAlign w:val="center"/>
                </w:tcPr>
                <w:p>
                  <w:pPr>
                    <w:pStyle w:val="35"/>
                    <w:tabs>
                      <w:tab w:val="left" w:pos="1021"/>
                    </w:tabs>
                  </w:pPr>
                </w:p>
              </w:tc>
              <w:tc>
                <w:tcPr>
                  <w:tcW w:w="1207" w:type="pct"/>
                  <w:vMerge w:val="continue"/>
                  <w:tcBorders>
                    <w:bottom w:val="single" w:color="000000" w:sz="6" w:space="0"/>
                  </w:tcBorders>
                  <w:vAlign w:val="center"/>
                </w:tcPr>
                <w:p>
                  <w:pPr>
                    <w:pStyle w:val="35"/>
                    <w:tabs>
                      <w:tab w:val="left" w:pos="1021"/>
                    </w:tabs>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0" w:hRule="atLeast"/>
              </w:trPr>
              <w:tc>
                <w:tcPr>
                  <w:tcW w:w="593" w:type="pct"/>
                  <w:vMerge w:val="continue"/>
                  <w:tcBorders>
                    <w:top w:val="nil"/>
                  </w:tcBorders>
                  <w:vAlign w:val="center"/>
                </w:tcPr>
                <w:p>
                  <w:pPr>
                    <w:pStyle w:val="35"/>
                    <w:tabs>
                      <w:tab w:val="left" w:pos="1021"/>
                    </w:tabs>
                  </w:pPr>
                </w:p>
              </w:tc>
              <w:tc>
                <w:tcPr>
                  <w:tcW w:w="1296" w:type="pct"/>
                  <w:gridSpan w:val="2"/>
                  <w:tcBorders>
                    <w:top w:val="single" w:color="000000" w:sz="6" w:space="0"/>
                  </w:tcBorders>
                  <w:vAlign w:val="center"/>
                </w:tcPr>
                <w:p>
                  <w:pPr>
                    <w:pStyle w:val="35"/>
                    <w:tabs>
                      <w:tab w:val="left" w:pos="1021"/>
                    </w:tabs>
                  </w:pPr>
                  <w:r>
                    <w:t>噪声</w:t>
                  </w:r>
                </w:p>
              </w:tc>
              <w:tc>
                <w:tcPr>
                  <w:tcW w:w="1902" w:type="pct"/>
                  <w:tcBorders>
                    <w:top w:val="single" w:color="000000" w:sz="6" w:space="0"/>
                  </w:tcBorders>
                  <w:vAlign w:val="center"/>
                </w:tcPr>
                <w:p>
                  <w:pPr>
                    <w:pStyle w:val="35"/>
                    <w:tabs>
                      <w:tab w:val="left" w:pos="1021"/>
                    </w:tabs>
                  </w:pPr>
                  <w:r>
                    <w:t>减震垫、消声器</w:t>
                  </w:r>
                </w:p>
              </w:tc>
              <w:tc>
                <w:tcPr>
                  <w:tcW w:w="1207" w:type="pct"/>
                  <w:tcBorders>
                    <w:top w:val="single" w:color="000000" w:sz="6" w:space="0"/>
                  </w:tcBorders>
                  <w:vAlign w:val="center"/>
                </w:tcPr>
                <w:p>
                  <w:pPr>
                    <w:pStyle w:val="35"/>
                    <w:tabs>
                      <w:tab w:val="left" w:pos="1021"/>
                    </w:tabs>
                  </w:pPr>
                  <w: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3" w:hRule="atLeast"/>
              </w:trPr>
              <w:tc>
                <w:tcPr>
                  <w:tcW w:w="593" w:type="pct"/>
                  <w:vMerge w:val="continue"/>
                  <w:tcBorders>
                    <w:top w:val="nil"/>
                  </w:tcBorders>
                  <w:vAlign w:val="center"/>
                </w:tcPr>
                <w:p>
                  <w:pPr>
                    <w:pStyle w:val="35"/>
                    <w:tabs>
                      <w:tab w:val="left" w:pos="1021"/>
                    </w:tabs>
                  </w:pPr>
                </w:p>
              </w:tc>
              <w:tc>
                <w:tcPr>
                  <w:tcW w:w="1296" w:type="pct"/>
                  <w:gridSpan w:val="2"/>
                  <w:vAlign w:val="center"/>
                </w:tcPr>
                <w:p>
                  <w:pPr>
                    <w:pStyle w:val="35"/>
                    <w:tabs>
                      <w:tab w:val="left" w:pos="1021"/>
                    </w:tabs>
                  </w:pPr>
                  <w:r>
                    <w:t>固废</w:t>
                  </w:r>
                </w:p>
              </w:tc>
              <w:tc>
                <w:tcPr>
                  <w:tcW w:w="1902" w:type="pct"/>
                  <w:vAlign w:val="center"/>
                </w:tcPr>
                <w:p>
                  <w:pPr>
                    <w:pStyle w:val="35"/>
                    <w:tabs>
                      <w:tab w:val="left" w:pos="1021"/>
                    </w:tabs>
                  </w:pPr>
                  <w:r>
                    <w:t>垃圾桶、危废暂存间</w:t>
                  </w:r>
                </w:p>
              </w:tc>
              <w:tc>
                <w:tcPr>
                  <w:tcW w:w="1207" w:type="pct"/>
                  <w:vAlign w:val="center"/>
                </w:tcPr>
                <w:p>
                  <w:pPr>
                    <w:pStyle w:val="35"/>
                    <w:tabs>
                      <w:tab w:val="left" w:pos="1021"/>
                    </w:tabs>
                  </w:pPr>
                  <w:r>
                    <w:t>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3" w:hRule="atLeast"/>
              </w:trPr>
              <w:tc>
                <w:tcPr>
                  <w:tcW w:w="593" w:type="pct"/>
                  <w:vMerge w:val="continue"/>
                  <w:tcBorders>
                    <w:top w:val="nil"/>
                  </w:tcBorders>
                  <w:vAlign w:val="center"/>
                </w:tcPr>
                <w:p>
                  <w:pPr>
                    <w:pStyle w:val="35"/>
                    <w:tabs>
                      <w:tab w:val="left" w:pos="1021"/>
                    </w:tabs>
                  </w:pPr>
                </w:p>
              </w:tc>
              <w:tc>
                <w:tcPr>
                  <w:tcW w:w="1296" w:type="pct"/>
                  <w:gridSpan w:val="2"/>
                  <w:vAlign w:val="center"/>
                </w:tcPr>
                <w:p>
                  <w:pPr>
                    <w:pStyle w:val="35"/>
                    <w:tabs>
                      <w:tab w:val="left" w:pos="1021"/>
                    </w:tabs>
                  </w:pPr>
                  <w:r>
                    <w:t>风险防范</w:t>
                  </w:r>
                </w:p>
              </w:tc>
              <w:tc>
                <w:tcPr>
                  <w:tcW w:w="1902" w:type="pct"/>
                  <w:vAlign w:val="center"/>
                </w:tcPr>
                <w:p>
                  <w:pPr>
                    <w:pStyle w:val="35"/>
                    <w:tabs>
                      <w:tab w:val="left" w:pos="1021"/>
                    </w:tabs>
                  </w:pPr>
                  <w:r>
                    <w:t>油罐灌区地面防渗、事故池等</w:t>
                  </w:r>
                </w:p>
              </w:tc>
              <w:tc>
                <w:tcPr>
                  <w:tcW w:w="1207" w:type="pct"/>
                  <w:vAlign w:val="center"/>
                </w:tcPr>
                <w:p>
                  <w:pPr>
                    <w:pStyle w:val="35"/>
                    <w:tabs>
                      <w:tab w:val="left" w:pos="1021"/>
                    </w:tabs>
                  </w:pPr>
                  <w:r>
                    <w:t>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3" w:hRule="atLeast"/>
              </w:trPr>
              <w:tc>
                <w:tcPr>
                  <w:tcW w:w="3792" w:type="pct"/>
                  <w:gridSpan w:val="4"/>
                  <w:vAlign w:val="center"/>
                </w:tcPr>
                <w:p>
                  <w:pPr>
                    <w:pStyle w:val="35"/>
                    <w:tabs>
                      <w:tab w:val="left" w:pos="1021"/>
                    </w:tabs>
                  </w:pPr>
                  <w:r>
                    <w:t>合计</w:t>
                  </w:r>
                </w:p>
              </w:tc>
              <w:tc>
                <w:tcPr>
                  <w:tcW w:w="1207" w:type="pct"/>
                  <w:vAlign w:val="center"/>
                </w:tcPr>
                <w:p>
                  <w:pPr>
                    <w:pStyle w:val="35"/>
                    <w:tabs>
                      <w:tab w:val="left" w:pos="1021"/>
                    </w:tabs>
                  </w:pPr>
                  <w:r>
                    <w:t>50</w:t>
                  </w:r>
                </w:p>
              </w:tc>
            </w:tr>
          </w:tbl>
          <w:p>
            <w:pPr>
              <w:pStyle w:val="14"/>
              <w:bidi w:val="0"/>
              <w:rPr>
                <w:rFonts w:hint="default"/>
                <w:lang w:val="en-US" w:eastAsia="zh-CN"/>
              </w:rPr>
            </w:pPr>
            <w:r>
              <w:rPr>
                <w:rFonts w:hint="eastAsia"/>
                <w:lang w:val="en-US" w:eastAsia="zh-CN"/>
              </w:rPr>
              <w:t>2、</w:t>
            </w:r>
            <w:r>
              <w:rPr>
                <w:rFonts w:hint="default"/>
                <w:lang w:val="en-US" w:eastAsia="zh-CN"/>
              </w:rPr>
              <w:t>排污口规范化整治</w:t>
            </w:r>
          </w:p>
          <w:p>
            <w:pPr>
              <w:pStyle w:val="14"/>
              <w:bidi w:val="0"/>
              <w:rPr>
                <w:rFonts w:hint="default"/>
                <w:lang w:val="en-US" w:eastAsia="zh-CN"/>
              </w:rPr>
            </w:pPr>
            <w:r>
              <w:rPr>
                <w:rFonts w:hint="default"/>
                <w:lang w:val="en-US" w:eastAsia="zh-CN"/>
              </w:rPr>
              <w:t>为进一步强化对污染源的现场监督管理及更好地落实国务院提出的实施污染物排放总量控制和</w:t>
            </w:r>
            <w:r>
              <w:rPr>
                <w:rFonts w:hint="eastAsia"/>
                <w:lang w:val="en-US" w:eastAsia="zh-CN"/>
              </w:rPr>
              <w:t>“</w:t>
            </w:r>
            <w:r>
              <w:rPr>
                <w:rFonts w:hint="default"/>
                <w:lang w:val="en-US" w:eastAsia="zh-CN"/>
              </w:rPr>
              <w:t>一控双达标</w:t>
            </w:r>
            <w:r>
              <w:rPr>
                <w:rFonts w:hint="eastAsia"/>
                <w:lang w:val="en-US" w:eastAsia="zh-CN"/>
              </w:rPr>
              <w:t>”</w:t>
            </w:r>
            <w:r>
              <w:rPr>
                <w:rFonts w:hint="default"/>
                <w:lang w:val="en-US" w:eastAsia="zh-CN"/>
              </w:rPr>
              <w:t>的要求，规定一切新建、扩建、改造和限期治理的排污单位必须在建设污染治理设施的同时建设规范化排放口，并作为落实环境保护“三同时”制度的必要组成部分和项目验收内容之一，因此企业应做到：</w:t>
            </w:r>
          </w:p>
          <w:p>
            <w:pPr>
              <w:pStyle w:val="14"/>
              <w:bidi w:val="0"/>
              <w:rPr>
                <w:rFonts w:hint="default"/>
                <w:lang w:val="en-US" w:eastAsia="zh-CN"/>
              </w:rPr>
            </w:pPr>
            <w:r>
              <w:rPr>
                <w:rFonts w:hint="default"/>
                <w:lang w:val="en-US" w:eastAsia="zh-CN"/>
              </w:rPr>
              <w:t>①建立排污口档案。内容包括排污单位名称、排污口编号、适用的计量方式、排污口位置；所排污染物来源、种类、浓度及计量纪录；排放去向、维护和更新纪录。</w:t>
            </w:r>
          </w:p>
          <w:p>
            <w:pPr>
              <w:pStyle w:val="14"/>
              <w:bidi w:val="0"/>
              <w:rPr>
                <w:rFonts w:hint="default"/>
                <w:lang w:val="en-US" w:eastAsia="zh-CN"/>
              </w:rPr>
            </w:pPr>
            <w:r>
              <w:rPr>
                <w:rFonts w:hint="default"/>
                <w:lang w:val="en-US" w:eastAsia="zh-CN"/>
              </w:rPr>
              <w:t>②厂区固体废物贮存场所均应分别统一编号，设立标志牌，标志牌按照《环境保护图形标志》(GB15562.1-2-1998-5)的规定统一定点监制</w:t>
            </w:r>
            <w:r>
              <w:rPr>
                <w:rFonts w:hint="eastAsia"/>
                <w:lang w:val="en-US" w:eastAsia="zh-CN"/>
              </w:rPr>
              <w:t>。</w:t>
            </w:r>
          </w:p>
          <w:p>
            <w:pPr>
              <w:pStyle w:val="14"/>
              <w:bidi w:val="0"/>
              <w:rPr>
                <w:rFonts w:hint="default"/>
                <w:lang w:val="en-US" w:eastAsia="zh-CN"/>
              </w:rPr>
            </w:pPr>
            <w:r>
              <w:rPr>
                <w:rFonts w:hint="eastAsia"/>
                <w:lang w:val="en-US" w:eastAsia="zh-CN"/>
              </w:rPr>
              <w:t>3、</w:t>
            </w:r>
            <w:r>
              <w:rPr>
                <w:rFonts w:hint="default"/>
                <w:lang w:val="en-US" w:eastAsia="zh-CN"/>
              </w:rPr>
              <w:t>环境管理目标</w:t>
            </w:r>
          </w:p>
          <w:p>
            <w:pPr>
              <w:pStyle w:val="14"/>
              <w:bidi w:val="0"/>
              <w:rPr>
                <w:rFonts w:hint="default"/>
                <w:lang w:val="en-US" w:eastAsia="zh-CN"/>
              </w:rPr>
            </w:pPr>
            <w:r>
              <w:rPr>
                <w:rFonts w:hint="default"/>
                <w:lang w:val="en-US" w:eastAsia="zh-CN"/>
              </w:rPr>
              <w:t>项目在营运期，全面推行清洁生产技术，对全体员工进行清洁生产培训，在企业内部全面施行清洁生产，所有的生产行为都必须符合清洁生产的要求。严格控制污染源和污染物的排放，对项目的污染物进行全面处理和全面达标控制。坚持生态保护与污染防治相结合，生态建设与生态保护并举，大力推进区域生态建设的步伐。加强环境管理能力建设，提高企业环境管理水平</w:t>
            </w:r>
            <w:r>
              <w:rPr>
                <w:rFonts w:hint="eastAsia"/>
                <w:lang w:val="en-US" w:eastAsia="zh-CN"/>
              </w:rPr>
              <w:t>。</w:t>
            </w:r>
          </w:p>
          <w:p>
            <w:pPr>
              <w:pStyle w:val="14"/>
              <w:bidi w:val="0"/>
              <w:rPr>
                <w:rFonts w:hint="default"/>
                <w:lang w:val="en-US" w:eastAsia="zh-CN"/>
              </w:rPr>
            </w:pPr>
            <w:r>
              <w:rPr>
                <w:rFonts w:hint="default"/>
                <w:lang w:val="en-US" w:eastAsia="zh-CN"/>
              </w:rPr>
              <w:t>（1）落实各项污染防治措施，加强环境保护工作的管理，严格执行环境保护工作规章制度；</w:t>
            </w:r>
          </w:p>
          <w:p>
            <w:pPr>
              <w:pStyle w:val="14"/>
              <w:bidi w:val="0"/>
              <w:rPr>
                <w:rFonts w:hint="default"/>
                <w:lang w:val="en-US" w:eastAsia="zh-CN"/>
              </w:rPr>
            </w:pPr>
            <w:r>
              <w:rPr>
                <w:rFonts w:hint="default"/>
                <w:lang w:val="en-US" w:eastAsia="zh-CN"/>
              </w:rPr>
              <w:t>（2）建立环保档案，包括环评报告、环保工程验收报告、污染源监测报告、环保设施设备运行管理以及其他环境统计资料；</w:t>
            </w:r>
          </w:p>
          <w:p>
            <w:pPr>
              <w:pStyle w:val="14"/>
              <w:bidi w:val="0"/>
              <w:rPr>
                <w:rFonts w:hint="default"/>
                <w:lang w:val="en-US" w:eastAsia="zh-CN"/>
              </w:rPr>
            </w:pPr>
            <w:r>
              <w:rPr>
                <w:rFonts w:hint="default"/>
                <w:lang w:val="en-US" w:eastAsia="zh-CN"/>
              </w:rPr>
              <w:t xml:space="preserve">（3）对设施进行性能测试及综合性能指标评价，确保设施的安全稳定达标运行； </w:t>
            </w:r>
          </w:p>
          <w:p>
            <w:pPr>
              <w:pStyle w:val="14"/>
              <w:bidi w:val="0"/>
              <w:rPr>
                <w:rFonts w:hint="default"/>
                <w:lang w:val="en-US" w:eastAsia="zh-CN"/>
              </w:rPr>
            </w:pPr>
            <w:r>
              <w:rPr>
                <w:rFonts w:hint="default"/>
                <w:lang w:val="en-US" w:eastAsia="zh-CN"/>
              </w:rPr>
              <w:t>（4）及时了解国家、地方对本项目的有关环境保护的法律、法规和其它要求，加强与环保行政主管部门的沟通与联系，主动接受其管理、监督和指导。</w:t>
            </w:r>
          </w:p>
          <w:p>
            <w:pPr>
              <w:pStyle w:val="14"/>
              <w:bidi w:val="0"/>
              <w:rPr>
                <w:rFonts w:hint="default"/>
                <w:lang w:val="en-US" w:eastAsia="zh-CN"/>
              </w:rPr>
            </w:pPr>
            <w:r>
              <w:rPr>
                <w:rFonts w:hint="default"/>
                <w:lang w:val="en-US" w:eastAsia="zh-CN"/>
              </w:rPr>
              <w:t xml:space="preserve">（5）在设施运行期间制定处置设施运行内部监测计划，建立运行参数和污染物排放的监测记录制度； </w:t>
            </w:r>
          </w:p>
          <w:p>
            <w:pPr>
              <w:pStyle w:val="14"/>
              <w:bidi w:val="0"/>
              <w:rPr>
                <w:rFonts w:hint="default"/>
                <w:lang w:val="en-US" w:eastAsia="zh-CN"/>
              </w:rPr>
            </w:pPr>
            <w:r>
              <w:rPr>
                <w:rFonts w:hint="default"/>
                <w:lang w:val="en-US" w:eastAsia="zh-CN"/>
              </w:rPr>
              <w:t>（6）积极推进设施运行的远程监控，逐步实现工况参数与当地</w:t>
            </w:r>
            <w:r>
              <w:rPr>
                <w:rFonts w:hint="eastAsia"/>
                <w:lang w:val="en-US" w:eastAsia="zh-CN"/>
              </w:rPr>
              <w:t>生态环境</w:t>
            </w:r>
            <w:r>
              <w:rPr>
                <w:rFonts w:hint="default"/>
                <w:lang w:val="en-US" w:eastAsia="zh-CN"/>
              </w:rPr>
              <w:t xml:space="preserve">部门联网显示； </w:t>
            </w:r>
          </w:p>
          <w:p>
            <w:pPr>
              <w:pStyle w:val="14"/>
              <w:bidi w:val="0"/>
              <w:rPr>
                <w:rFonts w:hint="default"/>
                <w:lang w:val="en-US" w:eastAsia="zh-CN"/>
              </w:rPr>
            </w:pPr>
            <w:r>
              <w:rPr>
                <w:rFonts w:hint="default"/>
                <w:lang w:val="en-US" w:eastAsia="zh-CN"/>
              </w:rPr>
              <w:t xml:space="preserve">（7）建立、健全操作规范，完善员工操作培训，普及职业安全和劳动卫生教育宣传； </w:t>
            </w:r>
          </w:p>
          <w:p>
            <w:pPr>
              <w:pStyle w:val="14"/>
              <w:bidi w:val="0"/>
              <w:rPr>
                <w:rFonts w:hint="eastAsia"/>
                <w:lang w:val="en-US" w:eastAsia="zh-CN"/>
              </w:rPr>
            </w:pPr>
            <w:r>
              <w:rPr>
                <w:rFonts w:hint="default"/>
                <w:lang w:val="en-US" w:eastAsia="zh-CN"/>
              </w:rPr>
              <w:t>（8）废气处理系统设自动报警系统，正常运行范围以及主要辅机设备发生故障等报警内容，紧急状态下应具备停止排风的功能</w:t>
            </w:r>
            <w:r>
              <w:rPr>
                <w:rFonts w:hint="eastAsia"/>
                <w:lang w:val="en-US" w:eastAsia="zh-CN"/>
              </w:rPr>
              <w:t>。</w:t>
            </w: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rPr>
                <w:rFonts w:hint="eastAsia"/>
                <w:lang w:val="en-US" w:eastAsia="zh-CN"/>
              </w:rPr>
            </w:pPr>
          </w:p>
          <w:p>
            <w:pPr>
              <w:pStyle w:val="18"/>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default"/>
                <w:lang w:val="en-US" w:eastAsia="zh-CN"/>
              </w:rPr>
            </w:pPr>
          </w:p>
        </w:tc>
      </w:tr>
    </w:tbl>
    <w:p>
      <w:pPr>
        <w:adjustRightInd w:val="0"/>
        <w:snapToGrid w:val="0"/>
        <w:spacing w:line="360" w:lineRule="auto"/>
        <w:rPr>
          <w:rFonts w:hint="eastAsia" w:ascii="宋体" w:cs="宋体"/>
          <w:b/>
          <w:kern w:val="0"/>
          <w:sz w:val="28"/>
          <w:szCs w:val="28"/>
        </w:rPr>
        <w:sectPr>
          <w:pgSz w:w="11907" w:h="16840"/>
          <w:pgMar w:top="1440" w:right="1800" w:bottom="1440" w:left="1800" w:header="851" w:footer="851" w:gutter="0"/>
          <w:pgNumType w:fmt="decimal"/>
          <w:cols w:space="720" w:num="1"/>
          <w:docGrid w:linePitch="312" w:charSpace="0"/>
        </w:sectPr>
      </w:pPr>
    </w:p>
    <w:p>
      <w:pPr>
        <w:pStyle w:val="7"/>
        <w:numPr>
          <w:ilvl w:val="0"/>
          <w:numId w:val="11"/>
        </w:numPr>
        <w:bidi w:val="0"/>
        <w:rPr>
          <w:rFonts w:hint="eastAsia"/>
        </w:rPr>
      </w:pPr>
      <w:bookmarkStart w:id="70" w:name="_Toc10633"/>
      <w:bookmarkStart w:id="71" w:name="_Toc31729"/>
      <w:bookmarkStart w:id="72" w:name="_Toc24563"/>
      <w:bookmarkStart w:id="73" w:name="_Toc13236"/>
      <w:bookmarkStart w:id="74" w:name="_Toc14110"/>
      <w:bookmarkStart w:id="75" w:name="_Hlk54167917"/>
      <w:bookmarkStart w:id="76" w:name="_Toc30913"/>
      <w:bookmarkStart w:id="77" w:name="_Toc13359"/>
      <w:bookmarkStart w:id="78" w:name="_Toc1852"/>
      <w:bookmarkStart w:id="79" w:name="_Toc16653"/>
      <w:bookmarkStart w:id="80" w:name="_Toc16051"/>
      <w:bookmarkStart w:id="81" w:name="_Toc3258"/>
      <w:bookmarkStart w:id="82" w:name="_Toc16307"/>
      <w:bookmarkStart w:id="83" w:name="_Toc27519"/>
      <w:bookmarkStart w:id="84" w:name="_Toc4315"/>
      <w:bookmarkStart w:id="85" w:name="_Toc25490"/>
      <w:bookmarkStart w:id="86" w:name="_Toc12099"/>
      <w:r>
        <w:rPr>
          <w:rFonts w:hint="eastAsia"/>
        </w:rPr>
        <w:t>环境保护措施监督检查清单</w:t>
      </w:r>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p>
    <w:tbl>
      <w:tblPr>
        <w:tblStyle w:val="31"/>
        <w:tblW w:w="4997"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954"/>
        <w:gridCol w:w="1377"/>
        <w:gridCol w:w="1489"/>
        <w:gridCol w:w="3"/>
        <w:gridCol w:w="2396"/>
        <w:gridCol w:w="229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0" w:type="pct"/>
            <w:tcBorders>
              <w:tl2br w:val="single" w:color="auto" w:sz="4" w:space="0"/>
            </w:tcBorders>
            <w:noWrap w:val="0"/>
            <w:vAlign w:val="top"/>
          </w:tcPr>
          <w:p>
            <w:pPr>
              <w:pStyle w:val="35"/>
              <w:bidi w:val="0"/>
              <w:spacing w:line="360" w:lineRule="auto"/>
              <w:rPr>
                <w:rFonts w:hint="eastAsia"/>
                <w:sz w:val="24"/>
                <w:szCs w:val="24"/>
              </w:rPr>
            </w:pPr>
            <w:r>
              <w:rPr>
                <w:rFonts w:hint="eastAsia"/>
                <w:sz w:val="24"/>
                <w:szCs w:val="24"/>
              </w:rPr>
              <w:t>内容</w:t>
            </w:r>
          </w:p>
          <w:p>
            <w:pPr>
              <w:pStyle w:val="35"/>
              <w:bidi w:val="0"/>
              <w:spacing w:line="360" w:lineRule="auto"/>
              <w:rPr>
                <w:rFonts w:hint="eastAsia"/>
                <w:sz w:val="24"/>
                <w:szCs w:val="24"/>
              </w:rPr>
            </w:pPr>
          </w:p>
          <w:p>
            <w:pPr>
              <w:pStyle w:val="35"/>
              <w:bidi w:val="0"/>
              <w:spacing w:line="360" w:lineRule="auto"/>
              <w:rPr>
                <w:rFonts w:hint="eastAsia"/>
                <w:sz w:val="24"/>
                <w:szCs w:val="24"/>
              </w:rPr>
            </w:pPr>
            <w:r>
              <w:rPr>
                <w:rFonts w:hint="eastAsia"/>
                <w:sz w:val="24"/>
                <w:szCs w:val="24"/>
              </w:rPr>
              <w:t>要素</w:t>
            </w:r>
          </w:p>
        </w:tc>
        <w:tc>
          <w:tcPr>
            <w:tcW w:w="808" w:type="pct"/>
            <w:noWrap w:val="0"/>
            <w:vAlign w:val="center"/>
          </w:tcPr>
          <w:p>
            <w:pPr>
              <w:pStyle w:val="35"/>
              <w:bidi w:val="0"/>
              <w:spacing w:line="360" w:lineRule="auto"/>
              <w:rPr>
                <w:rFonts w:hint="eastAsia"/>
                <w:sz w:val="24"/>
                <w:szCs w:val="24"/>
              </w:rPr>
            </w:pPr>
            <w:r>
              <w:rPr>
                <w:rFonts w:hint="eastAsia"/>
                <w:sz w:val="24"/>
                <w:szCs w:val="24"/>
              </w:rPr>
              <w:t>排放口(编号、名称)/污染源</w:t>
            </w:r>
          </w:p>
        </w:tc>
        <w:tc>
          <w:tcPr>
            <w:tcW w:w="874" w:type="pct"/>
            <w:noWrap w:val="0"/>
            <w:vAlign w:val="center"/>
          </w:tcPr>
          <w:p>
            <w:pPr>
              <w:pStyle w:val="35"/>
              <w:bidi w:val="0"/>
              <w:spacing w:line="360" w:lineRule="auto"/>
              <w:rPr>
                <w:rFonts w:hint="eastAsia"/>
                <w:sz w:val="24"/>
                <w:szCs w:val="24"/>
              </w:rPr>
            </w:pPr>
            <w:r>
              <w:rPr>
                <w:rFonts w:hint="eastAsia"/>
                <w:sz w:val="24"/>
                <w:szCs w:val="24"/>
              </w:rPr>
              <w:t>污染物项目</w:t>
            </w:r>
          </w:p>
        </w:tc>
        <w:tc>
          <w:tcPr>
            <w:tcW w:w="1408" w:type="pct"/>
            <w:gridSpan w:val="2"/>
            <w:noWrap w:val="0"/>
            <w:vAlign w:val="center"/>
          </w:tcPr>
          <w:p>
            <w:pPr>
              <w:pStyle w:val="35"/>
              <w:bidi w:val="0"/>
              <w:spacing w:line="360" w:lineRule="auto"/>
              <w:rPr>
                <w:rFonts w:hint="eastAsia"/>
                <w:sz w:val="24"/>
                <w:szCs w:val="24"/>
              </w:rPr>
            </w:pPr>
            <w:r>
              <w:rPr>
                <w:rFonts w:hint="eastAsia"/>
                <w:sz w:val="24"/>
                <w:szCs w:val="24"/>
              </w:rPr>
              <w:t>环境保护措施</w:t>
            </w:r>
          </w:p>
        </w:tc>
        <w:tc>
          <w:tcPr>
            <w:tcW w:w="1348" w:type="pct"/>
            <w:noWrap w:val="0"/>
            <w:vAlign w:val="center"/>
          </w:tcPr>
          <w:p>
            <w:pPr>
              <w:pStyle w:val="35"/>
              <w:bidi w:val="0"/>
              <w:spacing w:line="360" w:lineRule="auto"/>
              <w:rPr>
                <w:rFonts w:hint="eastAsia"/>
                <w:sz w:val="24"/>
                <w:szCs w:val="24"/>
              </w:rPr>
            </w:pPr>
            <w:r>
              <w:rPr>
                <w:rFonts w:hint="eastAsia"/>
                <w:sz w:val="24"/>
                <w:szCs w:val="24"/>
              </w:rPr>
              <w:t>执行标准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0" w:type="pct"/>
            <w:vMerge w:val="restart"/>
            <w:noWrap w:val="0"/>
            <w:vAlign w:val="center"/>
          </w:tcPr>
          <w:p>
            <w:pPr>
              <w:pStyle w:val="35"/>
              <w:bidi w:val="0"/>
              <w:spacing w:line="360" w:lineRule="auto"/>
              <w:rPr>
                <w:rFonts w:hint="eastAsia"/>
                <w:sz w:val="24"/>
                <w:szCs w:val="24"/>
              </w:rPr>
            </w:pPr>
            <w:r>
              <w:rPr>
                <w:rFonts w:hint="eastAsia"/>
                <w:sz w:val="24"/>
                <w:szCs w:val="24"/>
              </w:rPr>
              <w:t>大气环境</w:t>
            </w:r>
          </w:p>
        </w:tc>
        <w:tc>
          <w:tcPr>
            <w:tcW w:w="808" w:type="pct"/>
            <w:noWrap w:val="0"/>
            <w:vAlign w:val="center"/>
          </w:tcPr>
          <w:p>
            <w:pPr>
              <w:pStyle w:val="35"/>
              <w:tabs>
                <w:tab w:val="left" w:pos="1021"/>
              </w:tabs>
              <w:rPr>
                <w:rFonts w:hint="eastAsia" w:ascii="Times New Roman" w:hAnsi="Times New Roman" w:eastAsia="宋体" w:cs="Times New Roman"/>
                <w:kern w:val="2"/>
                <w:sz w:val="24"/>
                <w:szCs w:val="24"/>
                <w:lang w:val="en-US" w:eastAsia="zh-CN" w:bidi="ar-SA"/>
              </w:rPr>
            </w:pPr>
            <w:r>
              <w:rPr>
                <w:sz w:val="24"/>
                <w:szCs w:val="24"/>
              </w:rPr>
              <w:t>卸油、储存、加油</w:t>
            </w:r>
          </w:p>
        </w:tc>
        <w:tc>
          <w:tcPr>
            <w:tcW w:w="874" w:type="pct"/>
            <w:noWrap w:val="0"/>
            <w:vAlign w:val="center"/>
          </w:tcPr>
          <w:p>
            <w:pPr>
              <w:pStyle w:val="35"/>
              <w:tabs>
                <w:tab w:val="left" w:pos="1021"/>
              </w:tabs>
              <w:rPr>
                <w:rFonts w:hint="eastAsia" w:ascii="Times New Roman" w:hAnsi="Times New Roman" w:eastAsia="宋体" w:cs="Times New Roman"/>
                <w:kern w:val="2"/>
                <w:sz w:val="24"/>
                <w:szCs w:val="24"/>
                <w:lang w:val="en-US" w:eastAsia="zh-CN" w:bidi="ar-SA"/>
              </w:rPr>
            </w:pPr>
            <w:r>
              <w:rPr>
                <w:sz w:val="24"/>
                <w:szCs w:val="24"/>
              </w:rPr>
              <w:t>非甲烷总烃</w:t>
            </w:r>
          </w:p>
        </w:tc>
        <w:tc>
          <w:tcPr>
            <w:tcW w:w="1408" w:type="pct"/>
            <w:gridSpan w:val="2"/>
            <w:noWrap w:val="0"/>
            <w:vAlign w:val="center"/>
          </w:tcPr>
          <w:p>
            <w:pPr>
              <w:pStyle w:val="35"/>
              <w:tabs>
                <w:tab w:val="left" w:pos="1021"/>
              </w:tabs>
              <w:rPr>
                <w:rFonts w:hint="eastAsia" w:ascii="Times New Roman" w:hAnsi="Times New Roman" w:eastAsia="宋体" w:cs="Times New Roman"/>
                <w:kern w:val="2"/>
                <w:sz w:val="24"/>
                <w:szCs w:val="24"/>
                <w:lang w:val="en-US" w:eastAsia="zh-CN" w:bidi="ar-SA"/>
              </w:rPr>
            </w:pPr>
            <w:r>
              <w:rPr>
                <w:sz w:val="24"/>
                <w:szCs w:val="24"/>
              </w:rPr>
              <w:t>设置油气回收系统</w:t>
            </w:r>
          </w:p>
        </w:tc>
        <w:tc>
          <w:tcPr>
            <w:tcW w:w="1348" w:type="pct"/>
            <w:noWrap w:val="0"/>
            <w:vAlign w:val="center"/>
          </w:tcPr>
          <w:p>
            <w:pPr>
              <w:pStyle w:val="35"/>
              <w:tabs>
                <w:tab w:val="left" w:pos="1021"/>
              </w:tabs>
              <w:rPr>
                <w:rFonts w:hint="eastAsia"/>
                <w:sz w:val="24"/>
                <w:szCs w:val="24"/>
              </w:rPr>
            </w:pPr>
            <w:r>
              <w:rPr>
                <w:sz w:val="24"/>
                <w:szCs w:val="24"/>
              </w:rPr>
              <w:t xml:space="preserve"> </w:t>
            </w:r>
            <w:r>
              <w:rPr>
                <w:rFonts w:hint="eastAsia"/>
                <w:sz w:val="24"/>
                <w:szCs w:val="24"/>
                <w:lang w:eastAsia="zh-CN"/>
              </w:rPr>
              <w:t>《加油站大气污染物排放标准》（GB20952-2020）</w:t>
            </w:r>
            <w:r>
              <w:rPr>
                <w:sz w:val="24"/>
                <w:szCs w:val="24"/>
              </w:rPr>
              <w:t>无组织排放要求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0" w:type="pct"/>
            <w:vMerge w:val="continue"/>
            <w:noWrap w:val="0"/>
            <w:vAlign w:val="center"/>
          </w:tcPr>
          <w:p>
            <w:pPr>
              <w:pStyle w:val="35"/>
              <w:bidi w:val="0"/>
              <w:spacing w:line="360" w:lineRule="auto"/>
              <w:rPr>
                <w:rFonts w:hint="eastAsia"/>
                <w:sz w:val="24"/>
                <w:szCs w:val="24"/>
              </w:rPr>
            </w:pPr>
          </w:p>
        </w:tc>
        <w:tc>
          <w:tcPr>
            <w:tcW w:w="808" w:type="pct"/>
            <w:noWrap w:val="0"/>
            <w:vAlign w:val="center"/>
          </w:tcPr>
          <w:p>
            <w:pPr>
              <w:pStyle w:val="35"/>
              <w:tabs>
                <w:tab w:val="left" w:pos="1021"/>
              </w:tabs>
              <w:rPr>
                <w:rFonts w:hint="eastAsia" w:ascii="Times New Roman" w:hAnsi="Times New Roman" w:eastAsia="宋体" w:cs="Times New Roman"/>
                <w:kern w:val="2"/>
                <w:sz w:val="24"/>
                <w:szCs w:val="24"/>
                <w:lang w:val="en-US" w:eastAsia="zh-CN" w:bidi="ar-SA"/>
              </w:rPr>
            </w:pPr>
            <w:r>
              <w:rPr>
                <w:sz w:val="24"/>
                <w:szCs w:val="24"/>
              </w:rPr>
              <w:t>运输车辆</w:t>
            </w:r>
          </w:p>
        </w:tc>
        <w:tc>
          <w:tcPr>
            <w:tcW w:w="874" w:type="pct"/>
            <w:noWrap w:val="0"/>
            <w:vAlign w:val="center"/>
          </w:tcPr>
          <w:p>
            <w:pPr>
              <w:pStyle w:val="35"/>
              <w:tabs>
                <w:tab w:val="left" w:pos="1021"/>
              </w:tabs>
              <w:rPr>
                <w:rFonts w:hint="eastAsia" w:ascii="Times New Roman" w:hAnsi="Times New Roman" w:eastAsia="宋体" w:cs="Times New Roman"/>
                <w:kern w:val="2"/>
                <w:sz w:val="24"/>
                <w:szCs w:val="24"/>
                <w:lang w:val="en-US" w:eastAsia="zh-CN" w:bidi="ar-SA"/>
              </w:rPr>
            </w:pPr>
            <w:r>
              <w:rPr>
                <w:sz w:val="24"/>
                <w:szCs w:val="24"/>
              </w:rPr>
              <w:t>CO、NO</w:t>
            </w:r>
            <w:r>
              <w:rPr>
                <w:rFonts w:hint="default" w:ascii="Times New Roman" w:hAnsi="Times New Roman" w:cs="Times New Roman"/>
                <w:sz w:val="24"/>
                <w:szCs w:val="24"/>
              </w:rPr>
              <w:t>x</w:t>
            </w:r>
            <w:r>
              <w:rPr>
                <w:sz w:val="24"/>
                <w:szCs w:val="24"/>
              </w:rPr>
              <w:t>、THC</w:t>
            </w:r>
          </w:p>
        </w:tc>
        <w:tc>
          <w:tcPr>
            <w:tcW w:w="1408" w:type="pct"/>
            <w:gridSpan w:val="2"/>
            <w:noWrap w:val="0"/>
            <w:vAlign w:val="center"/>
          </w:tcPr>
          <w:p>
            <w:pPr>
              <w:pStyle w:val="35"/>
              <w:tabs>
                <w:tab w:val="left" w:pos="1021"/>
              </w:tabs>
              <w:rPr>
                <w:rFonts w:hint="eastAsia" w:ascii="Times New Roman" w:hAnsi="Times New Roman" w:eastAsia="宋体" w:cs="Times New Roman"/>
                <w:kern w:val="2"/>
                <w:sz w:val="24"/>
                <w:szCs w:val="24"/>
                <w:lang w:val="en-US" w:eastAsia="zh-CN" w:bidi="ar-SA"/>
              </w:rPr>
            </w:pPr>
            <w:r>
              <w:rPr>
                <w:sz w:val="24"/>
                <w:szCs w:val="24"/>
              </w:rPr>
              <w:t>大气扩散</w:t>
            </w:r>
          </w:p>
        </w:tc>
        <w:tc>
          <w:tcPr>
            <w:tcW w:w="1348" w:type="pct"/>
            <w:vMerge w:val="restart"/>
            <w:noWrap w:val="0"/>
            <w:vAlign w:val="center"/>
          </w:tcPr>
          <w:p>
            <w:pPr>
              <w:pStyle w:val="35"/>
              <w:bidi w:val="0"/>
              <w:spacing w:line="360" w:lineRule="auto"/>
              <w:rPr>
                <w:rFonts w:hint="eastAsia" w:eastAsia="宋体"/>
                <w:sz w:val="24"/>
                <w:szCs w:val="24"/>
                <w:lang w:eastAsia="zh-CN"/>
              </w:rPr>
            </w:pPr>
            <w:r>
              <w:rPr>
                <w:rFonts w:hint="eastAsia" w:ascii="Times New Roman" w:hAnsi="Times New Roman" w:cs="Times New Roman"/>
                <w:sz w:val="24"/>
                <w:szCs w:val="24"/>
                <w:lang w:val="en-US" w:eastAsia="zh-CN"/>
              </w:rPr>
              <w:t>对</w:t>
            </w:r>
            <w:r>
              <w:rPr>
                <w:rFonts w:hint="eastAsia" w:ascii="Times New Roman" w:hAnsi="Times New Roman" w:cs="Times New Roman"/>
                <w:sz w:val="24"/>
                <w:szCs w:val="24"/>
                <w:lang w:eastAsia="zh-CN"/>
              </w:rPr>
              <w:t>周围大气环境影响较小</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0" w:type="pct"/>
            <w:vMerge w:val="continue"/>
            <w:noWrap w:val="0"/>
            <w:vAlign w:val="center"/>
          </w:tcPr>
          <w:p>
            <w:pPr>
              <w:pStyle w:val="35"/>
              <w:bidi w:val="0"/>
              <w:spacing w:line="360" w:lineRule="auto"/>
              <w:rPr>
                <w:rFonts w:hint="eastAsia"/>
                <w:sz w:val="24"/>
                <w:szCs w:val="24"/>
              </w:rPr>
            </w:pPr>
          </w:p>
        </w:tc>
        <w:tc>
          <w:tcPr>
            <w:tcW w:w="808" w:type="pct"/>
            <w:noWrap w:val="0"/>
            <w:vAlign w:val="center"/>
          </w:tcPr>
          <w:p>
            <w:pPr>
              <w:pStyle w:val="35"/>
              <w:tabs>
                <w:tab w:val="left" w:pos="1021"/>
              </w:tabs>
              <w:rPr>
                <w:rFonts w:hint="eastAsia" w:ascii="Times New Roman" w:hAnsi="Times New Roman" w:eastAsia="宋体" w:cs="Times New Roman"/>
                <w:kern w:val="2"/>
                <w:sz w:val="24"/>
                <w:szCs w:val="24"/>
                <w:lang w:val="en-US" w:eastAsia="zh-CN" w:bidi="ar-SA"/>
              </w:rPr>
            </w:pPr>
            <w:r>
              <w:rPr>
                <w:sz w:val="24"/>
                <w:szCs w:val="24"/>
              </w:rPr>
              <w:t>柴油发电机废气</w:t>
            </w:r>
          </w:p>
        </w:tc>
        <w:tc>
          <w:tcPr>
            <w:tcW w:w="874" w:type="pct"/>
            <w:noWrap w:val="0"/>
            <w:vAlign w:val="center"/>
          </w:tcPr>
          <w:p>
            <w:pPr>
              <w:pStyle w:val="35"/>
              <w:tabs>
                <w:tab w:val="left" w:pos="1021"/>
              </w:tabs>
              <w:rPr>
                <w:rFonts w:hint="eastAsia" w:ascii="Times New Roman" w:hAnsi="Times New Roman" w:eastAsia="宋体" w:cs="Times New Roman"/>
                <w:kern w:val="2"/>
                <w:sz w:val="24"/>
                <w:szCs w:val="24"/>
                <w:lang w:val="en-US" w:eastAsia="zh-CN" w:bidi="ar-SA"/>
              </w:rPr>
            </w:pPr>
            <w:r>
              <w:rPr>
                <w:sz w:val="24"/>
                <w:szCs w:val="24"/>
              </w:rPr>
              <w:t>CO、NO</w:t>
            </w:r>
            <w:r>
              <w:rPr>
                <w:rFonts w:hint="default" w:ascii="Times New Roman" w:hAnsi="Times New Roman" w:cs="Times New Roman"/>
                <w:sz w:val="24"/>
                <w:szCs w:val="24"/>
              </w:rPr>
              <w:t>x</w:t>
            </w:r>
            <w:r>
              <w:rPr>
                <w:sz w:val="24"/>
                <w:szCs w:val="24"/>
              </w:rPr>
              <w:t>、THC</w:t>
            </w:r>
          </w:p>
        </w:tc>
        <w:tc>
          <w:tcPr>
            <w:tcW w:w="1408" w:type="pct"/>
            <w:gridSpan w:val="2"/>
            <w:noWrap w:val="0"/>
            <w:vAlign w:val="center"/>
          </w:tcPr>
          <w:p>
            <w:pPr>
              <w:pStyle w:val="35"/>
              <w:tabs>
                <w:tab w:val="left" w:pos="1021"/>
              </w:tabs>
              <w:rPr>
                <w:rFonts w:hint="eastAsia" w:ascii="Times New Roman" w:hAnsi="Times New Roman" w:eastAsia="宋体" w:cs="Times New Roman"/>
                <w:kern w:val="2"/>
                <w:sz w:val="24"/>
                <w:szCs w:val="24"/>
                <w:lang w:val="en-US" w:eastAsia="zh-CN" w:bidi="ar-SA"/>
              </w:rPr>
            </w:pPr>
            <w:r>
              <w:rPr>
                <w:sz w:val="24"/>
                <w:szCs w:val="24"/>
              </w:rPr>
              <w:t>加强通风</w:t>
            </w:r>
          </w:p>
        </w:tc>
        <w:tc>
          <w:tcPr>
            <w:tcW w:w="1348" w:type="pct"/>
            <w:vMerge w:val="continue"/>
            <w:noWrap w:val="0"/>
            <w:vAlign w:val="center"/>
          </w:tcPr>
          <w:p>
            <w:pPr>
              <w:pStyle w:val="35"/>
              <w:tabs>
                <w:tab w:val="left" w:pos="1021"/>
              </w:tabs>
              <w:rPr>
                <w:rFonts w:hint="eastAsia" w:ascii="Times New Roman" w:hAnsi="Times New Roman" w:eastAsia="宋体" w:cs="Times New Roman"/>
                <w:kern w:val="2"/>
                <w:sz w:val="21"/>
                <w:szCs w:val="21"/>
                <w:lang w:val="en-US" w:eastAsia="zh-CN" w:bidi="ar-SA"/>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0" w:type="pct"/>
            <w:vMerge w:val="continue"/>
            <w:noWrap w:val="0"/>
            <w:vAlign w:val="center"/>
          </w:tcPr>
          <w:p>
            <w:pPr>
              <w:pStyle w:val="35"/>
              <w:bidi w:val="0"/>
              <w:spacing w:line="360" w:lineRule="auto"/>
              <w:rPr>
                <w:rFonts w:hint="eastAsia"/>
                <w:sz w:val="24"/>
                <w:szCs w:val="24"/>
              </w:rPr>
            </w:pPr>
          </w:p>
        </w:tc>
        <w:tc>
          <w:tcPr>
            <w:tcW w:w="808" w:type="pct"/>
            <w:noWrap w:val="0"/>
            <w:vAlign w:val="center"/>
          </w:tcPr>
          <w:p>
            <w:pPr>
              <w:pStyle w:val="35"/>
              <w:bidi w:val="0"/>
              <w:spacing w:line="360" w:lineRule="auto"/>
              <w:rPr>
                <w:rFonts w:hint="eastAsia"/>
                <w:sz w:val="24"/>
                <w:szCs w:val="24"/>
                <w:lang w:val="en-US" w:eastAsia="zh-CN"/>
              </w:rPr>
            </w:pPr>
            <w:r>
              <w:rPr>
                <w:rFonts w:hint="eastAsia"/>
                <w:sz w:val="24"/>
                <w:szCs w:val="24"/>
              </w:rPr>
              <w:t>食堂油烟</w:t>
            </w:r>
          </w:p>
        </w:tc>
        <w:tc>
          <w:tcPr>
            <w:tcW w:w="874" w:type="pct"/>
            <w:noWrap w:val="0"/>
            <w:vAlign w:val="center"/>
          </w:tcPr>
          <w:p>
            <w:pPr>
              <w:pStyle w:val="35"/>
              <w:bidi w:val="0"/>
              <w:spacing w:line="360" w:lineRule="auto"/>
              <w:rPr>
                <w:rFonts w:hint="eastAsia"/>
                <w:sz w:val="24"/>
                <w:szCs w:val="24"/>
              </w:rPr>
            </w:pPr>
            <w:r>
              <w:rPr>
                <w:rFonts w:hint="eastAsia"/>
                <w:sz w:val="24"/>
                <w:szCs w:val="24"/>
              </w:rPr>
              <w:t>油烟</w:t>
            </w:r>
          </w:p>
        </w:tc>
        <w:tc>
          <w:tcPr>
            <w:tcW w:w="1408" w:type="pct"/>
            <w:gridSpan w:val="2"/>
            <w:noWrap w:val="0"/>
            <w:vAlign w:val="center"/>
          </w:tcPr>
          <w:p>
            <w:pPr>
              <w:pStyle w:val="35"/>
              <w:bidi w:val="0"/>
              <w:spacing w:line="360" w:lineRule="auto"/>
              <w:jc w:val="center"/>
              <w:rPr>
                <w:rFonts w:hint="eastAsia" w:ascii="Times New Roman" w:hAnsi="Times New Roman" w:eastAsia="宋体"/>
                <w:kern w:val="2"/>
                <w:sz w:val="24"/>
                <w:szCs w:val="24"/>
                <w:lang w:val="en-US" w:eastAsia="zh-CN" w:bidi="ar-SA"/>
              </w:rPr>
            </w:pPr>
            <w:r>
              <w:rPr>
                <w:sz w:val="24"/>
                <w:szCs w:val="24"/>
                <w:lang w:val="en-US"/>
              </w:rPr>
              <w:t>采用油烟净化器净化处理</w:t>
            </w:r>
          </w:p>
        </w:tc>
        <w:tc>
          <w:tcPr>
            <w:tcW w:w="1348" w:type="pct"/>
            <w:noWrap w:val="0"/>
            <w:vAlign w:val="center"/>
          </w:tcPr>
          <w:p>
            <w:pPr>
              <w:pStyle w:val="35"/>
              <w:bidi w:val="0"/>
              <w:spacing w:line="360" w:lineRule="auto"/>
              <w:rPr>
                <w:rFonts w:hint="eastAsia"/>
                <w:sz w:val="24"/>
                <w:szCs w:val="24"/>
              </w:rPr>
            </w:pPr>
            <w:r>
              <w:rPr>
                <w:rFonts w:hint="eastAsia"/>
                <w:sz w:val="24"/>
                <w:szCs w:val="24"/>
              </w:rPr>
              <w:t>《饮食业油烟排放标准》</w:t>
            </w:r>
            <w:r>
              <w:rPr>
                <w:sz w:val="24"/>
                <w:szCs w:val="24"/>
              </w:rPr>
              <w:t>(GB 18483-2001)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0" w:type="pct"/>
            <w:vMerge w:val="restart"/>
            <w:noWrap w:val="0"/>
            <w:vAlign w:val="center"/>
          </w:tcPr>
          <w:p>
            <w:pPr>
              <w:pStyle w:val="35"/>
              <w:bidi w:val="0"/>
              <w:spacing w:line="360" w:lineRule="auto"/>
              <w:rPr>
                <w:rFonts w:hint="eastAsia"/>
                <w:sz w:val="24"/>
                <w:szCs w:val="24"/>
              </w:rPr>
            </w:pPr>
            <w:r>
              <w:rPr>
                <w:rFonts w:hint="eastAsia"/>
                <w:sz w:val="24"/>
                <w:szCs w:val="24"/>
              </w:rPr>
              <w:t>地表水环境</w:t>
            </w:r>
          </w:p>
        </w:tc>
        <w:tc>
          <w:tcPr>
            <w:tcW w:w="808" w:type="pct"/>
            <w:noWrap w:val="0"/>
            <w:vAlign w:val="center"/>
          </w:tcPr>
          <w:p>
            <w:pPr>
              <w:pStyle w:val="35"/>
              <w:bidi w:val="0"/>
              <w:spacing w:line="360" w:lineRule="auto"/>
              <w:jc w:val="center"/>
              <w:rPr>
                <w:rFonts w:hint="eastAsia" w:ascii="Times New Roman" w:hAnsi="Times New Roman" w:eastAsia="宋体"/>
                <w:kern w:val="2"/>
                <w:sz w:val="24"/>
                <w:szCs w:val="24"/>
                <w:lang w:val="zh-CN" w:eastAsia="zh-CN" w:bidi="ar-SA"/>
              </w:rPr>
            </w:pPr>
            <w:r>
              <w:rPr>
                <w:rFonts w:hint="eastAsia"/>
                <w:sz w:val="24"/>
                <w:szCs w:val="24"/>
              </w:rPr>
              <w:t>生活污水</w:t>
            </w:r>
          </w:p>
        </w:tc>
        <w:tc>
          <w:tcPr>
            <w:tcW w:w="874" w:type="pct"/>
            <w:noWrap w:val="0"/>
            <w:vAlign w:val="center"/>
          </w:tcPr>
          <w:p>
            <w:pPr>
              <w:pStyle w:val="35"/>
              <w:bidi w:val="0"/>
              <w:spacing w:line="360" w:lineRule="auto"/>
              <w:rPr>
                <w:rFonts w:hint="eastAsia"/>
                <w:sz w:val="24"/>
                <w:szCs w:val="24"/>
              </w:rPr>
            </w:pPr>
            <w:r>
              <w:rPr>
                <w:sz w:val="24"/>
                <w:szCs w:val="24"/>
              </w:rPr>
              <w:t>COD</w:t>
            </w:r>
            <w:r>
              <w:rPr>
                <w:rFonts w:hint="eastAsia"/>
                <w:sz w:val="24"/>
                <w:szCs w:val="24"/>
              </w:rPr>
              <w:t>、</w:t>
            </w:r>
            <w:r>
              <w:rPr>
                <w:sz w:val="24"/>
                <w:szCs w:val="24"/>
              </w:rPr>
              <w:t>NH</w:t>
            </w:r>
            <w:r>
              <w:rPr>
                <w:sz w:val="24"/>
                <w:szCs w:val="24"/>
                <w:vertAlign w:val="subscript"/>
              </w:rPr>
              <w:t>3</w:t>
            </w:r>
            <w:r>
              <w:rPr>
                <w:sz w:val="24"/>
                <w:szCs w:val="24"/>
              </w:rPr>
              <w:t>-N</w:t>
            </w:r>
            <w:r>
              <w:rPr>
                <w:rFonts w:hint="eastAsia"/>
                <w:sz w:val="24"/>
                <w:szCs w:val="24"/>
              </w:rPr>
              <w:t>、</w:t>
            </w:r>
            <w:r>
              <w:rPr>
                <w:sz w:val="24"/>
                <w:szCs w:val="24"/>
              </w:rPr>
              <w:t>BOD</w:t>
            </w:r>
            <w:r>
              <w:rPr>
                <w:sz w:val="24"/>
                <w:szCs w:val="24"/>
                <w:vertAlign w:val="subscript"/>
              </w:rPr>
              <w:t>5</w:t>
            </w:r>
            <w:r>
              <w:rPr>
                <w:rFonts w:hint="eastAsia"/>
                <w:sz w:val="24"/>
                <w:szCs w:val="24"/>
              </w:rPr>
              <w:t>、</w:t>
            </w:r>
            <w:r>
              <w:rPr>
                <w:sz w:val="24"/>
                <w:szCs w:val="24"/>
              </w:rPr>
              <w:t>SS</w:t>
            </w:r>
          </w:p>
        </w:tc>
        <w:tc>
          <w:tcPr>
            <w:tcW w:w="1408" w:type="pct"/>
            <w:gridSpan w:val="2"/>
            <w:noWrap w:val="0"/>
            <w:vAlign w:val="center"/>
          </w:tcPr>
          <w:p>
            <w:pPr>
              <w:pStyle w:val="35"/>
              <w:bidi w:val="0"/>
              <w:spacing w:line="360" w:lineRule="auto"/>
              <w:jc w:val="center"/>
              <w:rPr>
                <w:rFonts w:hint="eastAsia" w:ascii="Times New Roman" w:hAnsi="Times New Roman" w:eastAsia="宋体"/>
                <w:kern w:val="2"/>
                <w:sz w:val="24"/>
                <w:szCs w:val="24"/>
                <w:lang w:val="zh-CN" w:eastAsia="zh-CN" w:bidi="ar-SA"/>
              </w:rPr>
            </w:pPr>
            <w:r>
              <w:rPr>
                <w:rFonts w:hint="eastAsia"/>
                <w:sz w:val="24"/>
                <w:szCs w:val="24"/>
              </w:rPr>
              <w:t>化粪池</w:t>
            </w:r>
          </w:p>
        </w:tc>
        <w:tc>
          <w:tcPr>
            <w:tcW w:w="1348" w:type="pct"/>
            <w:vMerge w:val="restart"/>
            <w:noWrap w:val="0"/>
            <w:vAlign w:val="center"/>
          </w:tcPr>
          <w:p>
            <w:pPr>
              <w:pStyle w:val="35"/>
              <w:bidi w:val="0"/>
              <w:spacing w:line="360" w:lineRule="auto"/>
              <w:rPr>
                <w:rFonts w:hint="eastAsia"/>
                <w:sz w:val="24"/>
                <w:szCs w:val="24"/>
              </w:rPr>
            </w:pPr>
            <w:r>
              <w:rPr>
                <w:rFonts w:hint="eastAsia"/>
                <w:sz w:val="24"/>
                <w:szCs w:val="24"/>
              </w:rPr>
              <w:t>《污水综合排放标准》（GB8978-1996）表4中三级排放标准限值</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0" w:type="pct"/>
            <w:vMerge w:val="continue"/>
            <w:noWrap w:val="0"/>
            <w:vAlign w:val="center"/>
          </w:tcPr>
          <w:p>
            <w:pPr>
              <w:pStyle w:val="35"/>
              <w:bidi w:val="0"/>
              <w:spacing w:line="360" w:lineRule="auto"/>
              <w:rPr>
                <w:rFonts w:hint="eastAsia"/>
                <w:sz w:val="24"/>
                <w:szCs w:val="24"/>
              </w:rPr>
            </w:pPr>
          </w:p>
        </w:tc>
        <w:tc>
          <w:tcPr>
            <w:tcW w:w="808" w:type="pct"/>
            <w:noWrap w:val="0"/>
            <w:vAlign w:val="center"/>
          </w:tcPr>
          <w:p>
            <w:pPr>
              <w:pStyle w:val="35"/>
              <w:bidi w:val="0"/>
              <w:spacing w:line="360" w:lineRule="auto"/>
              <w:jc w:val="center"/>
              <w:rPr>
                <w:rFonts w:hint="eastAsia" w:ascii="Times New Roman" w:hAnsi="Times New Roman" w:eastAsia="宋体"/>
                <w:kern w:val="2"/>
                <w:sz w:val="24"/>
                <w:szCs w:val="24"/>
                <w:lang w:val="zh-CN" w:eastAsia="zh-CN" w:bidi="ar-SA"/>
              </w:rPr>
            </w:pPr>
            <w:r>
              <w:rPr>
                <w:sz w:val="24"/>
                <w:szCs w:val="24"/>
              </w:rPr>
              <w:t>初期雨水</w:t>
            </w:r>
            <w:r>
              <w:rPr>
                <w:rFonts w:hint="eastAsia"/>
                <w:sz w:val="24"/>
                <w:szCs w:val="24"/>
              </w:rPr>
              <w:t>、</w:t>
            </w:r>
            <w:r>
              <w:rPr>
                <w:sz w:val="24"/>
                <w:szCs w:val="24"/>
              </w:rPr>
              <w:t>地面</w:t>
            </w:r>
            <w:r>
              <w:rPr>
                <w:rFonts w:hint="eastAsia"/>
                <w:sz w:val="24"/>
                <w:szCs w:val="24"/>
                <w:lang w:eastAsia="zh-CN"/>
              </w:rPr>
              <w:t>清洁</w:t>
            </w:r>
            <w:r>
              <w:rPr>
                <w:sz w:val="24"/>
                <w:szCs w:val="24"/>
              </w:rPr>
              <w:t>废水</w:t>
            </w:r>
            <w:r>
              <w:rPr>
                <w:rFonts w:hint="eastAsia"/>
                <w:sz w:val="24"/>
                <w:szCs w:val="24"/>
                <w:lang w:eastAsia="zh-CN"/>
              </w:rPr>
              <w:t>、</w:t>
            </w:r>
            <w:r>
              <w:rPr>
                <w:rFonts w:hint="eastAsia"/>
                <w:sz w:val="24"/>
                <w:szCs w:val="24"/>
              </w:rPr>
              <w:t>洗车废水</w:t>
            </w:r>
          </w:p>
        </w:tc>
        <w:tc>
          <w:tcPr>
            <w:tcW w:w="874" w:type="pct"/>
            <w:noWrap w:val="0"/>
            <w:vAlign w:val="center"/>
          </w:tcPr>
          <w:p>
            <w:pPr>
              <w:pStyle w:val="35"/>
              <w:bidi w:val="0"/>
              <w:spacing w:line="360" w:lineRule="auto"/>
              <w:rPr>
                <w:rFonts w:hint="eastAsia"/>
                <w:sz w:val="24"/>
                <w:szCs w:val="24"/>
              </w:rPr>
            </w:pPr>
            <w:r>
              <w:rPr>
                <w:sz w:val="24"/>
                <w:szCs w:val="24"/>
              </w:rPr>
              <w:t>SS</w:t>
            </w:r>
            <w:r>
              <w:rPr>
                <w:rFonts w:hint="eastAsia"/>
                <w:sz w:val="24"/>
                <w:szCs w:val="24"/>
              </w:rPr>
              <w:t>、石油类</w:t>
            </w:r>
          </w:p>
        </w:tc>
        <w:tc>
          <w:tcPr>
            <w:tcW w:w="1408" w:type="pct"/>
            <w:gridSpan w:val="2"/>
            <w:noWrap w:val="0"/>
            <w:vAlign w:val="center"/>
          </w:tcPr>
          <w:p>
            <w:pPr>
              <w:pStyle w:val="35"/>
              <w:bidi w:val="0"/>
              <w:spacing w:line="360" w:lineRule="auto"/>
              <w:jc w:val="center"/>
              <w:rPr>
                <w:rFonts w:hint="eastAsia" w:ascii="Times New Roman" w:hAnsi="Times New Roman" w:eastAsia="宋体"/>
                <w:kern w:val="2"/>
                <w:sz w:val="24"/>
                <w:szCs w:val="24"/>
                <w:lang w:val="zh-CN" w:eastAsia="zh-CN" w:bidi="ar-SA"/>
              </w:rPr>
            </w:pPr>
            <w:r>
              <w:rPr>
                <w:rFonts w:hint="eastAsia" w:ascii="Times New Roman" w:hAnsi="Times New Roman" w:eastAsia="宋体" w:cs="Times New Roman"/>
                <w:sz w:val="24"/>
                <w:szCs w:val="24"/>
              </w:rPr>
              <w:t>隔油沉淀池</w:t>
            </w:r>
          </w:p>
        </w:tc>
        <w:tc>
          <w:tcPr>
            <w:tcW w:w="1348" w:type="pct"/>
            <w:vMerge w:val="continue"/>
            <w:noWrap w:val="0"/>
            <w:vAlign w:val="center"/>
          </w:tcPr>
          <w:p>
            <w:pPr>
              <w:pStyle w:val="35"/>
              <w:bidi w:val="0"/>
              <w:spacing w:line="360" w:lineRule="auto"/>
              <w:rPr>
                <w:rFonts w:hint="eastAsia"/>
                <w:sz w:val="24"/>
                <w:szCs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0" w:type="pct"/>
            <w:noWrap w:val="0"/>
            <w:vAlign w:val="center"/>
          </w:tcPr>
          <w:p>
            <w:pPr>
              <w:pStyle w:val="35"/>
              <w:bidi w:val="0"/>
              <w:spacing w:line="360" w:lineRule="auto"/>
              <w:rPr>
                <w:rFonts w:hint="eastAsia"/>
                <w:sz w:val="24"/>
                <w:szCs w:val="24"/>
              </w:rPr>
            </w:pPr>
            <w:r>
              <w:rPr>
                <w:rFonts w:hint="eastAsia"/>
                <w:sz w:val="24"/>
                <w:szCs w:val="24"/>
              </w:rPr>
              <w:t>声环境</w:t>
            </w:r>
          </w:p>
        </w:tc>
        <w:tc>
          <w:tcPr>
            <w:tcW w:w="1682" w:type="pct"/>
            <w:gridSpan w:val="2"/>
            <w:noWrap w:val="0"/>
            <w:vAlign w:val="center"/>
          </w:tcPr>
          <w:p>
            <w:pPr>
              <w:pStyle w:val="35"/>
              <w:bidi w:val="0"/>
              <w:spacing w:line="360" w:lineRule="auto"/>
              <w:rPr>
                <w:rFonts w:hint="eastAsia"/>
                <w:sz w:val="24"/>
                <w:szCs w:val="24"/>
                <w:lang w:eastAsia="zh-CN"/>
              </w:rPr>
            </w:pPr>
            <w:r>
              <w:rPr>
                <w:rFonts w:hint="eastAsia"/>
                <w:sz w:val="24"/>
                <w:szCs w:val="24"/>
                <w:lang w:eastAsia="zh-CN"/>
              </w:rPr>
              <w:t>设备噪声</w:t>
            </w:r>
          </w:p>
        </w:tc>
        <w:tc>
          <w:tcPr>
            <w:tcW w:w="1408" w:type="pct"/>
            <w:gridSpan w:val="2"/>
            <w:noWrap w:val="0"/>
            <w:vAlign w:val="center"/>
          </w:tcPr>
          <w:p>
            <w:pPr>
              <w:pStyle w:val="35"/>
              <w:bidi w:val="0"/>
              <w:spacing w:line="360" w:lineRule="auto"/>
              <w:jc w:val="center"/>
              <w:rPr>
                <w:rFonts w:hint="eastAsia" w:ascii="Times New Roman" w:hAnsi="Times New Roman" w:eastAsia="宋体"/>
                <w:kern w:val="2"/>
                <w:sz w:val="24"/>
                <w:szCs w:val="24"/>
                <w:lang w:val="en-US" w:eastAsia="zh-CN" w:bidi="ar-SA"/>
              </w:rPr>
            </w:pPr>
            <w:r>
              <w:rPr>
                <w:sz w:val="24"/>
                <w:szCs w:val="24"/>
              </w:rPr>
              <w:t>隔声、消声、减振，车辆进站时减速、禁止鸣笛</w:t>
            </w:r>
            <w:r>
              <w:rPr>
                <w:rFonts w:hint="eastAsia"/>
                <w:sz w:val="24"/>
                <w:szCs w:val="24"/>
                <w:lang w:val="en-US" w:eastAsia="zh-CN"/>
              </w:rPr>
              <w:t>。</w:t>
            </w:r>
          </w:p>
        </w:tc>
        <w:tc>
          <w:tcPr>
            <w:tcW w:w="1348" w:type="pct"/>
            <w:noWrap w:val="0"/>
            <w:vAlign w:val="center"/>
          </w:tcPr>
          <w:p>
            <w:pPr>
              <w:pStyle w:val="35"/>
              <w:bidi w:val="0"/>
              <w:spacing w:line="360" w:lineRule="auto"/>
              <w:jc w:val="center"/>
              <w:rPr>
                <w:rFonts w:hint="eastAsia" w:ascii="Times New Roman" w:hAnsi="Times New Roman" w:eastAsia="宋体"/>
                <w:kern w:val="2"/>
                <w:sz w:val="24"/>
                <w:szCs w:val="24"/>
                <w:lang w:val="en-US" w:eastAsia="zh-CN" w:bidi="ar-SA"/>
              </w:rPr>
            </w:pPr>
            <w:r>
              <w:rPr>
                <w:sz w:val="24"/>
                <w:szCs w:val="24"/>
              </w:rPr>
              <w:t xml:space="preserve">《工业企业厂界环境噪声排放标准》（GB12348-2008）中 </w:t>
            </w:r>
            <w:r>
              <w:rPr>
                <w:rFonts w:hint="eastAsia"/>
                <w:sz w:val="24"/>
                <w:szCs w:val="24"/>
                <w:lang w:val="en-US" w:eastAsia="zh-CN"/>
              </w:rPr>
              <w:t>2</w:t>
            </w:r>
            <w:r>
              <w:rPr>
                <w:sz w:val="24"/>
                <w:szCs w:val="24"/>
              </w:rPr>
              <w:t>类、4 类</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0" w:type="pct"/>
            <w:vMerge w:val="restart"/>
            <w:noWrap w:val="0"/>
            <w:vAlign w:val="center"/>
          </w:tcPr>
          <w:p>
            <w:pPr>
              <w:pStyle w:val="35"/>
              <w:bidi w:val="0"/>
              <w:spacing w:line="360" w:lineRule="auto"/>
              <w:rPr>
                <w:rFonts w:hint="eastAsia"/>
                <w:sz w:val="24"/>
                <w:szCs w:val="24"/>
              </w:rPr>
            </w:pPr>
            <w:r>
              <w:rPr>
                <w:rFonts w:hint="eastAsia"/>
                <w:sz w:val="24"/>
                <w:szCs w:val="24"/>
              </w:rPr>
              <w:t>固体废物</w:t>
            </w:r>
          </w:p>
        </w:tc>
        <w:tc>
          <w:tcPr>
            <w:tcW w:w="808" w:type="pct"/>
            <w:vMerge w:val="restart"/>
            <w:noWrap w:val="0"/>
            <w:vAlign w:val="center"/>
          </w:tcPr>
          <w:p>
            <w:pPr>
              <w:pStyle w:val="35"/>
              <w:tabs>
                <w:tab w:val="left" w:pos="1021"/>
              </w:tabs>
              <w:rPr>
                <w:rFonts w:hint="eastAsia" w:ascii="Times New Roman" w:hAnsi="Times New Roman" w:eastAsia="宋体" w:cs="Times New Roman"/>
                <w:kern w:val="2"/>
                <w:sz w:val="24"/>
                <w:szCs w:val="24"/>
                <w:lang w:val="en-US" w:eastAsia="zh-CN" w:bidi="ar-SA"/>
              </w:rPr>
            </w:pPr>
            <w:r>
              <w:rPr>
                <w:sz w:val="24"/>
                <w:szCs w:val="24"/>
              </w:rPr>
              <w:t>危险废物</w:t>
            </w:r>
          </w:p>
        </w:tc>
        <w:tc>
          <w:tcPr>
            <w:tcW w:w="876" w:type="pct"/>
            <w:gridSpan w:val="2"/>
            <w:noWrap w:val="0"/>
            <w:vAlign w:val="center"/>
          </w:tcPr>
          <w:p>
            <w:pPr>
              <w:pStyle w:val="35"/>
              <w:tabs>
                <w:tab w:val="left" w:pos="1021"/>
              </w:tabs>
              <w:rPr>
                <w:rFonts w:hint="eastAsia" w:ascii="Times New Roman" w:hAnsi="Times New Roman" w:eastAsia="宋体" w:cs="Times New Roman"/>
                <w:kern w:val="2"/>
                <w:sz w:val="24"/>
                <w:szCs w:val="24"/>
                <w:lang w:val="en-US" w:eastAsia="zh-CN" w:bidi="ar-SA"/>
              </w:rPr>
            </w:pPr>
            <w:r>
              <w:rPr>
                <w:sz w:val="24"/>
                <w:szCs w:val="24"/>
              </w:rPr>
              <w:t>含油废物、隔油池废油</w:t>
            </w:r>
          </w:p>
        </w:tc>
        <w:tc>
          <w:tcPr>
            <w:tcW w:w="1406" w:type="pct"/>
            <w:noWrap w:val="0"/>
            <w:vAlign w:val="center"/>
          </w:tcPr>
          <w:p>
            <w:pPr>
              <w:pStyle w:val="35"/>
              <w:tabs>
                <w:tab w:val="left" w:pos="1021"/>
              </w:tabs>
              <w:rPr>
                <w:rFonts w:hint="eastAsia" w:ascii="Times New Roman" w:hAnsi="Times New Roman" w:eastAsia="宋体" w:cs="Times New Roman"/>
                <w:kern w:val="2"/>
                <w:sz w:val="24"/>
                <w:szCs w:val="24"/>
                <w:lang w:val="en-US" w:eastAsia="zh-CN" w:bidi="ar-SA"/>
              </w:rPr>
            </w:pPr>
            <w:r>
              <w:rPr>
                <w:sz w:val="24"/>
                <w:szCs w:val="24"/>
              </w:rPr>
              <w:t>统一收集交由有资质单位拉运处理处置</w:t>
            </w:r>
          </w:p>
        </w:tc>
        <w:tc>
          <w:tcPr>
            <w:tcW w:w="1348" w:type="pct"/>
            <w:vMerge w:val="restart"/>
            <w:noWrap w:val="0"/>
            <w:vAlign w:val="center"/>
          </w:tcPr>
          <w:p>
            <w:pPr>
              <w:pStyle w:val="35"/>
              <w:tabs>
                <w:tab w:val="left" w:pos="1021"/>
              </w:tabs>
              <w:rPr>
                <w:sz w:val="24"/>
                <w:szCs w:val="24"/>
              </w:rPr>
            </w:pPr>
            <w:r>
              <w:rPr>
                <w:sz w:val="24"/>
                <w:szCs w:val="24"/>
              </w:rPr>
              <w:t>《危险废物贮存污染控制标准》</w:t>
            </w:r>
          </w:p>
          <w:p>
            <w:pPr>
              <w:pStyle w:val="35"/>
              <w:bidi w:val="0"/>
              <w:spacing w:line="360" w:lineRule="auto"/>
              <w:jc w:val="center"/>
              <w:rPr>
                <w:rFonts w:hint="eastAsia"/>
                <w:sz w:val="24"/>
                <w:szCs w:val="24"/>
              </w:rPr>
            </w:pPr>
            <w:r>
              <w:rPr>
                <w:sz w:val="24"/>
                <w:szCs w:val="24"/>
              </w:rPr>
              <w:t>（GB18597-2001）及其2013年修改单</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0" w:type="pct"/>
            <w:vMerge w:val="continue"/>
            <w:noWrap w:val="0"/>
            <w:vAlign w:val="center"/>
          </w:tcPr>
          <w:p>
            <w:pPr>
              <w:pStyle w:val="35"/>
              <w:bidi w:val="0"/>
              <w:spacing w:line="360" w:lineRule="auto"/>
              <w:rPr>
                <w:rFonts w:hint="eastAsia"/>
                <w:sz w:val="24"/>
                <w:szCs w:val="24"/>
              </w:rPr>
            </w:pPr>
          </w:p>
        </w:tc>
        <w:tc>
          <w:tcPr>
            <w:tcW w:w="808" w:type="pct"/>
            <w:vMerge w:val="continue"/>
            <w:noWrap w:val="0"/>
            <w:vAlign w:val="center"/>
          </w:tcPr>
          <w:p>
            <w:pPr>
              <w:pStyle w:val="35"/>
              <w:tabs>
                <w:tab w:val="left" w:pos="1021"/>
              </w:tabs>
              <w:rPr>
                <w:rFonts w:hint="eastAsia" w:ascii="Times New Roman" w:hAnsi="Times New Roman" w:eastAsia="宋体" w:cs="Times New Roman"/>
                <w:kern w:val="2"/>
                <w:sz w:val="24"/>
                <w:szCs w:val="24"/>
                <w:lang w:val="en-US" w:eastAsia="zh-CN" w:bidi="ar-SA"/>
              </w:rPr>
            </w:pPr>
          </w:p>
        </w:tc>
        <w:tc>
          <w:tcPr>
            <w:tcW w:w="876" w:type="pct"/>
            <w:gridSpan w:val="2"/>
            <w:noWrap w:val="0"/>
            <w:vAlign w:val="center"/>
          </w:tcPr>
          <w:p>
            <w:pPr>
              <w:pStyle w:val="35"/>
              <w:tabs>
                <w:tab w:val="left" w:pos="1021"/>
              </w:tabs>
              <w:rPr>
                <w:rFonts w:hint="eastAsia" w:ascii="Times New Roman" w:hAnsi="Times New Roman" w:eastAsia="宋体" w:cs="Times New Roman"/>
                <w:kern w:val="2"/>
                <w:sz w:val="24"/>
                <w:szCs w:val="24"/>
                <w:lang w:val="en-US" w:eastAsia="zh-CN" w:bidi="ar-SA"/>
              </w:rPr>
            </w:pPr>
            <w:r>
              <w:rPr>
                <w:sz w:val="24"/>
                <w:szCs w:val="24"/>
              </w:rPr>
              <w:t>油罐清洗油泥等</w:t>
            </w:r>
          </w:p>
        </w:tc>
        <w:tc>
          <w:tcPr>
            <w:tcW w:w="1406" w:type="pct"/>
            <w:noWrap w:val="0"/>
            <w:vAlign w:val="center"/>
          </w:tcPr>
          <w:p>
            <w:pPr>
              <w:pStyle w:val="35"/>
              <w:tabs>
                <w:tab w:val="left" w:pos="1021"/>
              </w:tabs>
              <w:rPr>
                <w:rFonts w:hint="eastAsia" w:ascii="Times New Roman" w:hAnsi="Times New Roman" w:eastAsia="宋体" w:cs="Times New Roman"/>
                <w:kern w:val="2"/>
                <w:sz w:val="24"/>
                <w:szCs w:val="24"/>
                <w:lang w:val="en-US" w:eastAsia="zh-CN" w:bidi="ar-SA"/>
              </w:rPr>
            </w:pPr>
            <w:r>
              <w:rPr>
                <w:sz w:val="24"/>
                <w:szCs w:val="24"/>
              </w:rPr>
              <w:t>由有资质清洗单位拉运处理处置</w:t>
            </w:r>
          </w:p>
        </w:tc>
        <w:tc>
          <w:tcPr>
            <w:tcW w:w="1348" w:type="pct"/>
            <w:vMerge w:val="continue"/>
            <w:noWrap w:val="0"/>
            <w:vAlign w:val="center"/>
          </w:tcPr>
          <w:p>
            <w:pPr>
              <w:pStyle w:val="35"/>
              <w:bidi w:val="0"/>
              <w:spacing w:line="360" w:lineRule="auto"/>
              <w:rPr>
                <w:rFonts w:hint="eastAsia"/>
                <w:sz w:val="24"/>
                <w:szCs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0" w:type="pct"/>
            <w:vMerge w:val="continue"/>
            <w:noWrap w:val="0"/>
            <w:vAlign w:val="center"/>
          </w:tcPr>
          <w:p>
            <w:pPr>
              <w:pStyle w:val="35"/>
              <w:bidi w:val="0"/>
              <w:spacing w:line="360" w:lineRule="auto"/>
              <w:rPr>
                <w:rFonts w:hint="eastAsia"/>
                <w:sz w:val="24"/>
                <w:szCs w:val="24"/>
              </w:rPr>
            </w:pPr>
          </w:p>
        </w:tc>
        <w:tc>
          <w:tcPr>
            <w:tcW w:w="808" w:type="pct"/>
            <w:noWrap w:val="0"/>
            <w:vAlign w:val="center"/>
          </w:tcPr>
          <w:p>
            <w:pPr>
              <w:pStyle w:val="35"/>
              <w:bidi w:val="0"/>
              <w:spacing w:line="360" w:lineRule="auto"/>
              <w:jc w:val="center"/>
              <w:rPr>
                <w:rFonts w:hint="eastAsia" w:ascii="Times New Roman" w:hAnsi="Times New Roman" w:eastAsia="宋体"/>
                <w:kern w:val="2"/>
                <w:sz w:val="24"/>
                <w:szCs w:val="24"/>
                <w:lang w:val="en-US" w:eastAsia="zh-CN" w:bidi="ar-SA"/>
              </w:rPr>
            </w:pPr>
            <w:r>
              <w:rPr>
                <w:rFonts w:hint="eastAsia" w:ascii="Times New Roman" w:hAnsi="Times New Roman" w:eastAsia="宋体" w:cs="Times New Roman"/>
                <w:sz w:val="24"/>
                <w:szCs w:val="24"/>
                <w:lang w:eastAsia="zh-CN"/>
              </w:rPr>
              <w:t>生活办公</w:t>
            </w:r>
          </w:p>
        </w:tc>
        <w:tc>
          <w:tcPr>
            <w:tcW w:w="876" w:type="pct"/>
            <w:gridSpan w:val="2"/>
            <w:noWrap w:val="0"/>
            <w:vAlign w:val="center"/>
          </w:tcPr>
          <w:p>
            <w:pPr>
              <w:pStyle w:val="35"/>
              <w:bidi w:val="0"/>
              <w:spacing w:line="360" w:lineRule="auto"/>
              <w:jc w:val="center"/>
              <w:rPr>
                <w:rFonts w:hint="eastAsia" w:eastAsia="宋体"/>
                <w:sz w:val="24"/>
                <w:szCs w:val="24"/>
                <w:lang w:eastAsia="zh-CN"/>
              </w:rPr>
            </w:pPr>
            <w:r>
              <w:rPr>
                <w:rFonts w:hint="eastAsia"/>
                <w:sz w:val="24"/>
                <w:szCs w:val="24"/>
                <w:lang w:eastAsia="zh-CN"/>
              </w:rPr>
              <w:t>生活垃圾</w:t>
            </w:r>
          </w:p>
        </w:tc>
        <w:tc>
          <w:tcPr>
            <w:tcW w:w="1406" w:type="pct"/>
            <w:noWrap w:val="0"/>
            <w:vAlign w:val="center"/>
          </w:tcPr>
          <w:p>
            <w:pPr>
              <w:pStyle w:val="35"/>
              <w:bidi w:val="0"/>
              <w:spacing w:line="360" w:lineRule="auto"/>
              <w:jc w:val="center"/>
              <w:rPr>
                <w:rFonts w:hint="eastAsia" w:ascii="Times New Roman" w:hAnsi="Times New Roman" w:eastAsia="宋体"/>
                <w:kern w:val="2"/>
                <w:sz w:val="24"/>
                <w:szCs w:val="24"/>
                <w:lang w:val="en-US" w:eastAsia="zh-CN" w:bidi="ar-SA"/>
              </w:rPr>
            </w:pPr>
            <w:r>
              <w:rPr>
                <w:sz w:val="24"/>
                <w:szCs w:val="24"/>
              </w:rPr>
              <w:t>垃圾箱/桶，环卫部门定时清运</w:t>
            </w:r>
          </w:p>
        </w:tc>
        <w:tc>
          <w:tcPr>
            <w:tcW w:w="1348" w:type="pct"/>
            <w:noWrap w:val="0"/>
            <w:vAlign w:val="center"/>
          </w:tcPr>
          <w:p>
            <w:pPr>
              <w:pStyle w:val="35"/>
              <w:bidi w:val="0"/>
              <w:spacing w:line="360" w:lineRule="auto"/>
              <w:jc w:val="center"/>
              <w:rPr>
                <w:rFonts w:hint="eastAsia" w:ascii="Times New Roman" w:hAnsi="Times New Roman" w:eastAsia="宋体"/>
                <w:kern w:val="2"/>
                <w:sz w:val="24"/>
                <w:szCs w:val="24"/>
                <w:lang w:val="en-US" w:eastAsia="zh-CN" w:bidi="ar-SA"/>
              </w:rPr>
            </w:pPr>
            <w:r>
              <w:rPr>
                <w:sz w:val="24"/>
                <w:szCs w:val="24"/>
              </w:rPr>
              <w:t>《生活垃圾填埋场污染控制标准》（GB16889-2008）要求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0" w:type="pct"/>
            <w:noWrap w:val="0"/>
            <w:vAlign w:val="center"/>
          </w:tcPr>
          <w:p>
            <w:pPr>
              <w:pStyle w:val="35"/>
              <w:bidi w:val="0"/>
              <w:spacing w:line="360" w:lineRule="auto"/>
              <w:rPr>
                <w:rFonts w:hint="eastAsia"/>
                <w:sz w:val="24"/>
                <w:szCs w:val="24"/>
                <w:lang w:val="en-US" w:eastAsia="zh-CN"/>
              </w:rPr>
            </w:pPr>
            <w:r>
              <w:rPr>
                <w:rFonts w:hint="eastAsia"/>
                <w:sz w:val="24"/>
                <w:szCs w:val="24"/>
              </w:rPr>
              <w:t>电磁辐射</w:t>
            </w:r>
          </w:p>
        </w:tc>
        <w:tc>
          <w:tcPr>
            <w:tcW w:w="808" w:type="pct"/>
            <w:noWrap w:val="0"/>
            <w:vAlign w:val="center"/>
          </w:tcPr>
          <w:p>
            <w:pPr>
              <w:pStyle w:val="35"/>
              <w:bidi w:val="0"/>
              <w:spacing w:line="360" w:lineRule="auto"/>
              <w:rPr>
                <w:rFonts w:hint="eastAsia"/>
                <w:sz w:val="24"/>
                <w:szCs w:val="24"/>
                <w:lang w:val="en-US" w:eastAsia="zh-CN"/>
              </w:rPr>
            </w:pPr>
            <w:r>
              <w:rPr>
                <w:rFonts w:hint="eastAsia"/>
                <w:sz w:val="24"/>
                <w:szCs w:val="24"/>
                <w:lang w:val="en-US" w:eastAsia="zh-CN"/>
              </w:rPr>
              <w:t>/</w:t>
            </w:r>
          </w:p>
        </w:tc>
        <w:tc>
          <w:tcPr>
            <w:tcW w:w="876" w:type="pct"/>
            <w:gridSpan w:val="2"/>
            <w:noWrap w:val="0"/>
            <w:vAlign w:val="center"/>
          </w:tcPr>
          <w:p>
            <w:pPr>
              <w:pStyle w:val="35"/>
              <w:bidi w:val="0"/>
              <w:spacing w:line="360" w:lineRule="auto"/>
              <w:rPr>
                <w:rFonts w:hint="eastAsia"/>
                <w:sz w:val="24"/>
                <w:szCs w:val="24"/>
                <w:lang w:val="en-US" w:eastAsia="zh-CN"/>
              </w:rPr>
            </w:pPr>
            <w:r>
              <w:rPr>
                <w:rFonts w:hint="eastAsia"/>
                <w:sz w:val="24"/>
                <w:szCs w:val="24"/>
                <w:lang w:val="en-US" w:eastAsia="zh-CN"/>
              </w:rPr>
              <w:t>/</w:t>
            </w:r>
          </w:p>
        </w:tc>
        <w:tc>
          <w:tcPr>
            <w:tcW w:w="1406" w:type="pct"/>
            <w:noWrap w:val="0"/>
            <w:vAlign w:val="center"/>
          </w:tcPr>
          <w:p>
            <w:pPr>
              <w:pStyle w:val="35"/>
              <w:bidi w:val="0"/>
              <w:spacing w:line="360" w:lineRule="auto"/>
              <w:rPr>
                <w:rFonts w:hint="eastAsia"/>
                <w:sz w:val="24"/>
                <w:szCs w:val="24"/>
                <w:lang w:val="en-US" w:eastAsia="zh-CN"/>
              </w:rPr>
            </w:pPr>
            <w:r>
              <w:rPr>
                <w:rFonts w:hint="eastAsia"/>
                <w:sz w:val="24"/>
                <w:szCs w:val="24"/>
                <w:lang w:val="en-US" w:eastAsia="zh-CN"/>
              </w:rPr>
              <w:t>/</w:t>
            </w:r>
          </w:p>
        </w:tc>
        <w:tc>
          <w:tcPr>
            <w:tcW w:w="1348" w:type="pct"/>
            <w:noWrap w:val="0"/>
            <w:vAlign w:val="center"/>
          </w:tcPr>
          <w:p>
            <w:pPr>
              <w:pStyle w:val="35"/>
              <w:bidi w:val="0"/>
              <w:spacing w:line="360" w:lineRule="auto"/>
              <w:rPr>
                <w:rFonts w:hint="eastAsia"/>
                <w:sz w:val="24"/>
                <w:szCs w:val="24"/>
                <w:lang w:val="en-US" w:eastAsia="zh-CN"/>
              </w:rPr>
            </w:pPr>
            <w:r>
              <w:rPr>
                <w:rFonts w:hint="eastAsia"/>
                <w:sz w:val="24"/>
                <w:szCs w:val="24"/>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0" w:type="pct"/>
            <w:noWrap w:val="0"/>
            <w:vAlign w:val="center"/>
          </w:tcPr>
          <w:p>
            <w:pPr>
              <w:pStyle w:val="35"/>
              <w:bidi w:val="0"/>
              <w:spacing w:line="360" w:lineRule="auto"/>
              <w:rPr>
                <w:rFonts w:hint="eastAsia"/>
                <w:sz w:val="24"/>
                <w:szCs w:val="24"/>
              </w:rPr>
            </w:pPr>
            <w:r>
              <w:rPr>
                <w:rFonts w:hint="eastAsia"/>
                <w:sz w:val="24"/>
                <w:szCs w:val="24"/>
              </w:rPr>
              <w:t>土壤及地下水污染防治措施</w:t>
            </w:r>
          </w:p>
        </w:tc>
        <w:tc>
          <w:tcPr>
            <w:tcW w:w="4439" w:type="pct"/>
            <w:gridSpan w:val="5"/>
            <w:noWrap w:val="0"/>
            <w:vAlign w:val="top"/>
          </w:tcPr>
          <w:p>
            <w:pPr>
              <w:pStyle w:val="14"/>
              <w:bidi w:val="0"/>
              <w:rPr>
                <w:rFonts w:hint="eastAsia" w:eastAsia="宋体"/>
                <w:szCs w:val="24"/>
                <w:lang w:eastAsia="zh-CN"/>
              </w:rPr>
            </w:pPr>
            <w:r>
              <w:rPr>
                <w:rFonts w:hint="eastAsia"/>
                <w:lang w:val="en-US" w:eastAsia="zh-CN"/>
              </w:rPr>
              <w:t>采用SF双层埋地油罐并加设防渗围堰，油罐周围回填沙子，埋地油罐区设置渗漏检测仪，站内配有电子液位计。采用双层管道埋地敷设，站内埋地油罐区设置1个防渗观测井，站外地下水流向设置1个地下水监测井，定期开展监测。</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0" w:type="pct"/>
            <w:noWrap w:val="0"/>
            <w:vAlign w:val="center"/>
          </w:tcPr>
          <w:p>
            <w:pPr>
              <w:pStyle w:val="35"/>
              <w:bidi w:val="0"/>
              <w:spacing w:line="360" w:lineRule="auto"/>
              <w:rPr>
                <w:rFonts w:hint="eastAsia"/>
                <w:sz w:val="24"/>
                <w:szCs w:val="24"/>
              </w:rPr>
            </w:pPr>
            <w:r>
              <w:rPr>
                <w:rFonts w:hint="eastAsia"/>
                <w:sz w:val="24"/>
                <w:szCs w:val="24"/>
              </w:rPr>
              <w:t>生态保护措施</w:t>
            </w:r>
          </w:p>
        </w:tc>
        <w:tc>
          <w:tcPr>
            <w:tcW w:w="4439" w:type="pct"/>
            <w:gridSpan w:val="5"/>
            <w:noWrap w:val="0"/>
            <w:vAlign w:val="center"/>
          </w:tcPr>
          <w:p>
            <w:pPr>
              <w:pStyle w:val="35"/>
              <w:bidi w:val="0"/>
              <w:spacing w:line="360" w:lineRule="auto"/>
              <w:rPr>
                <w:rFonts w:hint="eastAsia" w:eastAsia="宋体"/>
                <w:sz w:val="24"/>
                <w:szCs w:val="24"/>
                <w:lang w:eastAsia="zh-CN"/>
              </w:rPr>
            </w:pPr>
            <w:r>
              <w:rPr>
                <w:rFonts w:hint="eastAsia"/>
                <w:sz w:val="24"/>
                <w:szCs w:val="24"/>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0" w:type="pct"/>
            <w:noWrap w:val="0"/>
            <w:vAlign w:val="center"/>
          </w:tcPr>
          <w:p>
            <w:pPr>
              <w:pStyle w:val="35"/>
              <w:bidi w:val="0"/>
              <w:spacing w:line="360" w:lineRule="auto"/>
              <w:rPr>
                <w:rFonts w:hint="eastAsia"/>
                <w:sz w:val="24"/>
                <w:szCs w:val="24"/>
              </w:rPr>
            </w:pPr>
            <w:r>
              <w:rPr>
                <w:rFonts w:hint="eastAsia"/>
                <w:sz w:val="24"/>
                <w:szCs w:val="24"/>
              </w:rPr>
              <w:t>环境风险防范措施</w:t>
            </w:r>
          </w:p>
        </w:tc>
        <w:tc>
          <w:tcPr>
            <w:tcW w:w="4439" w:type="pct"/>
            <w:gridSpan w:val="5"/>
            <w:noWrap w:val="0"/>
            <w:vAlign w:val="center"/>
          </w:tcPr>
          <w:p>
            <w:pPr>
              <w:bidi w:val="0"/>
              <w:rPr>
                <w:rFonts w:hint="eastAsia"/>
                <w:lang w:val="en-US" w:eastAsia="zh-CN"/>
              </w:rPr>
            </w:pPr>
            <w:r>
              <w:rPr>
                <w:rFonts w:hint="eastAsia"/>
                <w:lang w:val="en-US" w:eastAsia="zh-CN"/>
              </w:rPr>
              <w:t>①严格按照相关设计规范文件建设。</w:t>
            </w:r>
          </w:p>
          <w:p>
            <w:pPr>
              <w:bidi w:val="0"/>
              <w:rPr>
                <w:rFonts w:hint="eastAsia"/>
                <w:lang w:val="en-US" w:eastAsia="zh-CN"/>
              </w:rPr>
            </w:pPr>
            <w:r>
              <w:rPr>
                <w:rFonts w:hint="eastAsia"/>
                <w:lang w:val="en-US" w:eastAsia="zh-CN"/>
              </w:rPr>
              <w:t>②建立环境的风险管理制度，对站区内危险物质的运输、贮存、销售等情况进行登记形成台账。加强员工安全生产和环保培训，制定环境风险源巡查制度，建立污染物监测台账。</w:t>
            </w:r>
          </w:p>
          <w:p>
            <w:pPr>
              <w:bidi w:val="0"/>
              <w:rPr>
                <w:rFonts w:hint="eastAsia"/>
                <w:lang w:val="en-US" w:eastAsia="zh-CN"/>
              </w:rPr>
            </w:pPr>
            <w:r>
              <w:rPr>
                <w:rFonts w:hint="eastAsia"/>
                <w:lang w:val="en-US" w:eastAsia="zh-CN"/>
              </w:rPr>
              <w:t>③加油站内张贴各类警示标志。</w:t>
            </w:r>
          </w:p>
          <w:p>
            <w:pPr>
              <w:bidi w:val="0"/>
              <w:rPr>
                <w:rFonts w:hint="eastAsia"/>
                <w:szCs w:val="24"/>
              </w:rPr>
            </w:pPr>
            <w:r>
              <w:rPr>
                <w:rFonts w:hint="eastAsia"/>
                <w:lang w:val="en-US" w:eastAsia="zh-CN"/>
              </w:rPr>
              <w:t>④配备完善的应急设施，编制突发环境事件应急预案并备案</w:t>
            </w:r>
            <w:r>
              <w:rPr>
                <w:rFonts w:hint="default"/>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0" w:type="pct"/>
            <w:noWrap w:val="0"/>
            <w:vAlign w:val="center"/>
          </w:tcPr>
          <w:p>
            <w:pPr>
              <w:pStyle w:val="35"/>
              <w:bidi w:val="0"/>
              <w:spacing w:line="360" w:lineRule="auto"/>
              <w:rPr>
                <w:rFonts w:hint="eastAsia"/>
                <w:sz w:val="24"/>
                <w:szCs w:val="24"/>
              </w:rPr>
            </w:pPr>
            <w:r>
              <w:rPr>
                <w:rFonts w:hint="eastAsia"/>
                <w:sz w:val="24"/>
                <w:szCs w:val="24"/>
              </w:rPr>
              <w:t>其他环境管理要求</w:t>
            </w:r>
          </w:p>
        </w:tc>
        <w:tc>
          <w:tcPr>
            <w:tcW w:w="4439" w:type="pct"/>
            <w:gridSpan w:val="5"/>
            <w:noWrap w:val="0"/>
            <w:vAlign w:val="center"/>
          </w:tcPr>
          <w:p>
            <w:pPr>
              <w:pStyle w:val="14"/>
              <w:bidi w:val="0"/>
              <w:rPr>
                <w:rFonts w:hint="default"/>
              </w:rPr>
            </w:pPr>
            <w:r>
              <w:rPr>
                <w:rFonts w:hint="default"/>
              </w:rPr>
              <w:t>①本项目竣工后建设单位应依据《建设项目环境保护管理条例》（2017年10月1日起施行）和《建设项目竣工环境保护验收暂行办法》（国环规环评[2017]4号，2017年11月22日发布）、《建设项目竣工环境保护验收技术指南污染影响类》（公告2018年第9号，2018年5月16日印发），对配套建设的环境保护设施进行验收，编制验收报告。</w:t>
            </w:r>
          </w:p>
          <w:p>
            <w:pPr>
              <w:pStyle w:val="14"/>
              <w:bidi w:val="0"/>
              <w:rPr>
                <w:rFonts w:hint="default"/>
              </w:rPr>
            </w:pPr>
            <w:r>
              <w:rPr>
                <w:rFonts w:hint="default"/>
              </w:rPr>
              <w:t>②根据《排污许可管理条例》（中华人民共和国国务院令第736 号）、《排污许可管理办法（试行）》（部令第48号）、环境保护部办公厅《关于做好环境影响评价制度与排污许可制衔接相关工作的通知》（环办环评[2017]84号），建设项目发生实际排污行为之前，排污单位应当按照国家环境保护相关法律法规以及排污许可证申请与核发技术规范要求申请排污许可证，不得无证排污或不按证排污，环境保护部门通过对企事业单位发放排污许可证并依证监管实施排污许可制。</w:t>
            </w:r>
          </w:p>
          <w:p>
            <w:pPr>
              <w:pStyle w:val="14"/>
              <w:bidi w:val="0"/>
              <w:rPr>
                <w:rFonts w:hint="eastAsia"/>
                <w:lang w:eastAsia="zh-CN"/>
              </w:rPr>
            </w:pPr>
            <w:r>
              <w:rPr>
                <w:rFonts w:hint="default"/>
              </w:rPr>
              <w:t>③根据《固定污染源排污许可分类管理名录（2019年版）》</w:t>
            </w:r>
            <w:r>
              <w:rPr>
                <w:rFonts w:hint="eastAsia"/>
                <w:lang w:eastAsia="zh-CN"/>
              </w:rPr>
              <w:t>，</w:t>
            </w:r>
            <w:r>
              <w:rPr>
                <w:rFonts w:hint="default"/>
              </w:rPr>
              <w:t>本项目竣工后在发生实际排污行为之前，建设单位应当按照国家环境保护相关法律法规以及排污许可证申请与核发技术规范要求登记内容</w:t>
            </w:r>
            <w:r>
              <w:rPr>
                <w:rFonts w:hint="eastAsia"/>
                <w:lang w:eastAsia="zh-CN"/>
              </w:rPr>
              <w:t>。</w:t>
            </w:r>
          </w:p>
          <w:p>
            <w:pPr>
              <w:rPr>
                <w:rFonts w:hint="eastAsia"/>
                <w:lang w:eastAsia="zh-CN"/>
              </w:rPr>
            </w:pPr>
          </w:p>
          <w:p>
            <w:pPr>
              <w:rPr>
                <w:rFonts w:hint="eastAsia"/>
                <w:lang w:eastAsia="zh-CN"/>
              </w:rPr>
            </w:pPr>
          </w:p>
          <w:p>
            <w:pPr>
              <w:rPr>
                <w:rFonts w:hint="eastAsia"/>
                <w:lang w:eastAsia="zh-CN"/>
              </w:rPr>
            </w:pPr>
          </w:p>
          <w:p>
            <w:pPr>
              <w:rPr>
                <w:rFonts w:hint="eastAsia"/>
                <w:lang w:eastAsia="zh-CN"/>
              </w:rPr>
            </w:pPr>
          </w:p>
          <w:p>
            <w:pPr>
              <w:rPr>
                <w:rFonts w:hint="eastAsia"/>
                <w:lang w:eastAsia="zh-CN"/>
              </w:rPr>
            </w:pPr>
          </w:p>
          <w:p>
            <w:pPr>
              <w:rPr>
                <w:rFonts w:hint="eastAsia"/>
                <w:lang w:eastAsia="zh-CN"/>
              </w:rPr>
            </w:pPr>
          </w:p>
          <w:p>
            <w:pPr>
              <w:rPr>
                <w:rFonts w:hint="eastAsia"/>
                <w:lang w:eastAsia="zh-CN"/>
              </w:rPr>
            </w:pPr>
          </w:p>
          <w:p>
            <w:pPr>
              <w:rPr>
                <w:rFonts w:hint="eastAsia"/>
                <w:lang w:eastAsia="zh-CN"/>
              </w:rPr>
            </w:pPr>
          </w:p>
          <w:p>
            <w:pPr>
              <w:rPr>
                <w:rFonts w:hint="eastAsia"/>
                <w:lang w:eastAsia="zh-CN"/>
              </w:rPr>
            </w:pPr>
          </w:p>
          <w:p>
            <w:pPr>
              <w:rPr>
                <w:rFonts w:hint="eastAsia"/>
                <w:lang w:eastAsia="zh-CN"/>
              </w:rPr>
            </w:pPr>
          </w:p>
          <w:p>
            <w:pPr>
              <w:rPr>
                <w:rFonts w:hint="eastAsia"/>
                <w:lang w:eastAsia="zh-CN"/>
              </w:rPr>
            </w:pPr>
          </w:p>
          <w:p>
            <w:pPr>
              <w:rPr>
                <w:rFonts w:hint="eastAsia"/>
                <w:lang w:eastAsia="zh-CN"/>
              </w:rPr>
            </w:pPr>
          </w:p>
          <w:p>
            <w:pPr>
              <w:rPr>
                <w:rFonts w:hint="eastAsia"/>
                <w:lang w:eastAsia="zh-CN"/>
              </w:rPr>
            </w:pPr>
          </w:p>
          <w:p>
            <w:pPr>
              <w:rPr>
                <w:rFonts w:hint="eastAsia"/>
                <w:lang w:eastAsia="zh-CN"/>
              </w:rPr>
            </w:pPr>
          </w:p>
          <w:p>
            <w:pPr>
              <w:rPr>
                <w:rFonts w:hint="eastAsia"/>
                <w:lang w:eastAsia="zh-CN"/>
              </w:rPr>
            </w:pPr>
          </w:p>
          <w:p>
            <w:pPr>
              <w:rPr>
                <w:rFonts w:hint="eastAsia"/>
                <w:lang w:eastAsia="zh-CN"/>
              </w:rPr>
            </w:pPr>
          </w:p>
          <w:p>
            <w:pPr>
              <w:rPr>
                <w:rFonts w:hint="eastAsia"/>
                <w:lang w:eastAsia="zh-CN"/>
              </w:rPr>
            </w:pPr>
          </w:p>
          <w:p>
            <w:pPr>
              <w:pStyle w:val="18"/>
              <w:rPr>
                <w:rFonts w:hint="eastAsia"/>
                <w:lang w:eastAsia="zh-CN"/>
              </w:rPr>
            </w:pPr>
          </w:p>
          <w:p>
            <w:pPr>
              <w:bidi w:val="0"/>
              <w:rPr>
                <w:rFonts w:hint="eastAsia"/>
                <w:lang w:eastAsia="zh-CN"/>
              </w:rPr>
            </w:pPr>
          </w:p>
          <w:p>
            <w:pPr>
              <w:pStyle w:val="21"/>
              <w:rPr>
                <w:rFonts w:hint="eastAsia"/>
                <w:lang w:eastAsia="zh-CN"/>
              </w:rPr>
            </w:pPr>
          </w:p>
          <w:p>
            <w:pPr>
              <w:rPr>
                <w:rFonts w:hint="eastAsia"/>
                <w:lang w:eastAsia="zh-CN"/>
              </w:rPr>
            </w:pPr>
          </w:p>
          <w:p>
            <w:pPr>
              <w:pStyle w:val="18"/>
              <w:rPr>
                <w:rFonts w:hint="eastAsia"/>
                <w:lang w:eastAsia="zh-CN"/>
              </w:rPr>
            </w:pPr>
          </w:p>
          <w:p>
            <w:pPr>
              <w:bidi w:val="0"/>
              <w:rPr>
                <w:rFonts w:hint="eastAsia"/>
                <w:lang w:eastAsia="zh-CN"/>
              </w:rPr>
            </w:pPr>
          </w:p>
          <w:p>
            <w:pPr>
              <w:pStyle w:val="21"/>
              <w:rPr>
                <w:rFonts w:hint="eastAsia"/>
                <w:lang w:eastAsia="zh-CN"/>
              </w:rPr>
            </w:pPr>
          </w:p>
          <w:p>
            <w:pPr>
              <w:rPr>
                <w:rFonts w:hint="eastAsia"/>
                <w:lang w:eastAsia="zh-CN"/>
              </w:rPr>
            </w:pPr>
          </w:p>
          <w:p>
            <w:pPr>
              <w:pStyle w:val="18"/>
              <w:rPr>
                <w:rFonts w:hint="eastAsia"/>
                <w:lang w:eastAsia="zh-CN"/>
              </w:rPr>
            </w:pPr>
          </w:p>
          <w:p>
            <w:pPr>
              <w:bidi w:val="0"/>
              <w:rPr>
                <w:rFonts w:hint="eastAsia"/>
                <w:lang w:eastAsia="zh-CN"/>
              </w:rPr>
            </w:pPr>
          </w:p>
          <w:p>
            <w:pPr>
              <w:pStyle w:val="21"/>
              <w:rPr>
                <w:rFonts w:hint="eastAsia"/>
                <w:lang w:eastAsia="zh-CN"/>
              </w:rPr>
            </w:pPr>
          </w:p>
        </w:tc>
      </w:tr>
    </w:tbl>
    <w:p>
      <w:pPr>
        <w:numPr>
          <w:ilvl w:val="0"/>
          <w:numId w:val="0"/>
        </w:numPr>
      </w:pPr>
    </w:p>
    <w:p>
      <w:pPr>
        <w:pStyle w:val="7"/>
        <w:bidi w:val="0"/>
        <w:rPr>
          <w:rFonts w:ascii="黑体" w:hAnsi="黑体" w:eastAsia="黑体"/>
          <w:snapToGrid w:val="0"/>
          <w:sz w:val="30"/>
          <w:szCs w:val="30"/>
        </w:rPr>
      </w:pPr>
      <w:r>
        <w:rPr>
          <w:snapToGrid w:val="0"/>
        </w:rPr>
        <w:br w:type="page"/>
      </w:r>
      <w:bookmarkStart w:id="87" w:name="_Toc5085"/>
      <w:bookmarkStart w:id="88" w:name="_Toc27238"/>
      <w:bookmarkStart w:id="89" w:name="_Toc6598"/>
      <w:bookmarkStart w:id="90" w:name="_Toc16899"/>
      <w:bookmarkStart w:id="91" w:name="_Toc30332"/>
      <w:bookmarkStart w:id="92" w:name="_Toc21699"/>
      <w:bookmarkStart w:id="93" w:name="_Toc27518"/>
      <w:bookmarkStart w:id="94" w:name="_Toc12687"/>
      <w:bookmarkStart w:id="95" w:name="_Toc1951"/>
      <w:bookmarkStart w:id="96" w:name="_Toc17826"/>
      <w:bookmarkStart w:id="97" w:name="_Toc24328"/>
      <w:bookmarkStart w:id="98" w:name="_Toc15116"/>
      <w:bookmarkStart w:id="99" w:name="_Toc17771"/>
      <w:bookmarkStart w:id="100" w:name="_Toc22840"/>
      <w:bookmarkStart w:id="101" w:name="_Toc11585"/>
      <w:bookmarkStart w:id="102" w:name="_Toc24805"/>
      <w:r>
        <w:rPr>
          <w:rFonts w:hint="eastAsia" w:ascii="黑体" w:hAnsi="黑体" w:eastAsia="黑体"/>
          <w:snapToGrid w:val="0"/>
          <w:sz w:val="30"/>
          <w:szCs w:val="30"/>
        </w:rPr>
        <w:t>六、结论</w:t>
      </w:r>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p>
    <w:tbl>
      <w:tblPr>
        <w:tblStyle w:val="31"/>
        <w:tblW w:w="8865"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65" w:type="dxa"/>
            <w:noWrap w:val="0"/>
            <w:vAlign w:val="center"/>
          </w:tcPr>
          <w:p>
            <w:pPr>
              <w:pStyle w:val="14"/>
              <w:bidi w:val="0"/>
              <w:rPr>
                <w:rFonts w:hint="default"/>
              </w:rPr>
            </w:pPr>
            <w:r>
              <w:rPr>
                <w:rFonts w:hint="default"/>
              </w:rPr>
              <w:t>综上所述，项目总体污染程度较低，项目符合国家和地方的相关产业政策，选址符合</w:t>
            </w:r>
            <w:r>
              <w:rPr>
                <w:rFonts w:hint="eastAsia"/>
                <w:lang w:eastAsia="zh-CN"/>
              </w:rPr>
              <w:t>“</w:t>
            </w:r>
            <w:r>
              <w:rPr>
                <w:rFonts w:hint="default"/>
              </w:rPr>
              <w:t>三线一单</w:t>
            </w:r>
            <w:r>
              <w:rPr>
                <w:rFonts w:hint="eastAsia"/>
                <w:lang w:eastAsia="zh-CN"/>
              </w:rPr>
              <w:t>”</w:t>
            </w:r>
            <w:r>
              <w:rPr>
                <w:rFonts w:hint="default"/>
              </w:rPr>
              <w:t>和当地规划，所采用的污染防治措施合理可行，可确保污染物稳定达标排放；项目污染物的排放量符合控制要求，处理达标后的各项污染物对周围环境的影响较小，不会改变当地的环境功能区划，项目的环境风险较小且可以接受。在落实本报告表提出的各项污染防治措施、严格执行</w:t>
            </w:r>
            <w:r>
              <w:rPr>
                <w:rFonts w:hint="eastAsia"/>
                <w:lang w:eastAsia="zh-CN"/>
              </w:rPr>
              <w:t>“</w:t>
            </w:r>
            <w:r>
              <w:rPr>
                <w:rFonts w:hint="default"/>
              </w:rPr>
              <w:t>三同时</w:t>
            </w:r>
            <w:r>
              <w:rPr>
                <w:rFonts w:hint="eastAsia"/>
                <w:lang w:eastAsia="zh-CN"/>
              </w:rPr>
              <w:t>”</w:t>
            </w:r>
            <w:r>
              <w:rPr>
                <w:rFonts w:hint="default"/>
              </w:rPr>
              <w:t>制度的情况下，从环保角度分析，项目在拟建地的建设具备环境可行性。</w:t>
            </w:r>
          </w:p>
          <w:p>
            <w:pPr>
              <w:spacing w:line="360" w:lineRule="auto"/>
            </w:pPr>
          </w:p>
          <w:p>
            <w:pPr>
              <w:pStyle w:val="18"/>
            </w:pPr>
          </w:p>
          <w:p>
            <w:pPr>
              <w:pStyle w:val="14"/>
            </w:pPr>
          </w:p>
          <w:p>
            <w:pPr>
              <w:pStyle w:val="15"/>
            </w:pPr>
          </w:p>
          <w:p>
            <w:pPr>
              <w:pStyle w:val="30"/>
            </w:pPr>
          </w:p>
          <w:p>
            <w:pPr>
              <w:pStyle w:val="15"/>
            </w:pPr>
          </w:p>
          <w:p>
            <w:pPr>
              <w:pStyle w:val="30"/>
            </w:pPr>
          </w:p>
          <w:p>
            <w:pPr>
              <w:pStyle w:val="15"/>
            </w:pPr>
          </w:p>
          <w:p>
            <w:pPr>
              <w:pStyle w:val="30"/>
            </w:pPr>
          </w:p>
          <w:p>
            <w:pPr>
              <w:pStyle w:val="15"/>
            </w:pPr>
          </w:p>
          <w:p>
            <w:pPr>
              <w:pStyle w:val="30"/>
            </w:pPr>
          </w:p>
          <w:p>
            <w:pPr>
              <w:pStyle w:val="15"/>
            </w:pPr>
          </w:p>
          <w:p>
            <w:pPr>
              <w:pStyle w:val="30"/>
            </w:pPr>
          </w:p>
          <w:p>
            <w:pPr>
              <w:pStyle w:val="15"/>
            </w:pPr>
          </w:p>
          <w:p>
            <w:pPr>
              <w:pStyle w:val="30"/>
            </w:pPr>
          </w:p>
          <w:p>
            <w:pPr>
              <w:pStyle w:val="15"/>
            </w:pPr>
          </w:p>
          <w:p>
            <w:pPr>
              <w:pStyle w:val="30"/>
            </w:pPr>
          </w:p>
          <w:p>
            <w:pPr>
              <w:pStyle w:val="15"/>
            </w:pPr>
          </w:p>
          <w:p>
            <w:pPr>
              <w:pStyle w:val="30"/>
            </w:pPr>
          </w:p>
          <w:p>
            <w:pPr>
              <w:pStyle w:val="15"/>
            </w:pPr>
          </w:p>
          <w:p>
            <w:pPr>
              <w:pStyle w:val="30"/>
            </w:pPr>
          </w:p>
          <w:p>
            <w:pPr>
              <w:pStyle w:val="15"/>
            </w:pPr>
          </w:p>
        </w:tc>
      </w:tr>
    </w:tbl>
    <w:p>
      <w:pPr>
        <w:rPr>
          <w:rFonts w:ascii="宋体"/>
        </w:rPr>
        <w:sectPr>
          <w:pgSz w:w="11906" w:h="16838"/>
          <w:pgMar w:top="1440" w:right="1800" w:bottom="1440" w:left="1800" w:header="851" w:footer="851" w:gutter="0"/>
          <w:pgNumType w:fmt="decimal"/>
          <w:cols w:space="720" w:num="1"/>
          <w:docGrid w:linePitch="312" w:charSpace="0"/>
        </w:sectPr>
      </w:pPr>
    </w:p>
    <w:p>
      <w:pPr>
        <w:pStyle w:val="7"/>
        <w:bidi w:val="0"/>
      </w:pPr>
      <w:bookmarkStart w:id="103" w:name="_Toc26366"/>
      <w:bookmarkStart w:id="104" w:name="_Toc2712"/>
      <w:bookmarkStart w:id="105" w:name="_Toc19331"/>
      <w:bookmarkStart w:id="106" w:name="_Toc19313"/>
      <w:bookmarkStart w:id="107" w:name="_Toc1409"/>
      <w:bookmarkStart w:id="108" w:name="_Toc29801"/>
      <w:bookmarkStart w:id="109" w:name="_Toc12742"/>
      <w:bookmarkStart w:id="110" w:name="_Toc29919"/>
      <w:bookmarkStart w:id="111" w:name="_Toc28718"/>
      <w:bookmarkStart w:id="112" w:name="_Toc12871"/>
      <w:bookmarkStart w:id="113" w:name="_Toc23446"/>
      <w:bookmarkStart w:id="114" w:name="_Toc23753"/>
      <w:bookmarkStart w:id="115" w:name="_Toc10923"/>
      <w:bookmarkStart w:id="116" w:name="_Toc14053"/>
      <w:bookmarkStart w:id="117" w:name="_Toc3004"/>
      <w:bookmarkStart w:id="118" w:name="_Toc30594"/>
      <w:r>
        <w:rPr>
          <w:rFonts w:hint="eastAsia"/>
        </w:rPr>
        <w:t>附表</w:t>
      </w:r>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p>
    <w:p>
      <w:pPr>
        <w:pStyle w:val="8"/>
        <w:bidi w:val="0"/>
        <w:rPr>
          <w:rFonts w:hint="eastAsia"/>
        </w:rPr>
      </w:pPr>
      <w:bookmarkStart w:id="119" w:name="_Toc24969"/>
      <w:bookmarkStart w:id="120" w:name="_Toc9658"/>
      <w:bookmarkStart w:id="121" w:name="_Toc13473"/>
      <w:bookmarkStart w:id="122" w:name="_Toc15934"/>
      <w:bookmarkStart w:id="123" w:name="_Toc29980"/>
      <w:bookmarkStart w:id="124" w:name="_Toc29353"/>
      <w:bookmarkStart w:id="125" w:name="_Toc18499"/>
      <w:bookmarkStart w:id="126" w:name="_Toc13928"/>
      <w:bookmarkStart w:id="127" w:name="_Toc16013"/>
      <w:r>
        <w:rPr>
          <w:rFonts w:hint="eastAsia"/>
        </w:rPr>
        <w:t>建设项目污染物排放量汇总表</w:t>
      </w:r>
      <w:bookmarkEnd w:id="119"/>
      <w:bookmarkEnd w:id="120"/>
      <w:bookmarkEnd w:id="121"/>
      <w:bookmarkEnd w:id="122"/>
      <w:bookmarkEnd w:id="123"/>
      <w:bookmarkEnd w:id="124"/>
      <w:bookmarkEnd w:id="125"/>
      <w:bookmarkEnd w:id="126"/>
      <w:bookmarkEnd w:id="127"/>
    </w:p>
    <w:tbl>
      <w:tblPr>
        <w:tblStyle w:val="31"/>
        <w:tblW w:w="4997"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024"/>
        <w:gridCol w:w="1870"/>
        <w:gridCol w:w="1639"/>
        <w:gridCol w:w="1229"/>
        <w:gridCol w:w="1639"/>
        <w:gridCol w:w="1503"/>
        <w:gridCol w:w="1697"/>
        <w:gridCol w:w="1889"/>
        <w:gridCol w:w="79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5" w:type="pct"/>
            <w:tcBorders>
              <w:tl2br w:val="single" w:color="auto" w:sz="4" w:space="0"/>
            </w:tcBorders>
            <w:noWrap w:val="0"/>
            <w:tcMar>
              <w:left w:w="28" w:type="dxa"/>
              <w:right w:w="28" w:type="dxa"/>
            </w:tcMar>
            <w:vAlign w:val="center"/>
          </w:tcPr>
          <w:p>
            <w:pPr>
              <w:pStyle w:val="35"/>
              <w:bidi w:val="0"/>
              <w:rPr>
                <w:rFonts w:hint="eastAsia"/>
              </w:rPr>
            </w:pPr>
            <w:r>
              <w:rPr>
                <w:rFonts w:hint="eastAsia"/>
              </w:rPr>
              <w:t>项目</w:t>
            </w:r>
          </w:p>
          <w:p>
            <w:pPr>
              <w:pStyle w:val="35"/>
              <w:bidi w:val="0"/>
              <w:rPr>
                <w:rFonts w:hint="eastAsia"/>
              </w:rPr>
            </w:pPr>
            <w:r>
              <w:rPr>
                <w:rFonts w:hint="eastAsia"/>
              </w:rPr>
              <w:t>分类</w:t>
            </w:r>
          </w:p>
        </w:tc>
        <w:tc>
          <w:tcPr>
            <w:tcW w:w="703" w:type="pct"/>
            <w:noWrap w:val="0"/>
            <w:tcMar>
              <w:left w:w="28" w:type="dxa"/>
              <w:right w:w="28" w:type="dxa"/>
            </w:tcMar>
            <w:vAlign w:val="center"/>
          </w:tcPr>
          <w:p>
            <w:pPr>
              <w:pStyle w:val="35"/>
              <w:bidi w:val="0"/>
              <w:rPr>
                <w:rFonts w:hint="eastAsia"/>
              </w:rPr>
            </w:pPr>
            <w:r>
              <w:rPr>
                <w:rFonts w:hint="eastAsia"/>
              </w:rPr>
              <w:t>污染物名称</w:t>
            </w:r>
          </w:p>
        </w:tc>
        <w:tc>
          <w:tcPr>
            <w:tcW w:w="616" w:type="pct"/>
            <w:noWrap w:val="0"/>
            <w:tcMar>
              <w:left w:w="28" w:type="dxa"/>
              <w:right w:w="28" w:type="dxa"/>
            </w:tcMar>
            <w:vAlign w:val="center"/>
          </w:tcPr>
          <w:p>
            <w:pPr>
              <w:pStyle w:val="35"/>
              <w:bidi w:val="0"/>
              <w:rPr>
                <w:rFonts w:hint="eastAsia"/>
              </w:rPr>
            </w:pPr>
            <w:r>
              <w:t>现有工程</w:t>
            </w:r>
          </w:p>
          <w:p>
            <w:pPr>
              <w:pStyle w:val="35"/>
              <w:bidi w:val="0"/>
            </w:pPr>
            <w:r>
              <w:t>排放量（固</w:t>
            </w:r>
            <w:r>
              <w:rPr>
                <w:rFonts w:hint="eastAsia"/>
              </w:rPr>
              <w:t>体</w:t>
            </w:r>
            <w:r>
              <w:t>废</w:t>
            </w:r>
            <w:r>
              <w:rPr>
                <w:rFonts w:hint="eastAsia"/>
              </w:rPr>
              <w:t>物</w:t>
            </w:r>
            <w:r>
              <w:t>产生量）</w:t>
            </w:r>
            <w:r>
              <w:fldChar w:fldCharType="begin"/>
            </w:r>
            <w:r>
              <w:instrText xml:space="preserve"> = 1 \* GB3 \* MERGEFORMAT </w:instrText>
            </w:r>
            <w:r>
              <w:fldChar w:fldCharType="separate"/>
            </w:r>
            <w:r>
              <w:rPr>
                <w:rFonts w:hint="eastAsia"/>
              </w:rPr>
              <w:t>①</w:t>
            </w:r>
            <w:r>
              <w:fldChar w:fldCharType="end"/>
            </w:r>
            <w:r>
              <w:rPr>
                <w:rFonts w:hint="eastAsia" w:ascii="宋体" w:hAnsi="宋体" w:eastAsia="宋体" w:cs="宋体"/>
                <w:lang w:val="en-US" w:eastAsia="zh-CN"/>
              </w:rPr>
              <w:t>t</w:t>
            </w:r>
            <w:r>
              <w:rPr>
                <w:rFonts w:hint="eastAsia"/>
                <w:lang w:val="en-US" w:eastAsia="zh-CN"/>
              </w:rPr>
              <w:t>/</w:t>
            </w:r>
            <w:r>
              <w:rPr>
                <w:rFonts w:hint="default" w:ascii="Times New Roman" w:hAnsi="Times New Roman" w:cs="Times New Roman"/>
                <w:lang w:val="en-US" w:eastAsia="zh-CN"/>
              </w:rPr>
              <w:t>a</w:t>
            </w:r>
          </w:p>
        </w:tc>
        <w:tc>
          <w:tcPr>
            <w:tcW w:w="462" w:type="pct"/>
            <w:noWrap w:val="0"/>
            <w:tcMar>
              <w:left w:w="28" w:type="dxa"/>
              <w:right w:w="28" w:type="dxa"/>
            </w:tcMar>
            <w:vAlign w:val="center"/>
          </w:tcPr>
          <w:p>
            <w:pPr>
              <w:pStyle w:val="35"/>
              <w:bidi w:val="0"/>
            </w:pPr>
            <w:r>
              <w:t>现有工程</w:t>
            </w:r>
          </w:p>
          <w:p>
            <w:pPr>
              <w:pStyle w:val="35"/>
              <w:bidi w:val="0"/>
            </w:pPr>
            <w:r>
              <w:t>许可排放量</w:t>
            </w:r>
          </w:p>
          <w:p>
            <w:pPr>
              <w:pStyle w:val="35"/>
              <w:bidi w:val="0"/>
            </w:pPr>
            <w:r>
              <w:fldChar w:fldCharType="begin"/>
            </w:r>
            <w:r>
              <w:instrText xml:space="preserve"> = 2 \* GB3 \* MERGEFORMAT </w:instrText>
            </w:r>
            <w:r>
              <w:fldChar w:fldCharType="separate"/>
            </w:r>
            <w:r>
              <w:rPr>
                <w:rFonts w:hint="eastAsia"/>
              </w:rPr>
              <w:t>②</w:t>
            </w:r>
            <w:r>
              <w:fldChar w:fldCharType="end"/>
            </w:r>
            <w:r>
              <w:rPr>
                <w:rFonts w:hint="eastAsia" w:ascii="宋体" w:hAnsi="宋体" w:eastAsia="宋体" w:cs="宋体"/>
                <w:lang w:val="en-US" w:eastAsia="zh-CN"/>
              </w:rPr>
              <w:t>t</w:t>
            </w:r>
            <w:r>
              <w:rPr>
                <w:rFonts w:hint="eastAsia"/>
                <w:lang w:val="en-US" w:eastAsia="zh-CN"/>
              </w:rPr>
              <w:t>/</w:t>
            </w:r>
            <w:r>
              <w:rPr>
                <w:rFonts w:hint="default" w:ascii="Times New Roman" w:hAnsi="Times New Roman" w:cs="Times New Roman"/>
                <w:lang w:val="en-US" w:eastAsia="zh-CN"/>
              </w:rPr>
              <w:t>a</w:t>
            </w:r>
          </w:p>
        </w:tc>
        <w:tc>
          <w:tcPr>
            <w:tcW w:w="616" w:type="pct"/>
            <w:noWrap w:val="0"/>
            <w:tcMar>
              <w:left w:w="28" w:type="dxa"/>
              <w:right w:w="28" w:type="dxa"/>
            </w:tcMar>
            <w:vAlign w:val="center"/>
          </w:tcPr>
          <w:p>
            <w:pPr>
              <w:pStyle w:val="35"/>
              <w:bidi w:val="0"/>
              <w:rPr>
                <w:rFonts w:hint="eastAsia"/>
              </w:rPr>
            </w:pPr>
            <w:r>
              <w:t>在建工程</w:t>
            </w:r>
          </w:p>
          <w:p>
            <w:pPr>
              <w:pStyle w:val="35"/>
              <w:bidi w:val="0"/>
            </w:pPr>
            <w:r>
              <w:t>排放量（固</w:t>
            </w:r>
            <w:r>
              <w:rPr>
                <w:rFonts w:hint="eastAsia"/>
              </w:rPr>
              <w:t>体</w:t>
            </w:r>
            <w:r>
              <w:t>废</w:t>
            </w:r>
            <w:r>
              <w:rPr>
                <w:rFonts w:hint="eastAsia"/>
              </w:rPr>
              <w:t>物</w:t>
            </w:r>
            <w:r>
              <w:t>产生量）</w:t>
            </w:r>
            <w:r>
              <w:fldChar w:fldCharType="begin"/>
            </w:r>
            <w:r>
              <w:instrText xml:space="preserve"> = 3 \* GB3 \* MERGEFORMAT </w:instrText>
            </w:r>
            <w:r>
              <w:fldChar w:fldCharType="separate"/>
            </w:r>
            <w:r>
              <w:rPr>
                <w:rFonts w:hint="eastAsia"/>
              </w:rPr>
              <w:t>③</w:t>
            </w:r>
            <w:r>
              <w:fldChar w:fldCharType="end"/>
            </w:r>
            <w:r>
              <w:rPr>
                <w:rFonts w:hint="eastAsia" w:ascii="宋体" w:hAnsi="宋体" w:eastAsia="宋体" w:cs="宋体"/>
                <w:lang w:val="en-US" w:eastAsia="zh-CN"/>
              </w:rPr>
              <w:t>t</w:t>
            </w:r>
            <w:r>
              <w:rPr>
                <w:rFonts w:hint="eastAsia"/>
                <w:lang w:val="en-US" w:eastAsia="zh-CN"/>
              </w:rPr>
              <w:t>/</w:t>
            </w:r>
            <w:r>
              <w:rPr>
                <w:rFonts w:hint="default" w:ascii="Times New Roman" w:hAnsi="Times New Roman" w:cs="Times New Roman"/>
                <w:lang w:val="en-US" w:eastAsia="zh-CN"/>
              </w:rPr>
              <w:t>a</w:t>
            </w:r>
          </w:p>
        </w:tc>
        <w:tc>
          <w:tcPr>
            <w:tcW w:w="565" w:type="pct"/>
            <w:noWrap w:val="0"/>
            <w:tcMar>
              <w:left w:w="28" w:type="dxa"/>
              <w:right w:w="28" w:type="dxa"/>
            </w:tcMar>
            <w:vAlign w:val="center"/>
          </w:tcPr>
          <w:p>
            <w:pPr>
              <w:pStyle w:val="35"/>
              <w:bidi w:val="0"/>
              <w:rPr>
                <w:rFonts w:hint="eastAsia"/>
              </w:rPr>
            </w:pPr>
            <w:r>
              <w:t>本项目</w:t>
            </w:r>
          </w:p>
          <w:p>
            <w:pPr>
              <w:pStyle w:val="35"/>
              <w:bidi w:val="0"/>
            </w:pPr>
            <w:r>
              <w:t>排放量（固</w:t>
            </w:r>
            <w:r>
              <w:rPr>
                <w:rFonts w:hint="eastAsia"/>
              </w:rPr>
              <w:t>体</w:t>
            </w:r>
            <w:r>
              <w:t>废</w:t>
            </w:r>
            <w:r>
              <w:rPr>
                <w:rFonts w:hint="eastAsia"/>
              </w:rPr>
              <w:t>物</w:t>
            </w:r>
            <w:r>
              <w:t>产生量）</w:t>
            </w:r>
            <w:r>
              <w:rPr>
                <w:rFonts w:hint="eastAsia" w:ascii="宋体" w:hAnsi="宋体" w:eastAsia="宋体" w:cs="宋体"/>
                <w:lang w:val="en-US" w:eastAsia="zh-CN"/>
              </w:rPr>
              <w:t>t</w:t>
            </w:r>
            <w:r>
              <w:rPr>
                <w:rFonts w:hint="eastAsia"/>
                <w:lang w:val="en-US" w:eastAsia="zh-CN"/>
              </w:rPr>
              <w:t>/</w:t>
            </w:r>
            <w:r>
              <w:rPr>
                <w:rFonts w:hint="default" w:ascii="Times New Roman" w:hAnsi="Times New Roman" w:cs="Times New Roman"/>
                <w:lang w:val="en-US" w:eastAsia="zh-CN"/>
              </w:rPr>
              <w:t>a</w:t>
            </w:r>
            <w:r>
              <w:fldChar w:fldCharType="begin"/>
            </w:r>
            <w:r>
              <w:instrText xml:space="preserve"> = 4 \* GB3 \* MERGEFORMAT </w:instrText>
            </w:r>
            <w:r>
              <w:fldChar w:fldCharType="separate"/>
            </w:r>
            <w:r>
              <w:rPr>
                <w:rFonts w:hint="eastAsia"/>
              </w:rPr>
              <w:t>④</w:t>
            </w:r>
            <w:r>
              <w:fldChar w:fldCharType="end"/>
            </w:r>
          </w:p>
        </w:tc>
        <w:tc>
          <w:tcPr>
            <w:tcW w:w="638" w:type="pct"/>
            <w:noWrap w:val="0"/>
            <w:tcMar>
              <w:left w:w="28" w:type="dxa"/>
              <w:right w:w="28" w:type="dxa"/>
            </w:tcMar>
            <w:vAlign w:val="center"/>
          </w:tcPr>
          <w:p>
            <w:pPr>
              <w:pStyle w:val="35"/>
              <w:bidi w:val="0"/>
              <w:rPr>
                <w:rFonts w:hint="eastAsia"/>
              </w:rPr>
            </w:pPr>
            <w:r>
              <w:t>以新带老削减量</w:t>
            </w:r>
          </w:p>
          <w:p>
            <w:pPr>
              <w:pStyle w:val="35"/>
              <w:bidi w:val="0"/>
            </w:pPr>
            <w:r>
              <w:t>（新建项目不填）</w:t>
            </w:r>
            <w:r>
              <w:fldChar w:fldCharType="begin"/>
            </w:r>
            <w:r>
              <w:instrText xml:space="preserve"> = 5 \* GB3 \* MERGEFORMAT </w:instrText>
            </w:r>
            <w:r>
              <w:fldChar w:fldCharType="separate"/>
            </w:r>
            <w:r>
              <w:rPr>
                <w:rFonts w:hint="eastAsia"/>
              </w:rPr>
              <w:t>⑤</w:t>
            </w:r>
            <w:r>
              <w:fldChar w:fldCharType="end"/>
            </w:r>
            <w:r>
              <w:rPr>
                <w:rFonts w:hint="eastAsia" w:ascii="宋体" w:hAnsi="宋体" w:eastAsia="宋体" w:cs="宋体"/>
                <w:lang w:val="en-US" w:eastAsia="zh-CN"/>
              </w:rPr>
              <w:t>t</w:t>
            </w:r>
            <w:r>
              <w:rPr>
                <w:rFonts w:hint="eastAsia"/>
                <w:lang w:val="en-US" w:eastAsia="zh-CN"/>
              </w:rPr>
              <w:t>/</w:t>
            </w:r>
            <w:r>
              <w:rPr>
                <w:rFonts w:hint="default" w:ascii="Times New Roman" w:hAnsi="Times New Roman" w:cs="Times New Roman"/>
                <w:lang w:val="en-US" w:eastAsia="zh-CN"/>
              </w:rPr>
              <w:t>a</w:t>
            </w:r>
          </w:p>
        </w:tc>
        <w:tc>
          <w:tcPr>
            <w:tcW w:w="710" w:type="pct"/>
            <w:noWrap w:val="0"/>
            <w:tcMar>
              <w:left w:w="28" w:type="dxa"/>
              <w:right w:w="28" w:type="dxa"/>
            </w:tcMar>
            <w:vAlign w:val="center"/>
          </w:tcPr>
          <w:p>
            <w:pPr>
              <w:pStyle w:val="35"/>
              <w:bidi w:val="0"/>
              <w:rPr>
                <w:rFonts w:hint="eastAsia"/>
              </w:rPr>
            </w:pPr>
            <w:r>
              <w:t>本项目建成后</w:t>
            </w:r>
          </w:p>
          <w:p>
            <w:pPr>
              <w:pStyle w:val="35"/>
              <w:bidi w:val="0"/>
            </w:pPr>
            <w:r>
              <w:rPr>
                <w:rFonts w:hint="eastAsia"/>
              </w:rPr>
              <w:t>全厂</w:t>
            </w:r>
            <w:r>
              <w:t>排放量（固</w:t>
            </w:r>
            <w:r>
              <w:rPr>
                <w:rFonts w:hint="eastAsia"/>
              </w:rPr>
              <w:t>体</w:t>
            </w:r>
            <w:r>
              <w:t>废</w:t>
            </w:r>
            <w:r>
              <w:rPr>
                <w:rFonts w:hint="eastAsia"/>
              </w:rPr>
              <w:t>物</w:t>
            </w:r>
            <w:r>
              <w:t>产生量）</w:t>
            </w:r>
            <w:r>
              <w:rPr>
                <w:rFonts w:hint="eastAsia" w:ascii="宋体" w:hAnsi="宋体" w:eastAsia="宋体" w:cs="宋体"/>
                <w:lang w:val="en-US" w:eastAsia="zh-CN"/>
              </w:rPr>
              <w:t>t</w:t>
            </w:r>
            <w:r>
              <w:rPr>
                <w:rFonts w:hint="eastAsia"/>
                <w:lang w:val="en-US" w:eastAsia="zh-CN"/>
              </w:rPr>
              <w:t>/</w:t>
            </w:r>
            <w:r>
              <w:rPr>
                <w:rFonts w:hint="default" w:ascii="Times New Roman" w:hAnsi="Times New Roman" w:cs="Times New Roman"/>
                <w:lang w:val="en-US" w:eastAsia="zh-CN"/>
              </w:rPr>
              <w:t>a</w:t>
            </w:r>
            <w:r>
              <w:fldChar w:fldCharType="begin"/>
            </w:r>
            <w:r>
              <w:instrText xml:space="preserve"> = 6 \* GB3 \* MERGEFORMAT </w:instrText>
            </w:r>
            <w:r>
              <w:fldChar w:fldCharType="separate"/>
            </w:r>
            <w:r>
              <w:rPr>
                <w:rFonts w:hint="eastAsia"/>
              </w:rPr>
              <w:t>⑥</w:t>
            </w:r>
            <w:r>
              <w:fldChar w:fldCharType="end"/>
            </w:r>
          </w:p>
        </w:tc>
        <w:tc>
          <w:tcPr>
            <w:tcW w:w="299" w:type="pct"/>
            <w:noWrap w:val="0"/>
            <w:tcMar>
              <w:left w:w="28" w:type="dxa"/>
              <w:right w:w="28" w:type="dxa"/>
            </w:tcMar>
            <w:vAlign w:val="center"/>
          </w:tcPr>
          <w:p>
            <w:pPr>
              <w:pStyle w:val="35"/>
              <w:bidi w:val="0"/>
            </w:pPr>
            <w:r>
              <w:t>变化量</w:t>
            </w:r>
          </w:p>
          <w:p>
            <w:pPr>
              <w:pStyle w:val="35"/>
              <w:bidi w:val="0"/>
            </w:pPr>
            <w:r>
              <w:fldChar w:fldCharType="begin"/>
            </w:r>
            <w:r>
              <w:instrText xml:space="preserve"> = 7 \* GB3 \* MERGEFORMAT </w:instrText>
            </w:r>
            <w:r>
              <w:fldChar w:fldCharType="separate"/>
            </w:r>
            <w:r>
              <w:rPr>
                <w:rFonts w:hint="eastAsia"/>
              </w:rPr>
              <w:t>⑦</w:t>
            </w:r>
            <w:r>
              <w:fldChar w:fldCharType="end"/>
            </w:r>
            <w:r>
              <w:rPr>
                <w:rFonts w:hint="eastAsia" w:ascii="宋体" w:hAnsi="宋体" w:eastAsia="宋体" w:cs="宋体"/>
                <w:lang w:val="en-US" w:eastAsia="zh-CN"/>
              </w:rPr>
              <w:t>t</w:t>
            </w:r>
            <w:r>
              <w:rPr>
                <w:rFonts w:hint="eastAsia"/>
                <w:lang w:val="en-US" w:eastAsia="zh-CN"/>
              </w:rPr>
              <w:t>/</w:t>
            </w:r>
            <w:r>
              <w:rPr>
                <w:rFonts w:hint="default" w:ascii="Times New Roman" w:hAnsi="Times New Roman" w:cs="Times New Roman"/>
                <w:lang w:val="en-US" w:eastAsia="zh-CN"/>
              </w:rPr>
              <w: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5" w:type="pct"/>
            <w:noWrap w:val="0"/>
            <w:vAlign w:val="center"/>
          </w:tcPr>
          <w:p>
            <w:pPr>
              <w:pStyle w:val="35"/>
              <w:bidi w:val="0"/>
              <w:rPr>
                <w:rFonts w:hint="eastAsia"/>
              </w:rPr>
            </w:pPr>
            <w:r>
              <w:rPr>
                <w:rFonts w:hint="eastAsia"/>
              </w:rPr>
              <w:t>废气</w:t>
            </w:r>
          </w:p>
        </w:tc>
        <w:tc>
          <w:tcPr>
            <w:tcW w:w="703" w:type="pct"/>
            <w:noWrap w:val="0"/>
            <w:vAlign w:val="center"/>
          </w:tcPr>
          <w:p>
            <w:pPr>
              <w:pStyle w:val="35"/>
              <w:bidi w:val="0"/>
              <w:rPr>
                <w:rFonts w:hint="eastAsia" w:eastAsia="宋体"/>
                <w:lang w:eastAsia="zh-CN"/>
              </w:rPr>
            </w:pPr>
            <w:r>
              <w:rPr>
                <w:rFonts w:hint="eastAsia"/>
                <w:lang w:eastAsia="zh-CN"/>
              </w:rPr>
              <w:t>非甲烷总烃</w:t>
            </w:r>
          </w:p>
        </w:tc>
        <w:tc>
          <w:tcPr>
            <w:tcW w:w="616" w:type="pct"/>
            <w:noWrap w:val="0"/>
            <w:vAlign w:val="center"/>
          </w:tcPr>
          <w:p>
            <w:pPr>
              <w:pStyle w:val="35"/>
              <w:bidi w:val="0"/>
              <w:rPr>
                <w:rFonts w:hint="eastAsia" w:eastAsia="宋体"/>
                <w:lang w:val="en-US" w:eastAsia="zh-CN"/>
              </w:rPr>
            </w:pPr>
            <w:r>
              <w:rPr>
                <w:rFonts w:hint="eastAsia"/>
                <w:lang w:val="en-US" w:eastAsia="zh-CN"/>
              </w:rPr>
              <w:t>0</w:t>
            </w:r>
          </w:p>
        </w:tc>
        <w:tc>
          <w:tcPr>
            <w:tcW w:w="462" w:type="pct"/>
            <w:noWrap w:val="0"/>
            <w:vAlign w:val="center"/>
          </w:tcPr>
          <w:p>
            <w:pPr>
              <w:pStyle w:val="35"/>
              <w:bidi w:val="0"/>
              <w:rPr>
                <w:rFonts w:hint="eastAsia" w:eastAsia="宋体"/>
                <w:lang w:val="en-US" w:eastAsia="zh-CN"/>
              </w:rPr>
            </w:pPr>
            <w:r>
              <w:rPr>
                <w:rFonts w:hint="eastAsia"/>
                <w:lang w:val="en-US" w:eastAsia="zh-CN"/>
              </w:rPr>
              <w:t>0</w:t>
            </w:r>
          </w:p>
        </w:tc>
        <w:tc>
          <w:tcPr>
            <w:tcW w:w="616" w:type="pct"/>
            <w:noWrap w:val="0"/>
            <w:vAlign w:val="center"/>
          </w:tcPr>
          <w:p>
            <w:pPr>
              <w:pStyle w:val="35"/>
              <w:bidi w:val="0"/>
              <w:rPr>
                <w:rFonts w:hint="eastAsia" w:eastAsia="宋体"/>
                <w:lang w:val="en-US" w:eastAsia="zh-CN"/>
              </w:rPr>
            </w:pPr>
            <w:r>
              <w:rPr>
                <w:rFonts w:hint="eastAsia"/>
                <w:lang w:val="en-US" w:eastAsia="zh-CN"/>
              </w:rPr>
              <w:t>0</w:t>
            </w:r>
          </w:p>
        </w:tc>
        <w:tc>
          <w:tcPr>
            <w:tcW w:w="565" w:type="pct"/>
            <w:noWrap w:val="0"/>
            <w:vAlign w:val="center"/>
          </w:tcPr>
          <w:p>
            <w:pPr>
              <w:pStyle w:val="35"/>
              <w:bidi w:val="0"/>
              <w:rPr>
                <w:rFonts w:hint="default" w:eastAsia="宋体"/>
                <w:lang w:val="en-US" w:eastAsia="zh-CN"/>
              </w:rPr>
            </w:pPr>
            <w:r>
              <w:rPr>
                <w:rFonts w:hint="eastAsia"/>
                <w:lang w:val="en-US" w:eastAsia="zh-CN"/>
              </w:rPr>
              <w:t>0.556</w:t>
            </w:r>
          </w:p>
        </w:tc>
        <w:tc>
          <w:tcPr>
            <w:tcW w:w="638" w:type="pct"/>
            <w:noWrap w:val="0"/>
            <w:vAlign w:val="center"/>
          </w:tcPr>
          <w:p>
            <w:pPr>
              <w:pStyle w:val="35"/>
              <w:bidi w:val="0"/>
              <w:rPr>
                <w:rFonts w:hint="eastAsia" w:eastAsia="宋体"/>
                <w:lang w:val="en-US" w:eastAsia="zh-CN"/>
              </w:rPr>
            </w:pPr>
            <w:r>
              <w:rPr>
                <w:rFonts w:hint="eastAsia"/>
                <w:lang w:val="en-US" w:eastAsia="zh-CN"/>
              </w:rPr>
              <w:t>0</w:t>
            </w:r>
          </w:p>
        </w:tc>
        <w:tc>
          <w:tcPr>
            <w:tcW w:w="710" w:type="pct"/>
            <w:noWrap w:val="0"/>
            <w:vAlign w:val="center"/>
          </w:tcPr>
          <w:p>
            <w:pPr>
              <w:pStyle w:val="35"/>
              <w:bidi w:val="0"/>
              <w:rPr>
                <w:rFonts w:hint="default" w:ascii="Times New Roman" w:hAnsi="Times New Roman" w:eastAsia="宋体" w:cs="Times New Roman"/>
                <w:kern w:val="2"/>
                <w:sz w:val="21"/>
                <w:szCs w:val="21"/>
                <w:lang w:val="en-US" w:eastAsia="zh-CN" w:bidi="ar-SA"/>
              </w:rPr>
            </w:pPr>
            <w:r>
              <w:rPr>
                <w:rFonts w:hint="eastAsia"/>
                <w:lang w:val="en-US" w:eastAsia="zh-CN"/>
              </w:rPr>
              <w:t>0.556</w:t>
            </w:r>
          </w:p>
        </w:tc>
        <w:tc>
          <w:tcPr>
            <w:tcW w:w="299" w:type="pct"/>
            <w:noWrap w:val="0"/>
            <w:vAlign w:val="center"/>
          </w:tcPr>
          <w:p>
            <w:pPr>
              <w:pStyle w:val="35"/>
              <w:bidi w:val="0"/>
              <w:rPr>
                <w:rFonts w:hint="eastAsia" w:eastAsia="宋体"/>
                <w:lang w:val="en-US" w:eastAsia="zh-CN"/>
              </w:rPr>
            </w:pPr>
            <w:r>
              <w:rPr>
                <w:rFonts w:hint="eastAsia"/>
                <w:lang w:val="en-US" w:eastAsia="zh-CN"/>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5" w:type="pct"/>
            <w:vMerge w:val="restart"/>
            <w:noWrap w:val="0"/>
            <w:vAlign w:val="center"/>
          </w:tcPr>
          <w:p>
            <w:pPr>
              <w:pStyle w:val="35"/>
              <w:bidi w:val="0"/>
              <w:rPr>
                <w:rFonts w:hint="eastAsia"/>
              </w:rPr>
            </w:pPr>
            <w:r>
              <w:rPr>
                <w:rFonts w:hint="eastAsia"/>
              </w:rPr>
              <w:t>废水</w:t>
            </w:r>
          </w:p>
        </w:tc>
        <w:tc>
          <w:tcPr>
            <w:tcW w:w="703" w:type="pct"/>
            <w:noWrap w:val="0"/>
            <w:vAlign w:val="center"/>
          </w:tcPr>
          <w:p>
            <w:pPr>
              <w:pStyle w:val="35"/>
              <w:bidi w:val="0"/>
              <w:rPr>
                <w:rFonts w:hint="default" w:ascii="Times New Roman" w:hAnsi="Times New Roman" w:eastAsia="宋体" w:cs="Times New Roman"/>
                <w:lang w:val="en-US" w:eastAsia="zh-CN"/>
              </w:rPr>
            </w:pPr>
            <w:r>
              <w:rPr>
                <w:rFonts w:hint="eastAsia"/>
                <w:lang w:val="en-US" w:eastAsia="zh-CN"/>
              </w:rPr>
              <w:t>COD</w:t>
            </w:r>
            <w:r>
              <w:rPr>
                <w:rFonts w:hint="default" w:ascii="Times New Roman" w:hAnsi="Times New Roman" w:cs="Times New Roman"/>
                <w:lang w:val="en-US" w:eastAsia="zh-CN"/>
              </w:rPr>
              <w:t>cr</w:t>
            </w:r>
          </w:p>
        </w:tc>
        <w:tc>
          <w:tcPr>
            <w:tcW w:w="616" w:type="pct"/>
            <w:noWrap w:val="0"/>
            <w:vAlign w:val="center"/>
          </w:tcPr>
          <w:p>
            <w:pPr>
              <w:pStyle w:val="35"/>
              <w:bidi w:val="0"/>
              <w:rPr>
                <w:rFonts w:hint="eastAsia" w:eastAsia="宋体"/>
                <w:lang w:val="en-US" w:eastAsia="zh-CN"/>
              </w:rPr>
            </w:pPr>
            <w:r>
              <w:rPr>
                <w:rFonts w:hint="eastAsia"/>
                <w:lang w:val="en-US" w:eastAsia="zh-CN"/>
              </w:rPr>
              <w:t>0</w:t>
            </w:r>
          </w:p>
        </w:tc>
        <w:tc>
          <w:tcPr>
            <w:tcW w:w="462" w:type="pct"/>
            <w:noWrap w:val="0"/>
            <w:vAlign w:val="center"/>
          </w:tcPr>
          <w:p>
            <w:pPr>
              <w:pStyle w:val="35"/>
              <w:bidi w:val="0"/>
              <w:rPr>
                <w:rFonts w:hint="eastAsia" w:eastAsia="宋体"/>
                <w:lang w:val="en-US" w:eastAsia="zh-CN"/>
              </w:rPr>
            </w:pPr>
            <w:r>
              <w:rPr>
                <w:rFonts w:hint="eastAsia"/>
                <w:lang w:val="en-US" w:eastAsia="zh-CN"/>
              </w:rPr>
              <w:t>0</w:t>
            </w:r>
          </w:p>
        </w:tc>
        <w:tc>
          <w:tcPr>
            <w:tcW w:w="616" w:type="pct"/>
            <w:noWrap w:val="0"/>
            <w:vAlign w:val="center"/>
          </w:tcPr>
          <w:p>
            <w:pPr>
              <w:pStyle w:val="35"/>
              <w:bidi w:val="0"/>
              <w:rPr>
                <w:rFonts w:hint="eastAsia" w:eastAsia="宋体"/>
                <w:lang w:val="en-US" w:eastAsia="zh-CN"/>
              </w:rPr>
            </w:pPr>
            <w:r>
              <w:rPr>
                <w:rFonts w:hint="eastAsia"/>
                <w:lang w:val="en-US" w:eastAsia="zh-CN"/>
              </w:rPr>
              <w:t>0</w:t>
            </w:r>
          </w:p>
        </w:tc>
        <w:tc>
          <w:tcPr>
            <w:tcW w:w="565" w:type="pct"/>
            <w:noWrap w:val="0"/>
            <w:vAlign w:val="center"/>
          </w:tcPr>
          <w:p>
            <w:pPr>
              <w:pStyle w:val="35"/>
              <w:bidi w:val="0"/>
              <w:rPr>
                <w:rFonts w:hint="default" w:eastAsia="宋体"/>
                <w:lang w:val="en-US" w:eastAsia="zh-CN"/>
              </w:rPr>
            </w:pPr>
            <w:r>
              <w:rPr>
                <w:rFonts w:hint="eastAsia"/>
                <w:lang w:val="en-US" w:eastAsia="zh-CN"/>
              </w:rPr>
              <w:t>0.042</w:t>
            </w:r>
          </w:p>
        </w:tc>
        <w:tc>
          <w:tcPr>
            <w:tcW w:w="638" w:type="pct"/>
            <w:noWrap w:val="0"/>
            <w:vAlign w:val="center"/>
          </w:tcPr>
          <w:p>
            <w:pPr>
              <w:pStyle w:val="35"/>
              <w:bidi w:val="0"/>
              <w:rPr>
                <w:rFonts w:hint="eastAsia" w:eastAsia="宋体"/>
                <w:lang w:val="en-US" w:eastAsia="zh-CN"/>
              </w:rPr>
            </w:pPr>
            <w:r>
              <w:rPr>
                <w:rFonts w:hint="eastAsia"/>
                <w:lang w:val="en-US" w:eastAsia="zh-CN"/>
              </w:rPr>
              <w:t>0</w:t>
            </w:r>
          </w:p>
        </w:tc>
        <w:tc>
          <w:tcPr>
            <w:tcW w:w="710" w:type="pct"/>
            <w:noWrap w:val="0"/>
            <w:vAlign w:val="center"/>
          </w:tcPr>
          <w:p>
            <w:pPr>
              <w:pStyle w:val="35"/>
              <w:bidi w:val="0"/>
              <w:rPr>
                <w:rFonts w:hint="default" w:ascii="Times New Roman" w:hAnsi="Times New Roman" w:eastAsia="宋体" w:cs="Times New Roman"/>
                <w:kern w:val="0"/>
                <w:sz w:val="21"/>
                <w:szCs w:val="21"/>
                <w:lang w:val="en-US" w:eastAsia="zh-CN" w:bidi="ar-SA"/>
              </w:rPr>
            </w:pPr>
            <w:r>
              <w:rPr>
                <w:rFonts w:hint="eastAsia"/>
                <w:lang w:val="en-US" w:eastAsia="zh-CN"/>
              </w:rPr>
              <w:t>0.042</w:t>
            </w:r>
          </w:p>
        </w:tc>
        <w:tc>
          <w:tcPr>
            <w:tcW w:w="299" w:type="pct"/>
            <w:noWrap w:val="0"/>
            <w:vAlign w:val="center"/>
          </w:tcPr>
          <w:p>
            <w:pPr>
              <w:pStyle w:val="35"/>
              <w:bidi w:val="0"/>
              <w:rPr>
                <w:rFonts w:hint="eastAsia" w:eastAsia="宋体"/>
                <w:lang w:val="en-US" w:eastAsia="zh-CN"/>
              </w:rPr>
            </w:pPr>
            <w:r>
              <w:rPr>
                <w:rFonts w:hint="eastAsia"/>
                <w:lang w:val="en-US" w:eastAsia="zh-CN"/>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5" w:type="pct"/>
            <w:vMerge w:val="continue"/>
            <w:noWrap w:val="0"/>
            <w:vAlign w:val="center"/>
          </w:tcPr>
          <w:p>
            <w:pPr>
              <w:pStyle w:val="35"/>
              <w:bidi w:val="0"/>
              <w:rPr>
                <w:rFonts w:hint="eastAsia"/>
              </w:rPr>
            </w:pPr>
          </w:p>
        </w:tc>
        <w:tc>
          <w:tcPr>
            <w:tcW w:w="703" w:type="pct"/>
            <w:noWrap w:val="0"/>
            <w:vAlign w:val="center"/>
          </w:tcPr>
          <w:p>
            <w:pPr>
              <w:pStyle w:val="35"/>
              <w:bidi w:val="0"/>
              <w:rPr>
                <w:rFonts w:hint="eastAsia"/>
              </w:rPr>
            </w:pPr>
            <w:r>
              <w:rPr>
                <w:rFonts w:hint="eastAsia"/>
                <w:lang w:eastAsia="zh-CN"/>
              </w:rPr>
              <w:t>氨氮</w:t>
            </w:r>
          </w:p>
        </w:tc>
        <w:tc>
          <w:tcPr>
            <w:tcW w:w="616" w:type="pct"/>
            <w:noWrap w:val="0"/>
            <w:vAlign w:val="center"/>
          </w:tcPr>
          <w:p>
            <w:pPr>
              <w:pStyle w:val="35"/>
              <w:bidi w:val="0"/>
              <w:rPr>
                <w:rFonts w:hint="eastAsia" w:eastAsia="宋体"/>
                <w:lang w:val="en-US" w:eastAsia="zh-CN"/>
              </w:rPr>
            </w:pPr>
            <w:r>
              <w:rPr>
                <w:rFonts w:hint="eastAsia"/>
                <w:lang w:val="en-US" w:eastAsia="zh-CN"/>
              </w:rPr>
              <w:t>0</w:t>
            </w:r>
          </w:p>
        </w:tc>
        <w:tc>
          <w:tcPr>
            <w:tcW w:w="462" w:type="pct"/>
            <w:noWrap w:val="0"/>
            <w:vAlign w:val="center"/>
          </w:tcPr>
          <w:p>
            <w:pPr>
              <w:pStyle w:val="35"/>
              <w:bidi w:val="0"/>
              <w:rPr>
                <w:rFonts w:hint="eastAsia" w:eastAsia="宋体"/>
                <w:lang w:val="en-US" w:eastAsia="zh-CN"/>
              </w:rPr>
            </w:pPr>
            <w:r>
              <w:rPr>
                <w:rFonts w:hint="eastAsia"/>
                <w:lang w:val="en-US" w:eastAsia="zh-CN"/>
              </w:rPr>
              <w:t>0</w:t>
            </w:r>
          </w:p>
        </w:tc>
        <w:tc>
          <w:tcPr>
            <w:tcW w:w="616" w:type="pct"/>
            <w:noWrap w:val="0"/>
            <w:vAlign w:val="center"/>
          </w:tcPr>
          <w:p>
            <w:pPr>
              <w:pStyle w:val="35"/>
              <w:bidi w:val="0"/>
              <w:rPr>
                <w:rFonts w:hint="eastAsia" w:eastAsia="宋体"/>
                <w:lang w:val="en-US" w:eastAsia="zh-CN"/>
              </w:rPr>
            </w:pPr>
            <w:r>
              <w:rPr>
                <w:rFonts w:hint="eastAsia"/>
                <w:lang w:val="en-US" w:eastAsia="zh-CN"/>
              </w:rPr>
              <w:t>0</w:t>
            </w:r>
          </w:p>
        </w:tc>
        <w:tc>
          <w:tcPr>
            <w:tcW w:w="565" w:type="pct"/>
            <w:noWrap w:val="0"/>
            <w:vAlign w:val="center"/>
          </w:tcPr>
          <w:p>
            <w:pPr>
              <w:pStyle w:val="35"/>
              <w:bidi w:val="0"/>
              <w:rPr>
                <w:rFonts w:hint="default" w:eastAsia="宋体"/>
                <w:lang w:val="en-US" w:eastAsia="zh-CN"/>
              </w:rPr>
            </w:pPr>
            <w:r>
              <w:rPr>
                <w:rFonts w:hint="eastAsia"/>
                <w:lang w:val="en-US" w:eastAsia="zh-CN"/>
              </w:rPr>
              <w:t>0.007</w:t>
            </w:r>
          </w:p>
        </w:tc>
        <w:tc>
          <w:tcPr>
            <w:tcW w:w="638" w:type="pct"/>
            <w:noWrap w:val="0"/>
            <w:vAlign w:val="center"/>
          </w:tcPr>
          <w:p>
            <w:pPr>
              <w:pStyle w:val="35"/>
              <w:bidi w:val="0"/>
              <w:rPr>
                <w:rFonts w:hint="eastAsia" w:eastAsia="宋体"/>
                <w:lang w:val="en-US" w:eastAsia="zh-CN"/>
              </w:rPr>
            </w:pPr>
            <w:r>
              <w:rPr>
                <w:rFonts w:hint="eastAsia"/>
                <w:lang w:val="en-US" w:eastAsia="zh-CN"/>
              </w:rPr>
              <w:t>0</w:t>
            </w:r>
          </w:p>
        </w:tc>
        <w:tc>
          <w:tcPr>
            <w:tcW w:w="710" w:type="pct"/>
            <w:noWrap w:val="0"/>
            <w:vAlign w:val="center"/>
          </w:tcPr>
          <w:p>
            <w:pPr>
              <w:pStyle w:val="35"/>
              <w:bidi w:val="0"/>
              <w:rPr>
                <w:rFonts w:hint="default" w:ascii="Times New Roman" w:hAnsi="Times New Roman" w:eastAsia="宋体" w:cs="Times New Roman"/>
                <w:kern w:val="0"/>
                <w:sz w:val="21"/>
                <w:szCs w:val="21"/>
                <w:lang w:val="en-US" w:eastAsia="zh-CN" w:bidi="ar-SA"/>
              </w:rPr>
            </w:pPr>
            <w:r>
              <w:rPr>
                <w:rFonts w:hint="eastAsia"/>
                <w:lang w:val="en-US" w:eastAsia="zh-CN"/>
              </w:rPr>
              <w:t>0.007</w:t>
            </w:r>
          </w:p>
        </w:tc>
        <w:tc>
          <w:tcPr>
            <w:tcW w:w="299" w:type="pct"/>
            <w:noWrap w:val="0"/>
            <w:vAlign w:val="center"/>
          </w:tcPr>
          <w:p>
            <w:pPr>
              <w:pStyle w:val="35"/>
              <w:bidi w:val="0"/>
              <w:rPr>
                <w:rFonts w:hint="eastAsia" w:eastAsia="宋体"/>
                <w:lang w:val="en-US" w:eastAsia="zh-CN"/>
              </w:rPr>
            </w:pPr>
            <w:r>
              <w:rPr>
                <w:rFonts w:hint="eastAsia"/>
                <w:lang w:val="en-US" w:eastAsia="zh-CN"/>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4" w:hRule="atLeast"/>
        </w:trPr>
        <w:tc>
          <w:tcPr>
            <w:tcW w:w="385" w:type="pct"/>
            <w:noWrap w:val="0"/>
            <w:vAlign w:val="center"/>
          </w:tcPr>
          <w:p>
            <w:pPr>
              <w:pStyle w:val="35"/>
              <w:bidi w:val="0"/>
              <w:rPr>
                <w:rFonts w:hint="eastAsia"/>
              </w:rPr>
            </w:pPr>
            <w:r>
              <w:rPr>
                <w:rFonts w:hint="eastAsia"/>
                <w:lang w:eastAsia="zh-CN"/>
              </w:rPr>
              <w:t>生活垃圾</w:t>
            </w:r>
          </w:p>
        </w:tc>
        <w:tc>
          <w:tcPr>
            <w:tcW w:w="703" w:type="pct"/>
            <w:noWrap w:val="0"/>
            <w:vAlign w:val="center"/>
          </w:tcPr>
          <w:p>
            <w:pPr>
              <w:pStyle w:val="35"/>
              <w:bidi w:val="0"/>
              <w:jc w:val="center"/>
              <w:rPr>
                <w:rFonts w:hint="eastAsia" w:ascii="Times New Roman" w:hAnsi="Times New Roman" w:eastAsia="宋体"/>
                <w:kern w:val="2"/>
                <w:sz w:val="21"/>
                <w:szCs w:val="21"/>
                <w:lang w:val="en-US" w:eastAsia="zh-CN" w:bidi="ar-SA"/>
              </w:rPr>
            </w:pPr>
            <w:r>
              <w:rPr>
                <w:rFonts w:hint="eastAsia"/>
                <w:lang w:eastAsia="zh-CN"/>
              </w:rPr>
              <w:t>生活垃圾</w:t>
            </w:r>
          </w:p>
        </w:tc>
        <w:tc>
          <w:tcPr>
            <w:tcW w:w="616" w:type="pct"/>
            <w:noWrap w:val="0"/>
            <w:vAlign w:val="center"/>
          </w:tcPr>
          <w:p>
            <w:pPr>
              <w:pStyle w:val="35"/>
              <w:bidi w:val="0"/>
            </w:pPr>
            <w:r>
              <w:rPr>
                <w:rFonts w:hint="eastAsia"/>
                <w:lang w:val="en-US" w:eastAsia="zh-CN"/>
              </w:rPr>
              <w:t>0</w:t>
            </w:r>
          </w:p>
        </w:tc>
        <w:tc>
          <w:tcPr>
            <w:tcW w:w="462" w:type="pct"/>
            <w:noWrap w:val="0"/>
            <w:vAlign w:val="center"/>
          </w:tcPr>
          <w:p>
            <w:pPr>
              <w:pStyle w:val="35"/>
              <w:bidi w:val="0"/>
            </w:pPr>
            <w:r>
              <w:rPr>
                <w:rFonts w:hint="eastAsia"/>
                <w:lang w:val="en-US" w:eastAsia="zh-CN"/>
              </w:rPr>
              <w:t>0</w:t>
            </w:r>
          </w:p>
        </w:tc>
        <w:tc>
          <w:tcPr>
            <w:tcW w:w="616" w:type="pct"/>
            <w:noWrap w:val="0"/>
            <w:vAlign w:val="center"/>
          </w:tcPr>
          <w:p>
            <w:pPr>
              <w:pStyle w:val="35"/>
              <w:bidi w:val="0"/>
            </w:pPr>
            <w:r>
              <w:rPr>
                <w:rFonts w:hint="eastAsia"/>
                <w:lang w:val="en-US" w:eastAsia="zh-CN"/>
              </w:rPr>
              <w:t>0</w:t>
            </w:r>
          </w:p>
        </w:tc>
        <w:tc>
          <w:tcPr>
            <w:tcW w:w="565" w:type="pct"/>
            <w:noWrap w:val="0"/>
            <w:vAlign w:val="center"/>
          </w:tcPr>
          <w:p>
            <w:pPr>
              <w:pStyle w:val="35"/>
              <w:bidi w:val="0"/>
              <w:jc w:val="center"/>
              <w:rPr>
                <w:rFonts w:hint="default" w:ascii="Times New Roman" w:hAnsi="Times New Roman" w:eastAsia="宋体"/>
                <w:kern w:val="2"/>
                <w:sz w:val="21"/>
                <w:szCs w:val="21"/>
                <w:lang w:val="en-US" w:eastAsia="zh-CN" w:bidi="ar-SA"/>
              </w:rPr>
            </w:pPr>
            <w:r>
              <w:rPr>
                <w:rFonts w:hint="eastAsia"/>
                <w:lang w:val="en-US" w:eastAsia="zh-CN"/>
              </w:rPr>
              <w:t>1.8</w:t>
            </w:r>
          </w:p>
        </w:tc>
        <w:tc>
          <w:tcPr>
            <w:tcW w:w="638" w:type="pct"/>
            <w:noWrap w:val="0"/>
            <w:vAlign w:val="center"/>
          </w:tcPr>
          <w:p>
            <w:pPr>
              <w:pStyle w:val="35"/>
              <w:bidi w:val="0"/>
            </w:pPr>
            <w:r>
              <w:rPr>
                <w:rFonts w:hint="eastAsia"/>
                <w:lang w:val="en-US" w:eastAsia="zh-CN"/>
              </w:rPr>
              <w:t>0</w:t>
            </w:r>
          </w:p>
        </w:tc>
        <w:tc>
          <w:tcPr>
            <w:tcW w:w="710" w:type="pct"/>
            <w:noWrap w:val="0"/>
            <w:vAlign w:val="center"/>
          </w:tcPr>
          <w:p>
            <w:pPr>
              <w:pStyle w:val="35"/>
              <w:bidi w:val="0"/>
              <w:jc w:val="center"/>
              <w:rPr>
                <w:rFonts w:hint="default" w:ascii="Times New Roman" w:hAnsi="Times New Roman" w:eastAsia="宋体"/>
                <w:kern w:val="2"/>
                <w:sz w:val="21"/>
                <w:szCs w:val="21"/>
                <w:lang w:val="en-US" w:eastAsia="zh-CN" w:bidi="ar-SA"/>
              </w:rPr>
            </w:pPr>
            <w:r>
              <w:rPr>
                <w:rFonts w:hint="eastAsia"/>
                <w:lang w:val="en-US" w:eastAsia="zh-CN"/>
              </w:rPr>
              <w:t>1.8</w:t>
            </w:r>
          </w:p>
        </w:tc>
        <w:tc>
          <w:tcPr>
            <w:tcW w:w="299" w:type="pct"/>
            <w:noWrap w:val="0"/>
            <w:vAlign w:val="center"/>
          </w:tcPr>
          <w:p>
            <w:pPr>
              <w:pStyle w:val="35"/>
              <w:bidi w:val="0"/>
            </w:pPr>
            <w:r>
              <w:rPr>
                <w:rFonts w:hint="eastAsia"/>
                <w:lang w:val="en-US" w:eastAsia="zh-CN"/>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2" w:hRule="atLeast"/>
        </w:trPr>
        <w:tc>
          <w:tcPr>
            <w:tcW w:w="385" w:type="pct"/>
            <w:vMerge w:val="restart"/>
            <w:noWrap w:val="0"/>
            <w:vAlign w:val="center"/>
          </w:tcPr>
          <w:p>
            <w:pPr>
              <w:pStyle w:val="35"/>
              <w:bidi w:val="0"/>
              <w:rPr>
                <w:rFonts w:hint="eastAsia"/>
              </w:rPr>
            </w:pPr>
            <w:r>
              <w:rPr>
                <w:rFonts w:hint="eastAsia"/>
              </w:rPr>
              <w:t>危险废物</w:t>
            </w:r>
          </w:p>
        </w:tc>
        <w:tc>
          <w:tcPr>
            <w:tcW w:w="703" w:type="pct"/>
            <w:noWrap w:val="0"/>
            <w:vAlign w:val="center"/>
          </w:tcPr>
          <w:p>
            <w:pPr>
              <w:pStyle w:val="35"/>
              <w:bidi w:val="0"/>
              <w:jc w:val="center"/>
              <w:rPr>
                <w:rFonts w:hint="eastAsia" w:ascii="Times New Roman" w:hAnsi="Times New Roman" w:eastAsia="宋体" w:cs="Times New Roman"/>
                <w:kern w:val="2"/>
                <w:sz w:val="21"/>
                <w:szCs w:val="21"/>
                <w:lang w:val="en-US" w:eastAsia="zh-CN" w:bidi="ar-SA"/>
              </w:rPr>
            </w:pPr>
            <w:r>
              <w:rPr>
                <w:rFonts w:hint="eastAsia"/>
              </w:rPr>
              <w:t>油罐清洗过程产生的油泥</w:t>
            </w:r>
          </w:p>
        </w:tc>
        <w:tc>
          <w:tcPr>
            <w:tcW w:w="616" w:type="pct"/>
            <w:noWrap w:val="0"/>
            <w:vAlign w:val="center"/>
          </w:tcPr>
          <w:p>
            <w:pPr>
              <w:pStyle w:val="35"/>
              <w:bidi w:val="0"/>
            </w:pPr>
            <w:r>
              <w:rPr>
                <w:rFonts w:hint="eastAsia"/>
                <w:lang w:val="en-US" w:eastAsia="zh-CN"/>
              </w:rPr>
              <w:t>0</w:t>
            </w:r>
          </w:p>
        </w:tc>
        <w:tc>
          <w:tcPr>
            <w:tcW w:w="462" w:type="pct"/>
            <w:noWrap w:val="0"/>
            <w:vAlign w:val="center"/>
          </w:tcPr>
          <w:p>
            <w:pPr>
              <w:pStyle w:val="35"/>
              <w:bidi w:val="0"/>
            </w:pPr>
            <w:r>
              <w:rPr>
                <w:rFonts w:hint="eastAsia"/>
                <w:lang w:val="en-US" w:eastAsia="zh-CN"/>
              </w:rPr>
              <w:t>0</w:t>
            </w:r>
          </w:p>
        </w:tc>
        <w:tc>
          <w:tcPr>
            <w:tcW w:w="616" w:type="pct"/>
            <w:noWrap w:val="0"/>
            <w:vAlign w:val="center"/>
          </w:tcPr>
          <w:p>
            <w:pPr>
              <w:pStyle w:val="35"/>
              <w:bidi w:val="0"/>
            </w:pPr>
            <w:r>
              <w:rPr>
                <w:rFonts w:hint="eastAsia"/>
                <w:lang w:val="en-US" w:eastAsia="zh-CN"/>
              </w:rPr>
              <w:t>0</w:t>
            </w:r>
          </w:p>
        </w:tc>
        <w:tc>
          <w:tcPr>
            <w:tcW w:w="565" w:type="pct"/>
            <w:noWrap w:val="0"/>
            <w:vAlign w:val="center"/>
          </w:tcPr>
          <w:p>
            <w:pPr>
              <w:pStyle w:val="35"/>
              <w:bidi w:val="0"/>
              <w:jc w:val="center"/>
              <w:rPr>
                <w:rFonts w:hint="default" w:ascii="Times New Roman" w:hAnsi="Times New Roman" w:eastAsia="宋体"/>
                <w:kern w:val="2"/>
                <w:sz w:val="21"/>
                <w:szCs w:val="21"/>
                <w:lang w:val="en-US" w:eastAsia="zh-CN" w:bidi="ar-SA"/>
              </w:rPr>
            </w:pPr>
            <w:r>
              <w:rPr>
                <w:rFonts w:hint="eastAsia"/>
                <w:lang w:val="en-US" w:eastAsia="zh-CN"/>
              </w:rPr>
              <w:t>0.2</w:t>
            </w:r>
          </w:p>
        </w:tc>
        <w:tc>
          <w:tcPr>
            <w:tcW w:w="638" w:type="pct"/>
            <w:noWrap w:val="0"/>
            <w:vAlign w:val="center"/>
          </w:tcPr>
          <w:p>
            <w:pPr>
              <w:pStyle w:val="35"/>
              <w:bidi w:val="0"/>
            </w:pPr>
            <w:r>
              <w:rPr>
                <w:rFonts w:hint="eastAsia"/>
                <w:lang w:val="en-US" w:eastAsia="zh-CN"/>
              </w:rPr>
              <w:t>0</w:t>
            </w:r>
          </w:p>
        </w:tc>
        <w:tc>
          <w:tcPr>
            <w:tcW w:w="710" w:type="pct"/>
            <w:noWrap w:val="0"/>
            <w:vAlign w:val="center"/>
          </w:tcPr>
          <w:p>
            <w:pPr>
              <w:pStyle w:val="35"/>
              <w:bidi w:val="0"/>
              <w:jc w:val="center"/>
              <w:rPr>
                <w:rFonts w:hint="default" w:ascii="Times New Roman" w:hAnsi="Times New Roman" w:eastAsia="宋体" w:cs="Times New Roman"/>
                <w:kern w:val="2"/>
                <w:sz w:val="21"/>
                <w:szCs w:val="21"/>
                <w:lang w:val="en-US" w:eastAsia="zh-CN" w:bidi="ar-SA"/>
              </w:rPr>
            </w:pPr>
            <w:r>
              <w:rPr>
                <w:rFonts w:hint="eastAsia"/>
                <w:lang w:val="en-US" w:eastAsia="zh-CN"/>
              </w:rPr>
              <w:t>0.2</w:t>
            </w:r>
          </w:p>
        </w:tc>
        <w:tc>
          <w:tcPr>
            <w:tcW w:w="299" w:type="pct"/>
            <w:noWrap w:val="0"/>
            <w:vAlign w:val="center"/>
          </w:tcPr>
          <w:p>
            <w:pPr>
              <w:pStyle w:val="35"/>
              <w:bidi w:val="0"/>
            </w:pPr>
            <w:r>
              <w:rPr>
                <w:rFonts w:hint="eastAsia"/>
                <w:lang w:val="en-US" w:eastAsia="zh-CN"/>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8" w:hRule="atLeast"/>
        </w:trPr>
        <w:tc>
          <w:tcPr>
            <w:tcW w:w="385" w:type="pct"/>
            <w:vMerge w:val="continue"/>
            <w:noWrap w:val="0"/>
            <w:vAlign w:val="center"/>
          </w:tcPr>
          <w:p>
            <w:pPr>
              <w:pStyle w:val="35"/>
              <w:bidi w:val="0"/>
              <w:rPr>
                <w:rFonts w:hint="eastAsia"/>
              </w:rPr>
            </w:pPr>
          </w:p>
        </w:tc>
        <w:tc>
          <w:tcPr>
            <w:tcW w:w="703" w:type="pct"/>
            <w:noWrap w:val="0"/>
            <w:vAlign w:val="center"/>
          </w:tcPr>
          <w:p>
            <w:pPr>
              <w:pStyle w:val="35"/>
              <w:tabs>
                <w:tab w:val="left" w:pos="1021"/>
              </w:tabs>
              <w:jc w:val="center"/>
            </w:pPr>
            <w:r>
              <w:rPr>
                <w:rFonts w:hint="eastAsia"/>
              </w:rPr>
              <w:t>隔油池</w:t>
            </w:r>
          </w:p>
          <w:p>
            <w:pPr>
              <w:pStyle w:val="35"/>
              <w:bidi w:val="0"/>
              <w:jc w:val="center"/>
              <w:rPr>
                <w:rFonts w:hint="eastAsia" w:ascii="Times New Roman" w:hAnsi="Times New Roman" w:eastAsia="宋体" w:cs="Times New Roman"/>
                <w:kern w:val="2"/>
                <w:sz w:val="21"/>
                <w:szCs w:val="21"/>
                <w:lang w:val="zh-CN" w:eastAsia="zh-CN" w:bidi="ar-SA"/>
              </w:rPr>
            </w:pPr>
            <w:r>
              <w:rPr>
                <w:rFonts w:hint="eastAsia"/>
              </w:rPr>
              <w:t>废油</w:t>
            </w:r>
          </w:p>
        </w:tc>
        <w:tc>
          <w:tcPr>
            <w:tcW w:w="616" w:type="pct"/>
            <w:noWrap w:val="0"/>
            <w:vAlign w:val="center"/>
          </w:tcPr>
          <w:p>
            <w:pPr>
              <w:pStyle w:val="35"/>
              <w:bidi w:val="0"/>
            </w:pPr>
            <w:r>
              <w:rPr>
                <w:rFonts w:hint="eastAsia"/>
                <w:lang w:val="en-US" w:eastAsia="zh-CN"/>
              </w:rPr>
              <w:t>0</w:t>
            </w:r>
          </w:p>
        </w:tc>
        <w:tc>
          <w:tcPr>
            <w:tcW w:w="462" w:type="pct"/>
            <w:noWrap w:val="0"/>
            <w:vAlign w:val="center"/>
          </w:tcPr>
          <w:p>
            <w:pPr>
              <w:pStyle w:val="35"/>
              <w:bidi w:val="0"/>
            </w:pPr>
            <w:r>
              <w:rPr>
                <w:rFonts w:hint="eastAsia"/>
                <w:lang w:val="en-US" w:eastAsia="zh-CN"/>
              </w:rPr>
              <w:t>0</w:t>
            </w:r>
          </w:p>
        </w:tc>
        <w:tc>
          <w:tcPr>
            <w:tcW w:w="616" w:type="pct"/>
            <w:noWrap w:val="0"/>
            <w:vAlign w:val="center"/>
          </w:tcPr>
          <w:p>
            <w:pPr>
              <w:pStyle w:val="35"/>
              <w:bidi w:val="0"/>
            </w:pPr>
            <w:r>
              <w:rPr>
                <w:rFonts w:hint="eastAsia"/>
                <w:lang w:val="en-US" w:eastAsia="zh-CN"/>
              </w:rPr>
              <w:t>0</w:t>
            </w:r>
          </w:p>
        </w:tc>
        <w:tc>
          <w:tcPr>
            <w:tcW w:w="565" w:type="pct"/>
            <w:noWrap w:val="0"/>
            <w:vAlign w:val="center"/>
          </w:tcPr>
          <w:p>
            <w:pPr>
              <w:pStyle w:val="35"/>
              <w:bidi w:val="0"/>
              <w:jc w:val="center"/>
              <w:rPr>
                <w:rFonts w:hint="default" w:ascii="Times New Roman" w:hAnsi="Times New Roman" w:eastAsia="宋体"/>
                <w:kern w:val="2"/>
                <w:sz w:val="21"/>
                <w:szCs w:val="21"/>
                <w:lang w:val="en-US" w:eastAsia="zh-CN" w:bidi="ar-SA"/>
              </w:rPr>
            </w:pPr>
            <w:r>
              <w:rPr>
                <w:rFonts w:hint="eastAsia"/>
                <w:lang w:val="en-US" w:eastAsia="zh-CN"/>
              </w:rPr>
              <w:t>0.2</w:t>
            </w:r>
          </w:p>
        </w:tc>
        <w:tc>
          <w:tcPr>
            <w:tcW w:w="638" w:type="pct"/>
            <w:noWrap w:val="0"/>
            <w:vAlign w:val="center"/>
          </w:tcPr>
          <w:p>
            <w:pPr>
              <w:pStyle w:val="35"/>
              <w:bidi w:val="0"/>
            </w:pPr>
            <w:r>
              <w:rPr>
                <w:rFonts w:hint="eastAsia"/>
                <w:lang w:val="en-US" w:eastAsia="zh-CN"/>
              </w:rPr>
              <w:t>0</w:t>
            </w:r>
          </w:p>
        </w:tc>
        <w:tc>
          <w:tcPr>
            <w:tcW w:w="710" w:type="pct"/>
            <w:noWrap w:val="0"/>
            <w:vAlign w:val="center"/>
          </w:tcPr>
          <w:p>
            <w:pPr>
              <w:pStyle w:val="35"/>
              <w:bidi w:val="0"/>
              <w:jc w:val="center"/>
              <w:rPr>
                <w:rFonts w:hint="default" w:ascii="Times New Roman" w:hAnsi="Times New Roman" w:eastAsia="宋体" w:cs="Times New Roman"/>
                <w:kern w:val="2"/>
                <w:sz w:val="21"/>
                <w:szCs w:val="21"/>
                <w:lang w:val="en-US" w:eastAsia="zh-CN" w:bidi="ar-SA"/>
              </w:rPr>
            </w:pPr>
            <w:r>
              <w:rPr>
                <w:rFonts w:hint="eastAsia"/>
                <w:lang w:val="en-US" w:eastAsia="zh-CN"/>
              </w:rPr>
              <w:t>0.2</w:t>
            </w:r>
          </w:p>
        </w:tc>
        <w:tc>
          <w:tcPr>
            <w:tcW w:w="299" w:type="pct"/>
            <w:noWrap w:val="0"/>
            <w:vAlign w:val="center"/>
          </w:tcPr>
          <w:p>
            <w:pPr>
              <w:pStyle w:val="35"/>
              <w:bidi w:val="0"/>
            </w:pPr>
            <w:r>
              <w:rPr>
                <w:rFonts w:hint="eastAsia"/>
                <w:lang w:val="en-US" w:eastAsia="zh-CN"/>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9" w:hRule="atLeast"/>
        </w:trPr>
        <w:tc>
          <w:tcPr>
            <w:tcW w:w="385" w:type="pct"/>
            <w:vMerge w:val="continue"/>
            <w:noWrap w:val="0"/>
            <w:vAlign w:val="center"/>
          </w:tcPr>
          <w:p>
            <w:pPr>
              <w:pStyle w:val="35"/>
              <w:bidi w:val="0"/>
            </w:pPr>
          </w:p>
        </w:tc>
        <w:tc>
          <w:tcPr>
            <w:tcW w:w="703" w:type="pct"/>
            <w:noWrap w:val="0"/>
            <w:vAlign w:val="center"/>
          </w:tcPr>
          <w:p>
            <w:pPr>
              <w:pStyle w:val="35"/>
              <w:bidi w:val="0"/>
              <w:jc w:val="center"/>
              <w:rPr>
                <w:rFonts w:hint="eastAsia" w:ascii="Times New Roman" w:hAnsi="Times New Roman" w:eastAsia="宋体" w:cs="Times New Roman"/>
                <w:kern w:val="2"/>
                <w:sz w:val="21"/>
                <w:szCs w:val="21"/>
                <w:lang w:val="zh-CN" w:eastAsia="zh-CN" w:bidi="ar-SA"/>
              </w:rPr>
            </w:pPr>
            <w:r>
              <w:rPr>
                <w:rFonts w:hint="eastAsia"/>
              </w:rPr>
              <w:t>含油废物</w:t>
            </w:r>
          </w:p>
        </w:tc>
        <w:tc>
          <w:tcPr>
            <w:tcW w:w="616" w:type="pct"/>
            <w:noWrap w:val="0"/>
            <w:vAlign w:val="center"/>
          </w:tcPr>
          <w:p>
            <w:pPr>
              <w:pStyle w:val="35"/>
              <w:bidi w:val="0"/>
            </w:pPr>
            <w:r>
              <w:rPr>
                <w:rFonts w:hint="eastAsia"/>
                <w:lang w:val="en-US" w:eastAsia="zh-CN"/>
              </w:rPr>
              <w:t>0</w:t>
            </w:r>
          </w:p>
        </w:tc>
        <w:tc>
          <w:tcPr>
            <w:tcW w:w="462" w:type="pct"/>
            <w:noWrap w:val="0"/>
            <w:vAlign w:val="center"/>
          </w:tcPr>
          <w:p>
            <w:pPr>
              <w:pStyle w:val="35"/>
              <w:bidi w:val="0"/>
            </w:pPr>
            <w:r>
              <w:rPr>
                <w:rFonts w:hint="eastAsia"/>
                <w:lang w:val="en-US" w:eastAsia="zh-CN"/>
              </w:rPr>
              <w:t>0</w:t>
            </w:r>
          </w:p>
        </w:tc>
        <w:tc>
          <w:tcPr>
            <w:tcW w:w="616" w:type="pct"/>
            <w:noWrap w:val="0"/>
            <w:vAlign w:val="center"/>
          </w:tcPr>
          <w:p>
            <w:pPr>
              <w:pStyle w:val="35"/>
              <w:bidi w:val="0"/>
            </w:pPr>
            <w:r>
              <w:rPr>
                <w:rFonts w:hint="eastAsia"/>
                <w:lang w:val="en-US" w:eastAsia="zh-CN"/>
              </w:rPr>
              <w:t>0</w:t>
            </w:r>
          </w:p>
        </w:tc>
        <w:tc>
          <w:tcPr>
            <w:tcW w:w="565" w:type="pct"/>
            <w:noWrap w:val="0"/>
            <w:vAlign w:val="center"/>
          </w:tcPr>
          <w:p>
            <w:pPr>
              <w:pStyle w:val="35"/>
              <w:bidi w:val="0"/>
              <w:jc w:val="center"/>
              <w:rPr>
                <w:rFonts w:hint="default" w:ascii="Times New Roman" w:hAnsi="Times New Roman" w:eastAsia="宋体"/>
                <w:kern w:val="2"/>
                <w:sz w:val="21"/>
                <w:szCs w:val="21"/>
                <w:lang w:val="en-US" w:eastAsia="zh-CN" w:bidi="ar-SA"/>
              </w:rPr>
            </w:pPr>
            <w:r>
              <w:rPr>
                <w:rFonts w:hint="eastAsia"/>
                <w:lang w:val="en-US" w:eastAsia="zh-CN"/>
              </w:rPr>
              <w:t>0.1</w:t>
            </w:r>
          </w:p>
        </w:tc>
        <w:tc>
          <w:tcPr>
            <w:tcW w:w="638" w:type="pct"/>
            <w:noWrap w:val="0"/>
            <w:vAlign w:val="center"/>
          </w:tcPr>
          <w:p>
            <w:pPr>
              <w:pStyle w:val="35"/>
              <w:bidi w:val="0"/>
            </w:pPr>
            <w:r>
              <w:rPr>
                <w:rFonts w:hint="eastAsia"/>
                <w:lang w:val="en-US" w:eastAsia="zh-CN"/>
              </w:rPr>
              <w:t>0</w:t>
            </w:r>
          </w:p>
        </w:tc>
        <w:tc>
          <w:tcPr>
            <w:tcW w:w="710" w:type="pct"/>
            <w:noWrap w:val="0"/>
            <w:vAlign w:val="center"/>
          </w:tcPr>
          <w:p>
            <w:pPr>
              <w:pStyle w:val="35"/>
              <w:bidi w:val="0"/>
              <w:jc w:val="center"/>
              <w:rPr>
                <w:rFonts w:hint="default" w:ascii="Times New Roman" w:hAnsi="Times New Roman" w:eastAsia="宋体" w:cs="Times New Roman"/>
                <w:kern w:val="2"/>
                <w:sz w:val="21"/>
                <w:szCs w:val="21"/>
                <w:lang w:val="en-US" w:eastAsia="zh-CN" w:bidi="ar-SA"/>
              </w:rPr>
            </w:pPr>
            <w:r>
              <w:rPr>
                <w:rFonts w:hint="eastAsia"/>
                <w:lang w:val="en-US" w:eastAsia="zh-CN"/>
              </w:rPr>
              <w:t>0.1</w:t>
            </w:r>
          </w:p>
        </w:tc>
        <w:tc>
          <w:tcPr>
            <w:tcW w:w="299" w:type="pct"/>
            <w:noWrap w:val="0"/>
            <w:vAlign w:val="center"/>
          </w:tcPr>
          <w:p>
            <w:pPr>
              <w:pStyle w:val="35"/>
              <w:bidi w:val="0"/>
            </w:pPr>
            <w:r>
              <w:rPr>
                <w:rFonts w:hint="eastAsia"/>
                <w:lang w:val="en-US" w:eastAsia="zh-CN"/>
              </w:rPr>
              <w:t>0</w:t>
            </w:r>
          </w:p>
        </w:tc>
      </w:tr>
    </w:tbl>
    <w:p>
      <w:pPr>
        <w:spacing w:before="192" w:beforeLines="80" w:after="24"/>
        <w:jc w:val="left"/>
        <w:rPr>
          <w:rFonts w:hint="eastAsia"/>
        </w:rPr>
      </w:pPr>
      <w:r>
        <w:rPr>
          <w:rFonts w:hAnsi="宋体"/>
          <w:snapToGrid w:val="0"/>
          <w:color w:val="000000"/>
          <w:kern w:val="21"/>
          <w:szCs w:val="21"/>
        </w:rPr>
        <w:t>注：</w:t>
      </w:r>
      <w:r>
        <w:rPr>
          <w:rFonts w:hAnsi="宋体"/>
          <w:snapToGrid w:val="0"/>
          <w:color w:val="000000"/>
          <w:spacing w:val="-16"/>
          <w:kern w:val="21"/>
          <w:szCs w:val="21"/>
        </w:rPr>
        <w:fldChar w:fldCharType="begin"/>
      </w:r>
      <w:r>
        <w:rPr>
          <w:rFonts w:hAnsi="宋体"/>
          <w:snapToGrid w:val="0"/>
          <w:color w:val="000000"/>
          <w:spacing w:val="-16"/>
          <w:kern w:val="21"/>
          <w:szCs w:val="21"/>
        </w:rPr>
        <w:instrText xml:space="preserve"> = 6 \* GB3 \* MERGEFORMAT </w:instrText>
      </w:r>
      <w:r>
        <w:rPr>
          <w:rFonts w:hAnsi="宋体"/>
          <w:snapToGrid w:val="0"/>
          <w:color w:val="000000"/>
          <w:spacing w:val="-16"/>
          <w:kern w:val="21"/>
          <w:szCs w:val="21"/>
        </w:rPr>
        <w:fldChar w:fldCharType="separate"/>
      </w:r>
      <w:r>
        <w:rPr>
          <w:rFonts w:hint="eastAsia" w:hAnsi="宋体"/>
          <w:szCs w:val="21"/>
        </w:rPr>
        <w:t>⑥</w:t>
      </w:r>
      <w:r>
        <w:rPr>
          <w:rFonts w:hAnsi="宋体"/>
          <w:snapToGrid w:val="0"/>
          <w:color w:val="000000"/>
          <w:spacing w:val="-16"/>
          <w:kern w:val="21"/>
          <w:szCs w:val="21"/>
        </w:rPr>
        <w:fldChar w:fldCharType="end"/>
      </w:r>
      <w:r>
        <w:rPr>
          <w:rFonts w:hAnsi="宋体"/>
          <w:snapToGrid w:val="0"/>
          <w:color w:val="000000"/>
          <w:spacing w:val="-16"/>
          <w:kern w:val="21"/>
          <w:szCs w:val="21"/>
        </w:rPr>
        <w:t>=</w:t>
      </w:r>
      <w:r>
        <w:rPr>
          <w:rFonts w:hAnsi="宋体"/>
          <w:snapToGrid w:val="0"/>
          <w:color w:val="000000"/>
          <w:spacing w:val="-6"/>
          <w:kern w:val="21"/>
          <w:szCs w:val="21"/>
        </w:rPr>
        <w:fldChar w:fldCharType="begin"/>
      </w:r>
      <w:r>
        <w:rPr>
          <w:rFonts w:hAnsi="宋体"/>
          <w:snapToGrid w:val="0"/>
          <w:color w:val="000000"/>
          <w:spacing w:val="-6"/>
          <w:kern w:val="21"/>
          <w:szCs w:val="21"/>
        </w:rPr>
        <w:instrText xml:space="preserve"> = 1 \* GB3 \* MERGEFORMAT </w:instrText>
      </w:r>
      <w:r>
        <w:rPr>
          <w:rFonts w:hAnsi="宋体"/>
          <w:snapToGrid w:val="0"/>
          <w:color w:val="000000"/>
          <w:spacing w:val="-6"/>
          <w:kern w:val="21"/>
          <w:szCs w:val="21"/>
        </w:rPr>
        <w:fldChar w:fldCharType="separate"/>
      </w:r>
      <w:r>
        <w:rPr>
          <w:rFonts w:hint="eastAsia" w:hAnsi="宋体"/>
          <w:szCs w:val="21"/>
        </w:rPr>
        <w:t>①</w:t>
      </w:r>
      <w:r>
        <w:rPr>
          <w:rFonts w:hAnsi="宋体"/>
          <w:snapToGrid w:val="0"/>
          <w:color w:val="000000"/>
          <w:spacing w:val="-6"/>
          <w:kern w:val="21"/>
          <w:szCs w:val="21"/>
        </w:rPr>
        <w:fldChar w:fldCharType="end"/>
      </w:r>
      <w:r>
        <w:rPr>
          <w:rFonts w:hAnsi="宋体"/>
          <w:snapToGrid w:val="0"/>
          <w:color w:val="000000"/>
          <w:spacing w:val="-6"/>
          <w:kern w:val="21"/>
          <w:szCs w:val="21"/>
        </w:rPr>
        <w:t>+</w:t>
      </w:r>
      <w:r>
        <w:rPr>
          <w:rFonts w:hAnsi="宋体"/>
          <w:snapToGrid w:val="0"/>
          <w:color w:val="000000"/>
          <w:spacing w:val="-6"/>
          <w:kern w:val="21"/>
          <w:szCs w:val="21"/>
        </w:rPr>
        <w:fldChar w:fldCharType="begin"/>
      </w:r>
      <w:r>
        <w:rPr>
          <w:rFonts w:hAnsi="宋体"/>
          <w:snapToGrid w:val="0"/>
          <w:color w:val="000000"/>
          <w:spacing w:val="-6"/>
          <w:kern w:val="21"/>
          <w:szCs w:val="21"/>
        </w:rPr>
        <w:instrText xml:space="preserve"> = 3 \* GB3 \* MERGEFORMAT </w:instrText>
      </w:r>
      <w:r>
        <w:rPr>
          <w:rFonts w:hAnsi="宋体"/>
          <w:snapToGrid w:val="0"/>
          <w:color w:val="000000"/>
          <w:spacing w:val="-6"/>
          <w:kern w:val="21"/>
          <w:szCs w:val="21"/>
        </w:rPr>
        <w:fldChar w:fldCharType="separate"/>
      </w:r>
      <w:r>
        <w:rPr>
          <w:rFonts w:hint="eastAsia" w:hAnsi="宋体"/>
          <w:szCs w:val="21"/>
        </w:rPr>
        <w:t>③</w:t>
      </w:r>
      <w:r>
        <w:rPr>
          <w:rFonts w:hAnsi="宋体"/>
          <w:snapToGrid w:val="0"/>
          <w:color w:val="000000"/>
          <w:spacing w:val="-6"/>
          <w:kern w:val="21"/>
          <w:szCs w:val="21"/>
        </w:rPr>
        <w:fldChar w:fldCharType="end"/>
      </w:r>
      <w:r>
        <w:rPr>
          <w:rFonts w:hAnsi="宋体"/>
          <w:snapToGrid w:val="0"/>
          <w:color w:val="000000"/>
          <w:spacing w:val="-6"/>
          <w:kern w:val="21"/>
          <w:szCs w:val="21"/>
        </w:rPr>
        <w:t>+</w:t>
      </w:r>
      <w:r>
        <w:rPr>
          <w:rFonts w:hAnsi="宋体"/>
          <w:snapToGrid w:val="0"/>
          <w:color w:val="000000"/>
          <w:spacing w:val="-6"/>
          <w:kern w:val="21"/>
          <w:szCs w:val="21"/>
        </w:rPr>
        <w:fldChar w:fldCharType="begin"/>
      </w:r>
      <w:r>
        <w:rPr>
          <w:rFonts w:hAnsi="宋体"/>
          <w:snapToGrid w:val="0"/>
          <w:color w:val="000000"/>
          <w:spacing w:val="-6"/>
          <w:kern w:val="21"/>
          <w:szCs w:val="21"/>
        </w:rPr>
        <w:instrText xml:space="preserve"> = 4 \* GB3 \* MERGEFORMAT </w:instrText>
      </w:r>
      <w:r>
        <w:rPr>
          <w:rFonts w:hAnsi="宋体"/>
          <w:snapToGrid w:val="0"/>
          <w:color w:val="000000"/>
          <w:spacing w:val="-6"/>
          <w:kern w:val="21"/>
          <w:szCs w:val="21"/>
        </w:rPr>
        <w:fldChar w:fldCharType="separate"/>
      </w:r>
      <w:r>
        <w:rPr>
          <w:rFonts w:hint="eastAsia" w:hAnsi="宋体"/>
          <w:szCs w:val="21"/>
        </w:rPr>
        <w:t>④</w:t>
      </w:r>
      <w:r>
        <w:rPr>
          <w:rFonts w:hAnsi="宋体"/>
          <w:snapToGrid w:val="0"/>
          <w:color w:val="000000"/>
          <w:spacing w:val="-6"/>
          <w:kern w:val="21"/>
          <w:szCs w:val="21"/>
        </w:rPr>
        <w:fldChar w:fldCharType="end"/>
      </w:r>
      <w:r>
        <w:rPr>
          <w:rFonts w:hAnsi="宋体"/>
          <w:snapToGrid w:val="0"/>
          <w:color w:val="000000"/>
          <w:spacing w:val="-6"/>
          <w:kern w:val="21"/>
          <w:szCs w:val="21"/>
        </w:rPr>
        <w:t>-</w:t>
      </w:r>
      <w:r>
        <w:rPr>
          <w:rFonts w:hAnsi="宋体"/>
          <w:snapToGrid w:val="0"/>
          <w:color w:val="000000"/>
          <w:spacing w:val="-16"/>
          <w:kern w:val="21"/>
          <w:szCs w:val="21"/>
        </w:rPr>
        <w:fldChar w:fldCharType="begin"/>
      </w:r>
      <w:r>
        <w:rPr>
          <w:rFonts w:hAnsi="宋体"/>
          <w:snapToGrid w:val="0"/>
          <w:color w:val="000000"/>
          <w:spacing w:val="-16"/>
          <w:kern w:val="21"/>
          <w:szCs w:val="21"/>
        </w:rPr>
        <w:instrText xml:space="preserve"> = 5 \* GB3 \* MERGEFORMAT </w:instrText>
      </w:r>
      <w:r>
        <w:rPr>
          <w:rFonts w:hAnsi="宋体"/>
          <w:snapToGrid w:val="0"/>
          <w:color w:val="000000"/>
          <w:spacing w:val="-16"/>
          <w:kern w:val="21"/>
          <w:szCs w:val="21"/>
        </w:rPr>
        <w:fldChar w:fldCharType="separate"/>
      </w:r>
      <w:r>
        <w:rPr>
          <w:rFonts w:hint="eastAsia" w:hAnsi="宋体"/>
          <w:szCs w:val="21"/>
        </w:rPr>
        <w:t>⑤</w:t>
      </w:r>
      <w:r>
        <w:rPr>
          <w:rFonts w:hAnsi="宋体"/>
          <w:snapToGrid w:val="0"/>
          <w:color w:val="000000"/>
          <w:spacing w:val="-16"/>
          <w:kern w:val="21"/>
          <w:szCs w:val="21"/>
        </w:rPr>
        <w:fldChar w:fldCharType="end"/>
      </w:r>
      <w:r>
        <w:rPr>
          <w:rFonts w:hAnsi="宋体"/>
          <w:snapToGrid w:val="0"/>
          <w:color w:val="000000"/>
          <w:spacing w:val="-16"/>
          <w:kern w:val="21"/>
          <w:szCs w:val="21"/>
        </w:rPr>
        <w:t>；</w:t>
      </w:r>
      <w:r>
        <w:rPr>
          <w:rFonts w:hAnsi="宋体"/>
          <w:snapToGrid w:val="0"/>
          <w:color w:val="000000"/>
          <w:spacing w:val="-6"/>
          <w:kern w:val="21"/>
          <w:szCs w:val="21"/>
        </w:rPr>
        <w:fldChar w:fldCharType="begin"/>
      </w:r>
      <w:r>
        <w:rPr>
          <w:rFonts w:hAnsi="宋体"/>
          <w:snapToGrid w:val="0"/>
          <w:color w:val="000000"/>
          <w:spacing w:val="-6"/>
          <w:kern w:val="21"/>
          <w:szCs w:val="21"/>
        </w:rPr>
        <w:instrText xml:space="preserve"> = 7 \* GB3 \* MERGEFORMAT </w:instrText>
      </w:r>
      <w:r>
        <w:rPr>
          <w:rFonts w:hAnsi="宋体"/>
          <w:snapToGrid w:val="0"/>
          <w:color w:val="000000"/>
          <w:spacing w:val="-6"/>
          <w:kern w:val="21"/>
          <w:szCs w:val="21"/>
        </w:rPr>
        <w:fldChar w:fldCharType="separate"/>
      </w:r>
      <w:r>
        <w:rPr>
          <w:rFonts w:hint="eastAsia" w:hAnsi="宋体"/>
          <w:szCs w:val="21"/>
        </w:rPr>
        <w:t>⑦</w:t>
      </w:r>
      <w:r>
        <w:rPr>
          <w:rFonts w:hAnsi="宋体"/>
          <w:snapToGrid w:val="0"/>
          <w:color w:val="000000"/>
          <w:spacing w:val="-6"/>
          <w:kern w:val="21"/>
          <w:szCs w:val="21"/>
        </w:rPr>
        <w:fldChar w:fldCharType="end"/>
      </w:r>
      <w:r>
        <w:rPr>
          <w:rFonts w:hAnsi="宋体"/>
          <w:snapToGrid w:val="0"/>
          <w:color w:val="000000"/>
          <w:spacing w:val="-6"/>
          <w:kern w:val="21"/>
          <w:szCs w:val="21"/>
        </w:rPr>
        <w:t>=</w:t>
      </w:r>
      <w:r>
        <w:rPr>
          <w:rFonts w:hAnsi="宋体"/>
          <w:snapToGrid w:val="0"/>
          <w:color w:val="000000"/>
          <w:spacing w:val="-16"/>
          <w:kern w:val="21"/>
          <w:szCs w:val="21"/>
        </w:rPr>
        <w:fldChar w:fldCharType="begin"/>
      </w:r>
      <w:r>
        <w:rPr>
          <w:rFonts w:hAnsi="宋体"/>
          <w:snapToGrid w:val="0"/>
          <w:color w:val="000000"/>
          <w:spacing w:val="-16"/>
          <w:kern w:val="21"/>
          <w:szCs w:val="21"/>
        </w:rPr>
        <w:instrText xml:space="preserve"> = 6 \* GB3 \* MERGEFORMAT </w:instrText>
      </w:r>
      <w:r>
        <w:rPr>
          <w:rFonts w:hAnsi="宋体"/>
          <w:snapToGrid w:val="0"/>
          <w:color w:val="000000"/>
          <w:spacing w:val="-16"/>
          <w:kern w:val="21"/>
          <w:szCs w:val="21"/>
        </w:rPr>
        <w:fldChar w:fldCharType="separate"/>
      </w:r>
      <w:r>
        <w:rPr>
          <w:rFonts w:hint="eastAsia" w:hAnsi="宋体"/>
          <w:szCs w:val="21"/>
        </w:rPr>
        <w:t>⑥</w:t>
      </w:r>
      <w:r>
        <w:rPr>
          <w:rFonts w:hAnsi="宋体"/>
          <w:snapToGrid w:val="0"/>
          <w:color w:val="000000"/>
          <w:spacing w:val="-16"/>
          <w:kern w:val="21"/>
          <w:szCs w:val="21"/>
        </w:rPr>
        <w:fldChar w:fldCharType="end"/>
      </w:r>
      <w:r>
        <w:rPr>
          <w:rFonts w:hAnsi="宋体"/>
          <w:snapToGrid w:val="0"/>
          <w:color w:val="000000"/>
          <w:spacing w:val="-16"/>
          <w:kern w:val="21"/>
          <w:szCs w:val="21"/>
        </w:rPr>
        <w:t>-</w:t>
      </w:r>
      <w:r>
        <w:rPr>
          <w:rFonts w:hAnsi="宋体"/>
          <w:snapToGrid w:val="0"/>
          <w:color w:val="000000"/>
          <w:spacing w:val="-6"/>
          <w:kern w:val="21"/>
          <w:szCs w:val="21"/>
        </w:rPr>
        <w:fldChar w:fldCharType="begin"/>
      </w:r>
      <w:r>
        <w:rPr>
          <w:rFonts w:hAnsi="宋体"/>
          <w:snapToGrid w:val="0"/>
          <w:color w:val="000000"/>
          <w:spacing w:val="-6"/>
          <w:kern w:val="21"/>
          <w:szCs w:val="21"/>
        </w:rPr>
        <w:instrText xml:space="preserve"> = 1 \* GB3 \* MERGEFORMAT </w:instrText>
      </w:r>
      <w:r>
        <w:rPr>
          <w:rFonts w:hAnsi="宋体"/>
          <w:snapToGrid w:val="0"/>
          <w:color w:val="000000"/>
          <w:spacing w:val="-6"/>
          <w:kern w:val="21"/>
          <w:szCs w:val="21"/>
        </w:rPr>
        <w:fldChar w:fldCharType="separate"/>
      </w:r>
      <w:r>
        <w:rPr>
          <w:rFonts w:hint="eastAsia" w:hAnsi="宋体"/>
          <w:szCs w:val="21"/>
        </w:rPr>
        <w:t>①</w:t>
      </w:r>
      <w:r>
        <w:rPr>
          <w:rFonts w:hAnsi="宋体"/>
          <w:snapToGrid w:val="0"/>
          <w:color w:val="000000"/>
          <w:spacing w:val="-6"/>
          <w:kern w:val="21"/>
          <w:szCs w:val="21"/>
        </w:rPr>
        <w:fldChar w:fldCharType="end"/>
      </w:r>
    </w:p>
    <w:p>
      <w:pPr>
        <w:pStyle w:val="18"/>
        <w:rPr>
          <w:rFonts w:hint="eastAsia"/>
        </w:rPr>
      </w:pPr>
    </w:p>
    <w:p>
      <w:pPr>
        <w:pStyle w:val="14"/>
        <w:rPr>
          <w:rFonts w:hint="eastAsia" w:eastAsia="宋体"/>
          <w:lang w:eastAsia="zh-CN"/>
        </w:rPr>
        <w:sectPr>
          <w:pgSz w:w="16838" w:h="11906" w:orient="landscape"/>
          <w:pgMar w:top="1440" w:right="1800" w:bottom="1440" w:left="1800" w:header="851" w:footer="851" w:gutter="0"/>
          <w:pgNumType w:fmt="decimal"/>
          <w:cols w:space="720" w:num="1"/>
          <w:docGrid w:linePitch="312" w:charSpace="0"/>
        </w:sectPr>
      </w:pPr>
    </w:p>
    <w:p>
      <w:pPr>
        <w:pStyle w:val="7"/>
        <w:bidi w:val="0"/>
        <w:jc w:val="center"/>
        <w:rPr>
          <w:rFonts w:hint="eastAsia"/>
          <w:lang w:val="en-US" w:eastAsia="zh-CN"/>
        </w:rPr>
      </w:pPr>
      <w:bookmarkStart w:id="128" w:name="_Toc24694"/>
      <w:bookmarkStart w:id="129" w:name="_Toc14846"/>
      <w:bookmarkStart w:id="130" w:name="_Toc26858"/>
      <w:bookmarkStart w:id="131" w:name="_Toc3107"/>
      <w:bookmarkStart w:id="132" w:name="_Toc12295"/>
      <w:bookmarkStart w:id="133" w:name="_Toc27442"/>
      <w:bookmarkStart w:id="134" w:name="_Toc5487"/>
      <w:bookmarkStart w:id="135" w:name="_Toc13343"/>
      <w:bookmarkStart w:id="136" w:name="_Toc19598"/>
      <w:bookmarkStart w:id="137" w:name="_Toc2880"/>
      <w:bookmarkStart w:id="138" w:name="_Toc27983"/>
      <w:bookmarkStart w:id="139" w:name="_Toc13291"/>
      <w:r>
        <w:rPr>
          <w:rFonts w:hint="eastAsia"/>
          <w:lang w:val="en-US" w:eastAsia="zh-CN"/>
        </w:rPr>
        <w:t>附件</w:t>
      </w:r>
      <w:bookmarkEnd w:id="128"/>
      <w:bookmarkEnd w:id="129"/>
      <w:bookmarkEnd w:id="130"/>
      <w:bookmarkEnd w:id="131"/>
      <w:bookmarkEnd w:id="132"/>
      <w:bookmarkEnd w:id="133"/>
      <w:bookmarkEnd w:id="134"/>
      <w:bookmarkEnd w:id="135"/>
      <w:bookmarkEnd w:id="136"/>
      <w:bookmarkEnd w:id="137"/>
      <w:bookmarkEnd w:id="138"/>
      <w:bookmarkEnd w:id="139"/>
    </w:p>
    <w:p>
      <w:pPr>
        <w:pStyle w:val="8"/>
        <w:bidi w:val="0"/>
      </w:pPr>
      <w:bookmarkStart w:id="140" w:name="_Toc3727"/>
      <w:bookmarkStart w:id="141" w:name="_Toc25244"/>
      <w:bookmarkStart w:id="142" w:name="_Toc19676"/>
      <w:bookmarkStart w:id="143" w:name="_Toc8517"/>
      <w:bookmarkStart w:id="144" w:name="_Toc15893"/>
      <w:bookmarkStart w:id="145" w:name="_Toc19298"/>
      <w:bookmarkStart w:id="146" w:name="_Toc27660"/>
      <w:bookmarkStart w:id="147" w:name="_Toc27961"/>
      <w:bookmarkStart w:id="148" w:name="_Toc28717"/>
      <w:r>
        <w:t>附件</w:t>
      </w:r>
      <w:r>
        <w:rPr>
          <w:rFonts w:hint="eastAsia"/>
          <w:lang w:val="en-US" w:eastAsia="zh-CN"/>
        </w:rPr>
        <w:t>1</w:t>
      </w:r>
      <w:r>
        <w:t>项目委托书</w:t>
      </w:r>
      <w:bookmarkEnd w:id="140"/>
      <w:bookmarkEnd w:id="141"/>
      <w:bookmarkEnd w:id="142"/>
      <w:bookmarkEnd w:id="143"/>
      <w:bookmarkEnd w:id="144"/>
      <w:bookmarkEnd w:id="145"/>
      <w:bookmarkEnd w:id="146"/>
      <w:bookmarkEnd w:id="147"/>
      <w:bookmarkEnd w:id="148"/>
    </w:p>
    <w:p>
      <w:pPr>
        <w:pStyle w:val="2"/>
        <w:rPr>
          <w:rFonts w:hint="eastAsia" w:eastAsia="宋体"/>
          <w:lang w:eastAsia="zh-CN"/>
        </w:rPr>
        <w:sectPr>
          <w:pgSz w:w="11906" w:h="16838"/>
          <w:pgMar w:top="1440" w:right="1800" w:bottom="1440" w:left="1800" w:header="851" w:footer="851" w:gutter="0"/>
          <w:pgNumType w:fmt="decimal"/>
          <w:cols w:space="720" w:num="1"/>
          <w:docGrid w:linePitch="312" w:charSpace="0"/>
        </w:sectPr>
      </w:pPr>
      <w:r>
        <w:rPr>
          <w:rFonts w:hint="eastAsia" w:eastAsia="宋体"/>
          <w:lang w:eastAsia="zh-CN"/>
        </w:rPr>
        <w:drawing>
          <wp:inline distT="0" distB="0" distL="114300" distR="114300">
            <wp:extent cx="5271135" cy="7453630"/>
            <wp:effectExtent l="0" t="0" r="5715" b="13970"/>
            <wp:docPr id="24" name="图片 24" descr="委 托 书(1)_20230515164407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委 托 书(1)_20230515164407_00"/>
                    <pic:cNvPicPr>
                      <a:picLocks noChangeAspect="1"/>
                    </pic:cNvPicPr>
                  </pic:nvPicPr>
                  <pic:blipFill>
                    <a:blip r:embed="rId24"/>
                    <a:stretch>
                      <a:fillRect/>
                    </a:stretch>
                  </pic:blipFill>
                  <pic:spPr>
                    <a:xfrm>
                      <a:off x="0" y="0"/>
                      <a:ext cx="5271135" cy="7453630"/>
                    </a:xfrm>
                    <a:prstGeom prst="rect">
                      <a:avLst/>
                    </a:prstGeom>
                  </pic:spPr>
                </pic:pic>
              </a:graphicData>
            </a:graphic>
          </wp:inline>
        </w:drawing>
      </w:r>
    </w:p>
    <w:p>
      <w:pPr>
        <w:pStyle w:val="8"/>
        <w:bidi w:val="0"/>
        <w:rPr>
          <w:rFonts w:hint="eastAsia"/>
          <w:lang w:eastAsia="zh-CN"/>
        </w:rPr>
      </w:pPr>
      <w:bookmarkStart w:id="149" w:name="_Toc1685"/>
      <w:bookmarkStart w:id="150" w:name="_Toc9371"/>
      <w:bookmarkStart w:id="151" w:name="_Toc16825"/>
      <w:bookmarkStart w:id="152" w:name="_Toc25588"/>
      <w:bookmarkStart w:id="153" w:name="_Toc3310"/>
      <w:bookmarkStart w:id="154" w:name="_Toc23387"/>
      <w:bookmarkStart w:id="155" w:name="_Toc17092"/>
      <w:bookmarkStart w:id="156" w:name="_Toc21515"/>
      <w:bookmarkStart w:id="157" w:name="_Toc7674"/>
      <w:r>
        <w:t>附件</w:t>
      </w:r>
      <w:r>
        <w:rPr>
          <w:rFonts w:hint="eastAsia"/>
          <w:lang w:val="en-US" w:eastAsia="zh-CN"/>
        </w:rPr>
        <w:t>2</w:t>
      </w:r>
      <w:r>
        <w:rPr>
          <w:rFonts w:hint="eastAsia"/>
          <w:lang w:eastAsia="zh-CN"/>
        </w:rPr>
        <w:t>建设单位营业执照</w:t>
      </w:r>
      <w:bookmarkEnd w:id="149"/>
      <w:bookmarkEnd w:id="150"/>
      <w:bookmarkEnd w:id="151"/>
      <w:bookmarkEnd w:id="152"/>
      <w:bookmarkEnd w:id="153"/>
      <w:bookmarkEnd w:id="154"/>
      <w:bookmarkEnd w:id="155"/>
      <w:bookmarkEnd w:id="156"/>
      <w:bookmarkEnd w:id="157"/>
    </w:p>
    <w:p>
      <w:pPr>
        <w:rPr>
          <w:rFonts w:hint="eastAsia"/>
          <w:lang w:val="en-US" w:eastAsia="zh-CN"/>
        </w:rPr>
      </w:pPr>
      <w:r>
        <w:drawing>
          <wp:inline distT="0" distB="0" distL="114300" distR="114300">
            <wp:extent cx="8397240" cy="5138420"/>
            <wp:effectExtent l="0" t="0" r="3810" b="5080"/>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25"/>
                    <a:stretch>
                      <a:fillRect/>
                    </a:stretch>
                  </pic:blipFill>
                  <pic:spPr>
                    <a:xfrm>
                      <a:off x="0" y="0"/>
                      <a:ext cx="8397240" cy="5138420"/>
                    </a:xfrm>
                    <a:prstGeom prst="rect">
                      <a:avLst/>
                    </a:prstGeom>
                    <a:noFill/>
                    <a:ln>
                      <a:noFill/>
                    </a:ln>
                  </pic:spPr>
                </pic:pic>
              </a:graphicData>
            </a:graphic>
          </wp:inline>
        </w:drawing>
      </w:r>
    </w:p>
    <w:p>
      <w:pPr>
        <w:sectPr>
          <w:pgSz w:w="16838" w:h="11906" w:orient="landscape"/>
          <w:pgMar w:top="1440" w:right="1800" w:bottom="1440" w:left="1800" w:header="851" w:footer="851" w:gutter="0"/>
          <w:pgNumType w:fmt="decimal"/>
          <w:cols w:space="720" w:num="1"/>
          <w:docGrid w:linePitch="312" w:charSpace="0"/>
        </w:sectPr>
      </w:pPr>
    </w:p>
    <w:p>
      <w:pPr>
        <w:pStyle w:val="8"/>
        <w:bidi w:val="0"/>
        <w:rPr>
          <w:rFonts w:hint="eastAsia"/>
          <w:lang w:val="en-US" w:eastAsia="zh-CN"/>
        </w:rPr>
      </w:pPr>
      <w:bookmarkStart w:id="158" w:name="_Toc24964"/>
      <w:bookmarkStart w:id="159" w:name="_Toc28055"/>
      <w:bookmarkStart w:id="160" w:name="_Toc25353"/>
      <w:r>
        <w:rPr>
          <w:rFonts w:hint="eastAsia"/>
          <w:lang w:eastAsia="zh-CN"/>
        </w:rPr>
        <w:t>附件</w:t>
      </w:r>
      <w:r>
        <w:rPr>
          <w:rFonts w:hint="eastAsia"/>
          <w:lang w:val="en-US" w:eastAsia="zh-CN"/>
        </w:rPr>
        <w:t>3建设工程规划许可证</w:t>
      </w:r>
      <w:bookmarkEnd w:id="158"/>
      <w:bookmarkEnd w:id="159"/>
      <w:bookmarkEnd w:id="160"/>
    </w:p>
    <w:p>
      <w:pPr>
        <w:jc w:val="center"/>
        <w:rPr>
          <w:rFonts w:hint="eastAsia"/>
          <w:lang w:val="en-US" w:eastAsia="zh-CN"/>
        </w:rPr>
      </w:pPr>
      <w:r>
        <w:rPr>
          <w:rFonts w:hint="eastAsia"/>
          <w:lang w:val="en-US" w:eastAsia="zh-CN"/>
        </w:rPr>
        <w:drawing>
          <wp:inline distT="0" distB="0" distL="114300" distR="114300">
            <wp:extent cx="8176895" cy="4844415"/>
            <wp:effectExtent l="0" t="0" r="14605" b="13335"/>
            <wp:docPr id="36" name="图片 36" descr="南山建设工程规划许可证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南山建设工程规划许可证_00"/>
                    <pic:cNvPicPr>
                      <a:picLocks noChangeAspect="1"/>
                    </pic:cNvPicPr>
                  </pic:nvPicPr>
                  <pic:blipFill>
                    <a:blip r:embed="rId26"/>
                    <a:stretch>
                      <a:fillRect/>
                    </a:stretch>
                  </pic:blipFill>
                  <pic:spPr>
                    <a:xfrm>
                      <a:off x="0" y="0"/>
                      <a:ext cx="8176895" cy="4844415"/>
                    </a:xfrm>
                    <a:prstGeom prst="rect">
                      <a:avLst/>
                    </a:prstGeom>
                  </pic:spPr>
                </pic:pic>
              </a:graphicData>
            </a:graphic>
          </wp:inline>
        </w:drawing>
      </w:r>
      <w:r>
        <w:rPr>
          <w:rFonts w:hint="eastAsia"/>
          <w:lang w:val="en-US" w:eastAsia="zh-CN"/>
        </w:rPr>
        <w:drawing>
          <wp:inline distT="0" distB="0" distL="114300" distR="114300">
            <wp:extent cx="7571740" cy="5272405"/>
            <wp:effectExtent l="0" t="0" r="10160" b="4445"/>
            <wp:docPr id="37" name="图片 37" descr="南山建设工程规划许可证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南山建设工程规划许可证_01"/>
                    <pic:cNvPicPr>
                      <a:picLocks noChangeAspect="1"/>
                    </pic:cNvPicPr>
                  </pic:nvPicPr>
                  <pic:blipFill>
                    <a:blip r:embed="rId27"/>
                    <a:stretch>
                      <a:fillRect/>
                    </a:stretch>
                  </pic:blipFill>
                  <pic:spPr>
                    <a:xfrm>
                      <a:off x="0" y="0"/>
                      <a:ext cx="7571740" cy="5272405"/>
                    </a:xfrm>
                    <a:prstGeom prst="rect">
                      <a:avLst/>
                    </a:prstGeom>
                  </pic:spPr>
                </pic:pic>
              </a:graphicData>
            </a:graphic>
          </wp:inline>
        </w:drawing>
      </w:r>
    </w:p>
    <w:p>
      <w:pPr>
        <w:pStyle w:val="8"/>
        <w:bidi w:val="0"/>
        <w:rPr>
          <w:rFonts w:hint="eastAsia" w:eastAsia="宋体"/>
          <w:lang w:val="en-US" w:eastAsia="zh-CN"/>
        </w:rPr>
      </w:pPr>
      <w:bookmarkStart w:id="161" w:name="_Toc20284"/>
      <w:bookmarkStart w:id="162" w:name="_Toc16107"/>
      <w:bookmarkStart w:id="163" w:name="_Toc17854"/>
      <w:bookmarkStart w:id="164" w:name="_Toc21412"/>
      <w:bookmarkStart w:id="165" w:name="_Toc29281"/>
      <w:bookmarkStart w:id="166" w:name="_Toc16400"/>
      <w:bookmarkStart w:id="167" w:name="_Toc4813"/>
      <w:bookmarkStart w:id="168" w:name="_Toc2139"/>
      <w:bookmarkStart w:id="169" w:name="_Toc14491"/>
      <w:r>
        <w:t>附件</w:t>
      </w:r>
      <w:r>
        <w:rPr>
          <w:rFonts w:hint="eastAsia"/>
          <w:lang w:val="en-US" w:eastAsia="zh-CN"/>
        </w:rPr>
        <w:t>4项目不动产权证</w:t>
      </w:r>
      <w:bookmarkEnd w:id="161"/>
      <w:bookmarkEnd w:id="162"/>
      <w:bookmarkEnd w:id="163"/>
      <w:bookmarkEnd w:id="164"/>
      <w:bookmarkEnd w:id="165"/>
      <w:bookmarkEnd w:id="166"/>
      <w:bookmarkEnd w:id="167"/>
      <w:bookmarkEnd w:id="168"/>
      <w:bookmarkEnd w:id="169"/>
    </w:p>
    <w:p>
      <w:pPr>
        <w:jc w:val="center"/>
        <w:rPr>
          <w:rFonts w:hint="eastAsia"/>
          <w:lang w:val="en-US" w:eastAsia="zh-CN"/>
        </w:rPr>
      </w:pPr>
      <w:r>
        <w:drawing>
          <wp:inline distT="0" distB="0" distL="114300" distR="114300">
            <wp:extent cx="7858760" cy="4414520"/>
            <wp:effectExtent l="0" t="0" r="8890" b="5080"/>
            <wp:docPr id="2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3"/>
                    <pic:cNvPicPr>
                      <a:picLocks noChangeAspect="1"/>
                    </pic:cNvPicPr>
                  </pic:nvPicPr>
                  <pic:blipFill>
                    <a:blip r:embed="rId28"/>
                    <a:stretch>
                      <a:fillRect/>
                    </a:stretch>
                  </pic:blipFill>
                  <pic:spPr>
                    <a:xfrm>
                      <a:off x="0" y="0"/>
                      <a:ext cx="7858760" cy="4414520"/>
                    </a:xfrm>
                    <a:prstGeom prst="rect">
                      <a:avLst/>
                    </a:prstGeom>
                    <a:noFill/>
                    <a:ln>
                      <a:noFill/>
                    </a:ln>
                  </pic:spPr>
                </pic:pic>
              </a:graphicData>
            </a:graphic>
          </wp:inline>
        </w:drawing>
      </w:r>
    </w:p>
    <w:p>
      <w:pPr>
        <w:pStyle w:val="15"/>
        <w:sectPr>
          <w:pgSz w:w="16838" w:h="11906" w:orient="landscape"/>
          <w:pgMar w:top="1800" w:right="1440" w:bottom="1800" w:left="1440" w:header="851" w:footer="851" w:gutter="0"/>
          <w:pgNumType w:fmt="decimal"/>
          <w:cols w:space="720" w:num="1"/>
          <w:docGrid w:linePitch="312" w:charSpace="0"/>
        </w:sectPr>
      </w:pPr>
    </w:p>
    <w:p>
      <w:pPr>
        <w:pStyle w:val="30"/>
        <w:rPr>
          <w:rFonts w:hint="eastAsia" w:eastAsia="宋体"/>
          <w:lang w:eastAsia="zh-CN"/>
        </w:rPr>
        <w:sectPr>
          <w:pgSz w:w="11906" w:h="16838"/>
          <w:pgMar w:top="1440" w:right="1800" w:bottom="1440" w:left="1800" w:header="851" w:footer="851" w:gutter="0"/>
          <w:pgNumType w:fmt="decimal"/>
          <w:cols w:space="720" w:num="1"/>
          <w:docGrid w:linePitch="312" w:charSpace="0"/>
        </w:sectPr>
      </w:pPr>
      <w:r>
        <w:rPr>
          <w:rFonts w:hint="eastAsia" w:eastAsia="宋体"/>
          <w:lang w:eastAsia="zh-CN"/>
        </w:rPr>
        <w:drawing>
          <wp:inline distT="0" distB="0" distL="114300" distR="114300">
            <wp:extent cx="5267960" cy="7447280"/>
            <wp:effectExtent l="0" t="0" r="8890" b="1270"/>
            <wp:docPr id="30" name="图片 30" descr="南山不动产证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南山不动产证_02"/>
                    <pic:cNvPicPr>
                      <a:picLocks noChangeAspect="1"/>
                    </pic:cNvPicPr>
                  </pic:nvPicPr>
                  <pic:blipFill>
                    <a:blip r:embed="rId29"/>
                    <a:stretch>
                      <a:fillRect/>
                    </a:stretch>
                  </pic:blipFill>
                  <pic:spPr>
                    <a:xfrm>
                      <a:off x="0" y="0"/>
                      <a:ext cx="5267960" cy="7447280"/>
                    </a:xfrm>
                    <a:prstGeom prst="rect">
                      <a:avLst/>
                    </a:prstGeom>
                  </pic:spPr>
                </pic:pic>
              </a:graphicData>
            </a:graphic>
          </wp:inline>
        </w:drawing>
      </w:r>
    </w:p>
    <w:p>
      <w:pPr>
        <w:pStyle w:val="8"/>
        <w:bidi w:val="0"/>
        <w:rPr>
          <w:rFonts w:hint="eastAsia"/>
        </w:rPr>
      </w:pPr>
      <w:bookmarkStart w:id="170" w:name="_Toc20424"/>
      <w:bookmarkStart w:id="171" w:name="_Toc18800"/>
      <w:bookmarkStart w:id="172" w:name="_Toc21645"/>
      <w:bookmarkStart w:id="173" w:name="_Toc20841"/>
      <w:bookmarkStart w:id="174" w:name="_Toc1051"/>
      <w:bookmarkStart w:id="175" w:name="_Toc25623"/>
      <w:bookmarkStart w:id="176" w:name="_Toc27011"/>
      <w:bookmarkStart w:id="177" w:name="_Toc12037"/>
      <w:bookmarkStart w:id="178" w:name="_Toc3476"/>
      <w:r>
        <w:rPr>
          <w:rFonts w:hint="eastAsia"/>
          <w:lang w:val="en-US" w:eastAsia="zh-CN"/>
        </w:rPr>
        <w:t>附件5</w:t>
      </w:r>
      <w:r>
        <w:rPr>
          <w:rFonts w:hint="eastAsia"/>
        </w:rPr>
        <w:t>商务粮食部门意见</w:t>
      </w:r>
      <w:bookmarkEnd w:id="170"/>
      <w:bookmarkEnd w:id="171"/>
      <w:bookmarkEnd w:id="172"/>
      <w:bookmarkEnd w:id="173"/>
      <w:bookmarkEnd w:id="174"/>
      <w:bookmarkEnd w:id="175"/>
      <w:bookmarkEnd w:id="176"/>
      <w:bookmarkEnd w:id="177"/>
      <w:bookmarkEnd w:id="178"/>
    </w:p>
    <w:p>
      <w:pPr>
        <w:bidi w:val="0"/>
        <w:jc w:val="center"/>
        <w:rPr>
          <w:rFonts w:hint="eastAsia" w:eastAsia="宋体"/>
          <w:lang w:eastAsia="zh-CN"/>
        </w:rPr>
        <w:sectPr>
          <w:pgSz w:w="16838" w:h="11906" w:orient="landscape"/>
          <w:pgMar w:top="1800" w:right="1440" w:bottom="1800" w:left="1440" w:header="851" w:footer="851" w:gutter="0"/>
          <w:pgNumType w:fmt="decimal"/>
          <w:cols w:space="720" w:num="1"/>
          <w:docGrid w:linePitch="312" w:charSpace="0"/>
        </w:sectPr>
      </w:pPr>
      <w:r>
        <w:rPr>
          <w:rFonts w:hint="eastAsia" w:eastAsia="宋体"/>
          <w:lang w:eastAsia="zh-CN"/>
        </w:rPr>
        <w:drawing>
          <wp:inline distT="0" distB="0" distL="114300" distR="114300">
            <wp:extent cx="7785100" cy="4660265"/>
            <wp:effectExtent l="0" t="0" r="6350" b="6985"/>
            <wp:docPr id="8" name="图片 8" descr="南山加油站商务批文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南山加油站商务批文_00"/>
                    <pic:cNvPicPr>
                      <a:picLocks noChangeAspect="1"/>
                    </pic:cNvPicPr>
                  </pic:nvPicPr>
                  <pic:blipFill>
                    <a:blip r:embed="rId30"/>
                    <a:stretch>
                      <a:fillRect/>
                    </a:stretch>
                  </pic:blipFill>
                  <pic:spPr>
                    <a:xfrm>
                      <a:off x="0" y="0"/>
                      <a:ext cx="7785100" cy="4660265"/>
                    </a:xfrm>
                    <a:prstGeom prst="rect">
                      <a:avLst/>
                    </a:prstGeom>
                  </pic:spPr>
                </pic:pic>
              </a:graphicData>
            </a:graphic>
          </wp:inline>
        </w:drawing>
      </w:r>
    </w:p>
    <w:p>
      <w:pPr>
        <w:bidi w:val="0"/>
        <w:rPr>
          <w:rFonts w:hint="eastAsia"/>
          <w:lang w:val="en-US" w:eastAsia="zh-CN"/>
        </w:rPr>
        <w:sectPr>
          <w:pgSz w:w="11906" w:h="16838"/>
          <w:pgMar w:top="1440" w:right="1800" w:bottom="1440" w:left="1800" w:header="851" w:footer="851" w:gutter="0"/>
          <w:pgNumType w:fmt="decimal"/>
          <w:cols w:space="720" w:num="1"/>
          <w:docGrid w:linePitch="312" w:charSpace="0"/>
        </w:sectPr>
      </w:pPr>
      <w:bookmarkStart w:id="179" w:name="_Toc29380"/>
      <w:bookmarkStart w:id="180" w:name="_Toc29862"/>
      <w:bookmarkStart w:id="181" w:name="_Toc30113"/>
      <w:bookmarkStart w:id="182" w:name="_Toc25820"/>
      <w:bookmarkStart w:id="183" w:name="_Toc13615"/>
      <w:bookmarkStart w:id="184" w:name="_Toc8913"/>
      <w:r>
        <w:rPr>
          <w:rFonts w:hint="eastAsia"/>
          <w:lang w:val="en-US" w:eastAsia="zh-CN"/>
        </w:rPr>
        <w:drawing>
          <wp:inline distT="0" distB="0" distL="114300" distR="114300">
            <wp:extent cx="5269230" cy="7442835"/>
            <wp:effectExtent l="0" t="0" r="7620" b="5715"/>
            <wp:docPr id="11" name="图片 11" descr="南山加油站罐容变更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南山加油站罐容变更_00"/>
                    <pic:cNvPicPr>
                      <a:picLocks noChangeAspect="1"/>
                    </pic:cNvPicPr>
                  </pic:nvPicPr>
                  <pic:blipFill>
                    <a:blip r:embed="rId31"/>
                    <a:stretch>
                      <a:fillRect/>
                    </a:stretch>
                  </pic:blipFill>
                  <pic:spPr>
                    <a:xfrm>
                      <a:off x="0" y="0"/>
                      <a:ext cx="5269230" cy="7442835"/>
                    </a:xfrm>
                    <a:prstGeom prst="rect">
                      <a:avLst/>
                    </a:prstGeom>
                  </pic:spPr>
                </pic:pic>
              </a:graphicData>
            </a:graphic>
          </wp:inline>
        </w:drawing>
      </w:r>
    </w:p>
    <w:p>
      <w:pPr>
        <w:pStyle w:val="18"/>
        <w:rPr>
          <w:rFonts w:hint="eastAsia"/>
          <w:lang w:val="en-US" w:eastAsia="zh-CN"/>
        </w:rPr>
      </w:pPr>
    </w:p>
    <w:p>
      <w:pPr>
        <w:pStyle w:val="8"/>
        <w:bidi w:val="0"/>
        <w:rPr>
          <w:rFonts w:hint="default"/>
          <w:lang w:val="en-US" w:eastAsia="zh-CN"/>
        </w:rPr>
      </w:pPr>
      <w:bookmarkStart w:id="185" w:name="_Toc11300"/>
      <w:bookmarkStart w:id="186" w:name="_Toc3740"/>
      <w:bookmarkStart w:id="187" w:name="_Toc460"/>
      <w:r>
        <w:rPr>
          <w:rFonts w:hint="eastAsia"/>
          <w:lang w:val="en-US" w:eastAsia="zh-CN"/>
        </w:rPr>
        <w:t>附件6规划条件通知书</w:t>
      </w:r>
      <w:bookmarkEnd w:id="185"/>
      <w:bookmarkEnd w:id="186"/>
      <w:bookmarkEnd w:id="187"/>
    </w:p>
    <w:p>
      <w:pPr>
        <w:bidi w:val="0"/>
        <w:rPr>
          <w:rFonts w:hint="eastAsia"/>
          <w:lang w:val="en-US" w:eastAsia="zh-CN"/>
        </w:rPr>
      </w:pPr>
    </w:p>
    <w:p>
      <w:pPr>
        <w:pStyle w:val="18"/>
        <w:jc w:val="center"/>
        <w:rPr>
          <w:rFonts w:hint="eastAsia"/>
          <w:lang w:val="en-US" w:eastAsia="zh-CN"/>
        </w:rPr>
        <w:sectPr>
          <w:pgSz w:w="11906" w:h="16838"/>
          <w:pgMar w:top="1440" w:right="1800" w:bottom="1440" w:left="1800" w:header="851" w:footer="851" w:gutter="0"/>
          <w:pgNumType w:fmt="decimal"/>
          <w:cols w:space="720" w:num="1"/>
          <w:docGrid w:linePitch="312" w:charSpace="0"/>
        </w:sectPr>
      </w:pPr>
      <w:r>
        <w:rPr>
          <w:rFonts w:hint="eastAsia"/>
          <w:lang w:val="en-US" w:eastAsia="zh-CN"/>
        </w:rPr>
        <w:drawing>
          <wp:inline distT="0" distB="0" distL="114300" distR="114300">
            <wp:extent cx="5262880" cy="7733030"/>
            <wp:effectExtent l="0" t="0" r="13970" b="1270"/>
            <wp:docPr id="12" name="图片 12" descr="南山规划条件书附图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南山规划条件书附图_00"/>
                    <pic:cNvPicPr>
                      <a:picLocks noChangeAspect="1"/>
                    </pic:cNvPicPr>
                  </pic:nvPicPr>
                  <pic:blipFill>
                    <a:blip r:embed="rId32"/>
                    <a:stretch>
                      <a:fillRect/>
                    </a:stretch>
                  </pic:blipFill>
                  <pic:spPr>
                    <a:xfrm>
                      <a:off x="0" y="0"/>
                      <a:ext cx="5262880" cy="7733030"/>
                    </a:xfrm>
                    <a:prstGeom prst="rect">
                      <a:avLst/>
                    </a:prstGeom>
                  </pic:spPr>
                </pic:pic>
              </a:graphicData>
            </a:graphic>
          </wp:inline>
        </w:drawing>
      </w:r>
      <w:r>
        <w:rPr>
          <w:rFonts w:hint="eastAsia"/>
          <w:lang w:val="en-US" w:eastAsia="zh-CN"/>
        </w:rPr>
        <w:drawing>
          <wp:inline distT="0" distB="0" distL="114300" distR="114300">
            <wp:extent cx="5262880" cy="8399780"/>
            <wp:effectExtent l="0" t="0" r="13970" b="1270"/>
            <wp:docPr id="13" name="图片 13" descr="南山规划条件书附图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南山规划条件书附图_01(1)"/>
                    <pic:cNvPicPr>
                      <a:picLocks noChangeAspect="1"/>
                    </pic:cNvPicPr>
                  </pic:nvPicPr>
                  <pic:blipFill>
                    <a:blip r:embed="rId33"/>
                    <a:stretch>
                      <a:fillRect/>
                    </a:stretch>
                  </pic:blipFill>
                  <pic:spPr>
                    <a:xfrm>
                      <a:off x="0" y="0"/>
                      <a:ext cx="5262880" cy="8399780"/>
                    </a:xfrm>
                    <a:prstGeom prst="rect">
                      <a:avLst/>
                    </a:prstGeom>
                  </pic:spPr>
                </pic:pic>
              </a:graphicData>
            </a:graphic>
          </wp:inline>
        </w:drawing>
      </w:r>
      <w:r>
        <w:rPr>
          <w:rFonts w:hint="eastAsia"/>
          <w:lang w:val="en-US" w:eastAsia="zh-CN"/>
        </w:rPr>
        <w:drawing>
          <wp:inline distT="0" distB="0" distL="114300" distR="114300">
            <wp:extent cx="5262880" cy="8228330"/>
            <wp:effectExtent l="0" t="0" r="13970" b="1270"/>
            <wp:docPr id="15" name="图片 15" descr="南山规划条件书附图_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南山规划条件书附图_02(1)"/>
                    <pic:cNvPicPr>
                      <a:picLocks noChangeAspect="1"/>
                    </pic:cNvPicPr>
                  </pic:nvPicPr>
                  <pic:blipFill>
                    <a:blip r:embed="rId34"/>
                    <a:stretch>
                      <a:fillRect/>
                    </a:stretch>
                  </pic:blipFill>
                  <pic:spPr>
                    <a:xfrm>
                      <a:off x="0" y="0"/>
                      <a:ext cx="5262880" cy="8228330"/>
                    </a:xfrm>
                    <a:prstGeom prst="rect">
                      <a:avLst/>
                    </a:prstGeom>
                  </pic:spPr>
                </pic:pic>
              </a:graphicData>
            </a:graphic>
          </wp:inline>
        </w:drawing>
      </w:r>
      <w:r>
        <w:rPr>
          <w:rFonts w:hint="eastAsia"/>
          <w:lang w:val="en-US" w:eastAsia="zh-CN"/>
        </w:rPr>
        <w:drawing>
          <wp:inline distT="0" distB="0" distL="114300" distR="114300">
            <wp:extent cx="5262880" cy="8275955"/>
            <wp:effectExtent l="0" t="0" r="13970" b="10795"/>
            <wp:docPr id="16" name="图片 16" descr="南山规划条件书附图_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南山规划条件书附图_03(1)"/>
                    <pic:cNvPicPr>
                      <a:picLocks noChangeAspect="1"/>
                    </pic:cNvPicPr>
                  </pic:nvPicPr>
                  <pic:blipFill>
                    <a:blip r:embed="rId35"/>
                    <a:stretch>
                      <a:fillRect/>
                    </a:stretch>
                  </pic:blipFill>
                  <pic:spPr>
                    <a:xfrm>
                      <a:off x="0" y="0"/>
                      <a:ext cx="5262880" cy="8275955"/>
                    </a:xfrm>
                    <a:prstGeom prst="rect">
                      <a:avLst/>
                    </a:prstGeom>
                  </pic:spPr>
                </pic:pic>
              </a:graphicData>
            </a:graphic>
          </wp:inline>
        </w:drawing>
      </w:r>
    </w:p>
    <w:p>
      <w:pPr>
        <w:jc w:val="center"/>
        <w:rPr>
          <w:rFonts w:hint="eastAsia"/>
          <w:lang w:val="en-US" w:eastAsia="zh-CN"/>
        </w:rPr>
        <w:sectPr>
          <w:pgSz w:w="16838" w:h="11906" w:orient="landscape"/>
          <w:pgMar w:top="1800" w:right="1440" w:bottom="1800" w:left="1440" w:header="851" w:footer="851" w:gutter="0"/>
          <w:pgNumType w:fmt="decimal"/>
          <w:cols w:space="720" w:num="1"/>
          <w:docGrid w:linePitch="312" w:charSpace="0"/>
        </w:sectPr>
      </w:pPr>
      <w:r>
        <w:rPr>
          <w:rFonts w:hint="eastAsia"/>
          <w:lang w:val="en-US" w:eastAsia="zh-CN"/>
        </w:rPr>
        <w:drawing>
          <wp:inline distT="0" distB="0" distL="114300" distR="114300">
            <wp:extent cx="8303260" cy="5272405"/>
            <wp:effectExtent l="0" t="0" r="2540" b="4445"/>
            <wp:docPr id="17" name="图片 17" descr="南山规划条件书附图_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南山规划条件书附图_05(1)"/>
                    <pic:cNvPicPr>
                      <a:picLocks noChangeAspect="1"/>
                    </pic:cNvPicPr>
                  </pic:nvPicPr>
                  <pic:blipFill>
                    <a:blip r:embed="rId36"/>
                    <a:stretch>
                      <a:fillRect/>
                    </a:stretch>
                  </pic:blipFill>
                  <pic:spPr>
                    <a:xfrm>
                      <a:off x="0" y="0"/>
                      <a:ext cx="8303260" cy="5272405"/>
                    </a:xfrm>
                    <a:prstGeom prst="rect">
                      <a:avLst/>
                    </a:prstGeom>
                  </pic:spPr>
                </pic:pic>
              </a:graphicData>
            </a:graphic>
          </wp:inline>
        </w:drawing>
      </w:r>
      <w:r>
        <w:rPr>
          <w:rFonts w:hint="eastAsia"/>
          <w:lang w:val="en-US" w:eastAsia="zh-CN"/>
        </w:rPr>
        <w:drawing>
          <wp:inline distT="0" distB="0" distL="114300" distR="114300">
            <wp:extent cx="7459980" cy="5273675"/>
            <wp:effectExtent l="0" t="0" r="7620" b="3175"/>
            <wp:docPr id="20" name="图片 20" descr="南山总平图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南山总平图_00"/>
                    <pic:cNvPicPr>
                      <a:picLocks noChangeAspect="1"/>
                    </pic:cNvPicPr>
                  </pic:nvPicPr>
                  <pic:blipFill>
                    <a:blip r:embed="rId37"/>
                    <a:stretch>
                      <a:fillRect/>
                    </a:stretch>
                  </pic:blipFill>
                  <pic:spPr>
                    <a:xfrm>
                      <a:off x="0" y="0"/>
                      <a:ext cx="7459980" cy="5273675"/>
                    </a:xfrm>
                    <a:prstGeom prst="rect">
                      <a:avLst/>
                    </a:prstGeom>
                  </pic:spPr>
                </pic:pic>
              </a:graphicData>
            </a:graphic>
          </wp:inline>
        </w:drawing>
      </w:r>
    </w:p>
    <w:p>
      <w:pPr>
        <w:pStyle w:val="8"/>
        <w:bidi w:val="0"/>
        <w:rPr>
          <w:rFonts w:hint="default"/>
          <w:lang w:val="en-US" w:eastAsia="zh-CN"/>
        </w:rPr>
      </w:pPr>
      <w:bookmarkStart w:id="188" w:name="_Toc15527"/>
      <w:bookmarkStart w:id="189" w:name="_Toc3012"/>
      <w:bookmarkStart w:id="190" w:name="_Toc12078"/>
      <w:r>
        <w:rPr>
          <w:rFonts w:hint="eastAsia"/>
          <w:lang w:val="en-US" w:eastAsia="zh-CN"/>
        </w:rPr>
        <w:t>附件7备案证明</w:t>
      </w:r>
      <w:bookmarkEnd w:id="179"/>
      <w:bookmarkEnd w:id="180"/>
      <w:bookmarkEnd w:id="181"/>
      <w:bookmarkEnd w:id="182"/>
      <w:bookmarkEnd w:id="183"/>
      <w:bookmarkEnd w:id="184"/>
      <w:bookmarkEnd w:id="188"/>
      <w:bookmarkEnd w:id="189"/>
      <w:bookmarkEnd w:id="190"/>
    </w:p>
    <w:p>
      <w:pPr>
        <w:bidi w:val="0"/>
        <w:rPr>
          <w:rFonts w:hint="eastAsia" w:eastAsia="宋体"/>
          <w:lang w:eastAsia="zh-CN"/>
        </w:rPr>
        <w:sectPr>
          <w:pgSz w:w="11906" w:h="16838"/>
          <w:pgMar w:top="1440" w:right="1800" w:bottom="1440" w:left="1800" w:header="851" w:footer="851" w:gutter="0"/>
          <w:pgNumType w:fmt="decimal"/>
          <w:cols w:space="720" w:num="1"/>
          <w:docGrid w:linePitch="312" w:charSpace="0"/>
        </w:sectPr>
      </w:pPr>
      <w:r>
        <w:rPr>
          <w:rFonts w:hint="eastAsia" w:eastAsia="宋体"/>
          <w:lang w:eastAsia="zh-CN"/>
        </w:rPr>
        <w:drawing>
          <wp:inline distT="0" distB="0" distL="114300" distR="114300">
            <wp:extent cx="5267960" cy="7447280"/>
            <wp:effectExtent l="0" t="0" r="8890" b="1270"/>
            <wp:docPr id="4" name="图片 4" descr="南山发改委备案2023新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南山发改委备案2023新_00"/>
                    <pic:cNvPicPr>
                      <a:picLocks noChangeAspect="1"/>
                    </pic:cNvPicPr>
                  </pic:nvPicPr>
                  <pic:blipFill>
                    <a:blip r:embed="rId38"/>
                    <a:stretch>
                      <a:fillRect/>
                    </a:stretch>
                  </pic:blipFill>
                  <pic:spPr>
                    <a:xfrm>
                      <a:off x="0" y="0"/>
                      <a:ext cx="5267960" cy="7447280"/>
                    </a:xfrm>
                    <a:prstGeom prst="rect">
                      <a:avLst/>
                    </a:prstGeom>
                  </pic:spPr>
                </pic:pic>
              </a:graphicData>
            </a:graphic>
          </wp:inline>
        </w:drawing>
      </w:r>
    </w:p>
    <w:p>
      <w:pPr>
        <w:pStyle w:val="8"/>
        <w:bidi w:val="0"/>
        <w:rPr>
          <w:rFonts w:hint="eastAsia" w:eastAsia="宋体"/>
          <w:lang w:val="en-US" w:eastAsia="zh-CN"/>
        </w:rPr>
      </w:pPr>
      <w:bookmarkStart w:id="191" w:name="_Toc15572"/>
      <w:bookmarkStart w:id="192" w:name="_Toc2794"/>
      <w:bookmarkStart w:id="193" w:name="_Toc29674"/>
      <w:bookmarkStart w:id="194" w:name="_Toc8494"/>
      <w:bookmarkStart w:id="195" w:name="_Toc27278"/>
      <w:bookmarkStart w:id="196" w:name="_Toc16326"/>
      <w:bookmarkStart w:id="197" w:name="_Toc15917"/>
      <w:bookmarkStart w:id="198" w:name="_Toc15473"/>
      <w:bookmarkStart w:id="199" w:name="_Toc7834"/>
      <w:r>
        <w:t>附件</w:t>
      </w:r>
      <w:bookmarkEnd w:id="191"/>
      <w:bookmarkEnd w:id="192"/>
      <w:bookmarkEnd w:id="193"/>
      <w:bookmarkEnd w:id="194"/>
      <w:bookmarkEnd w:id="195"/>
      <w:bookmarkEnd w:id="196"/>
      <w:r>
        <w:rPr>
          <w:rFonts w:hint="eastAsia"/>
          <w:lang w:val="en-US" w:eastAsia="zh-CN"/>
        </w:rPr>
        <w:t>8监测质保单</w:t>
      </w:r>
      <w:bookmarkEnd w:id="197"/>
      <w:bookmarkEnd w:id="198"/>
      <w:bookmarkEnd w:id="199"/>
    </w:p>
    <w:p>
      <w:pPr>
        <w:bidi w:val="0"/>
        <w:rPr>
          <w:rFonts w:hint="eastAsia" w:eastAsia="宋体"/>
          <w:lang w:eastAsia="zh-CN"/>
        </w:rPr>
      </w:pPr>
    </w:p>
    <w:p>
      <w:pPr>
        <w:pStyle w:val="18"/>
        <w:rPr>
          <w:rFonts w:hint="eastAsia"/>
          <w:lang w:eastAsia="zh-CN"/>
        </w:rPr>
        <w:sectPr>
          <w:pgSz w:w="11906" w:h="16838"/>
          <w:pgMar w:top="1440" w:right="1800" w:bottom="1440" w:left="1800" w:header="851" w:footer="851" w:gutter="0"/>
          <w:pgNumType w:fmt="decimal"/>
          <w:cols w:space="720" w:num="1"/>
          <w:docGrid w:linePitch="312" w:charSpace="0"/>
        </w:sectPr>
      </w:pPr>
      <w:r>
        <w:rPr>
          <w:rFonts w:hint="eastAsia"/>
          <w:lang w:eastAsia="zh-CN"/>
        </w:rPr>
        <w:drawing>
          <wp:inline distT="0" distB="0" distL="114300" distR="114300">
            <wp:extent cx="5267960" cy="7453630"/>
            <wp:effectExtent l="0" t="0" r="8890" b="13970"/>
            <wp:docPr id="18" name="图片 18" descr="质保单-衡阳汐甄新能源集团有限公司南山加油站建设项目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质保单-衡阳汐甄新能源集团有限公司南山加油站建设项目_00"/>
                    <pic:cNvPicPr>
                      <a:picLocks noChangeAspect="1"/>
                    </pic:cNvPicPr>
                  </pic:nvPicPr>
                  <pic:blipFill>
                    <a:blip r:embed="rId39"/>
                    <a:stretch>
                      <a:fillRect/>
                    </a:stretch>
                  </pic:blipFill>
                  <pic:spPr>
                    <a:xfrm>
                      <a:off x="0" y="0"/>
                      <a:ext cx="5267960" cy="7453630"/>
                    </a:xfrm>
                    <a:prstGeom prst="rect">
                      <a:avLst/>
                    </a:prstGeom>
                  </pic:spPr>
                </pic:pic>
              </a:graphicData>
            </a:graphic>
          </wp:inline>
        </w:drawing>
      </w:r>
    </w:p>
    <w:p>
      <w:pPr>
        <w:pStyle w:val="7"/>
        <w:bidi w:val="0"/>
        <w:rPr>
          <w:rFonts w:hint="eastAsia"/>
          <w:lang w:val="en-US" w:eastAsia="zh-CN"/>
        </w:rPr>
      </w:pPr>
      <w:bookmarkStart w:id="200" w:name="_Toc22781"/>
      <w:bookmarkStart w:id="201" w:name="_Toc31061"/>
      <w:bookmarkStart w:id="202" w:name="_Toc25062"/>
      <w:bookmarkStart w:id="203" w:name="_Toc17592"/>
      <w:bookmarkStart w:id="204" w:name="_Toc3446"/>
      <w:bookmarkStart w:id="205" w:name="_Toc8373"/>
      <w:bookmarkStart w:id="206" w:name="_Toc134"/>
      <w:bookmarkStart w:id="207" w:name="_Toc10704"/>
      <w:bookmarkStart w:id="208" w:name="_Toc32325"/>
      <w:bookmarkStart w:id="209" w:name="_Toc5931"/>
      <w:bookmarkStart w:id="210" w:name="_Toc7333"/>
      <w:bookmarkStart w:id="211" w:name="_Toc27246"/>
      <w:bookmarkStart w:id="212" w:name="_Toc19007"/>
      <w:bookmarkStart w:id="213" w:name="_Toc8795"/>
      <w:bookmarkStart w:id="214" w:name="_Toc6928"/>
      <w:bookmarkStart w:id="215" w:name="_Toc30395"/>
      <w:bookmarkStart w:id="216" w:name="_Toc1653"/>
      <w:bookmarkStart w:id="217" w:name="_Toc23785"/>
      <w:bookmarkStart w:id="218" w:name="_Toc16596"/>
      <w:bookmarkStart w:id="219" w:name="_Toc32300"/>
      <w:bookmarkStart w:id="220" w:name="_Toc26766"/>
      <w:r>
        <w:rPr>
          <w:rFonts w:hint="eastAsia"/>
          <w:lang w:val="en-US" w:eastAsia="zh-CN"/>
        </w:rPr>
        <w:t>附图</w:t>
      </w:r>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p>
    <w:p>
      <w:pPr>
        <w:pStyle w:val="8"/>
        <w:bidi w:val="0"/>
        <w:rPr>
          <w:rFonts w:hint="eastAsia"/>
        </w:rPr>
      </w:pPr>
      <w:bookmarkStart w:id="221" w:name="_Toc10253"/>
      <w:bookmarkStart w:id="222" w:name="_Toc11149"/>
      <w:bookmarkStart w:id="223" w:name="_Toc3868"/>
      <w:bookmarkStart w:id="224" w:name="_Toc26540"/>
      <w:bookmarkStart w:id="225" w:name="_Toc8527"/>
      <w:bookmarkStart w:id="226" w:name="_Toc10174"/>
      <w:bookmarkStart w:id="227" w:name="_Toc16334"/>
      <w:bookmarkStart w:id="228" w:name="_Toc6442"/>
      <w:bookmarkStart w:id="229" w:name="_Toc1341"/>
      <w:r>
        <w:drawing>
          <wp:anchor distT="0" distB="0" distL="114300" distR="114300" simplePos="0" relativeHeight="251660288" behindDoc="0" locked="0" layoutInCell="1" allowOverlap="1">
            <wp:simplePos x="0" y="0"/>
            <wp:positionH relativeFrom="column">
              <wp:posOffset>7486650</wp:posOffset>
            </wp:positionH>
            <wp:positionV relativeFrom="paragraph">
              <wp:posOffset>328295</wp:posOffset>
            </wp:positionV>
            <wp:extent cx="904875" cy="923925"/>
            <wp:effectExtent l="0" t="0" r="9525" b="9525"/>
            <wp:wrapNone/>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40"/>
                    <a:stretch>
                      <a:fillRect/>
                    </a:stretch>
                  </pic:blipFill>
                  <pic:spPr>
                    <a:xfrm>
                      <a:off x="0" y="0"/>
                      <a:ext cx="904875" cy="923925"/>
                    </a:xfrm>
                    <a:prstGeom prst="rect">
                      <a:avLst/>
                    </a:prstGeom>
                    <a:noFill/>
                    <a:ln>
                      <a:noFill/>
                    </a:ln>
                  </pic:spPr>
                </pic:pic>
              </a:graphicData>
            </a:graphic>
          </wp:anchor>
        </w:drawing>
      </w:r>
      <w:r>
        <w:rPr>
          <w:rFonts w:hint="eastAsia"/>
        </w:rPr>
        <w:t>附图1 项目地理位置图</w:t>
      </w:r>
      <w:bookmarkEnd w:id="221"/>
      <w:bookmarkEnd w:id="222"/>
      <w:bookmarkEnd w:id="223"/>
      <w:bookmarkEnd w:id="224"/>
      <w:bookmarkEnd w:id="225"/>
      <w:bookmarkEnd w:id="226"/>
      <w:bookmarkEnd w:id="227"/>
      <w:bookmarkEnd w:id="228"/>
      <w:bookmarkEnd w:id="229"/>
    </w:p>
    <w:p>
      <w:pPr>
        <w:bidi w:val="0"/>
        <w:sectPr>
          <w:pgSz w:w="16838" w:h="11906" w:orient="landscape"/>
          <w:pgMar w:top="1440" w:right="1800" w:bottom="1440" w:left="1800" w:header="851" w:footer="851" w:gutter="0"/>
          <w:pgNumType w:fmt="decimal"/>
          <w:cols w:space="720" w:num="1"/>
          <w:docGrid w:linePitch="312" w:charSpace="0"/>
        </w:sectPr>
      </w:pPr>
      <w:r>
        <w:rPr>
          <w:sz w:val="24"/>
        </w:rPr>
        <mc:AlternateContent>
          <mc:Choice Requires="wps">
            <w:drawing>
              <wp:anchor distT="0" distB="0" distL="114300" distR="114300" simplePos="0" relativeHeight="251665408" behindDoc="0" locked="0" layoutInCell="1" allowOverlap="1">
                <wp:simplePos x="0" y="0"/>
                <wp:positionH relativeFrom="column">
                  <wp:posOffset>3998595</wp:posOffset>
                </wp:positionH>
                <wp:positionV relativeFrom="paragraph">
                  <wp:posOffset>2641600</wp:posOffset>
                </wp:positionV>
                <wp:extent cx="1228725" cy="476250"/>
                <wp:effectExtent l="0" t="0" r="0" b="0"/>
                <wp:wrapNone/>
                <wp:docPr id="40" name="矩形 40"/>
                <wp:cNvGraphicFramePr/>
                <a:graphic xmlns:a="http://schemas.openxmlformats.org/drawingml/2006/main">
                  <a:graphicData uri="http://schemas.microsoft.com/office/word/2010/wordprocessingShape">
                    <wps:wsp>
                      <wps:cNvSpPr/>
                      <wps:spPr>
                        <a:xfrm>
                          <a:off x="5341620" y="4506595"/>
                          <a:ext cx="1228725" cy="47625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pPr>
                              <w:jc w:val="center"/>
                              <w:rPr>
                                <w:rFonts w:hint="eastAsia" w:eastAsia="宋体"/>
                                <w:color w:val="FF0000"/>
                                <w:sz w:val="21"/>
                                <w:szCs w:val="21"/>
                                <w:lang w:val="en-US" w:eastAsia="zh-CN"/>
                              </w:rPr>
                            </w:pPr>
                            <w:r>
                              <w:rPr>
                                <w:rFonts w:hint="eastAsia"/>
                                <w:color w:val="FF0000"/>
                                <w:sz w:val="21"/>
                                <w:szCs w:val="21"/>
                                <w:lang w:val="en-US" w:eastAsia="zh-CN"/>
                              </w:rPr>
                              <w:t>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14.85pt;margin-top:208pt;height:37.5pt;width:96.75pt;z-index:251665408;v-text-anchor:middle;mso-width-relative:page;mso-height-relative:page;" filled="f" stroked="f" coordsize="21600,21600" o:gfxdata="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DBvw742AAAAAsBAAAPAAAAAAAAAAEAIAAAACIAAABkcnMvZG93bnJldi54&#10;bWxQSwECFAAUAAAACACHTuJA06YSWmwCAAC7BAAADgAAAAAAAAABACAAAAAnAQAAZHJzL2Uyb0Rv&#10;Yy54bWxQSwUGAAAAAAYABgBZAQAABQYAAAAA&#10;">
                <v:fill on="f" focussize="0,0"/>
                <v:stroke on="f" weight="1pt" miterlimit="8" joinstyle="miter"/>
                <v:imagedata o:title=""/>
                <o:lock v:ext="edit" aspectratio="f"/>
                <v:textbox>
                  <w:txbxContent>
                    <w:p>
                      <w:pPr>
                        <w:jc w:val="center"/>
                        <w:rPr>
                          <w:rFonts w:hint="eastAsia" w:eastAsia="宋体"/>
                          <w:color w:val="FF0000"/>
                          <w:sz w:val="21"/>
                          <w:szCs w:val="21"/>
                          <w:lang w:val="en-US" w:eastAsia="zh-CN"/>
                        </w:rPr>
                      </w:pPr>
                      <w:r>
                        <w:rPr>
                          <w:rFonts w:hint="eastAsia"/>
                          <w:color w:val="FF0000"/>
                          <w:sz w:val="21"/>
                          <w:szCs w:val="21"/>
                          <w:lang w:val="en-US" w:eastAsia="zh-CN"/>
                        </w:rPr>
                        <w:t>项目所在地</w:t>
                      </w:r>
                    </w:p>
                  </w:txbxContent>
                </v:textbox>
              </v:rect>
            </w:pict>
          </mc:Fallback>
        </mc:AlternateContent>
      </w:r>
      <w:r>
        <w:drawing>
          <wp:inline distT="0" distB="0" distL="114300" distR="114300">
            <wp:extent cx="8400415" cy="4846955"/>
            <wp:effectExtent l="0" t="0" r="635" b="10795"/>
            <wp:docPr id="3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
                    <pic:cNvPicPr>
                      <a:picLocks noChangeAspect="1"/>
                    </pic:cNvPicPr>
                  </pic:nvPicPr>
                  <pic:blipFill>
                    <a:blip r:embed="rId41"/>
                    <a:stretch>
                      <a:fillRect/>
                    </a:stretch>
                  </pic:blipFill>
                  <pic:spPr>
                    <a:xfrm>
                      <a:off x="0" y="0"/>
                      <a:ext cx="8400415" cy="4846955"/>
                    </a:xfrm>
                    <a:prstGeom prst="rect">
                      <a:avLst/>
                    </a:prstGeom>
                    <a:noFill/>
                    <a:ln>
                      <a:noFill/>
                    </a:ln>
                  </pic:spPr>
                </pic:pic>
              </a:graphicData>
            </a:graphic>
          </wp:inline>
        </w:drawing>
      </w:r>
    </w:p>
    <w:p>
      <w:pPr>
        <w:pStyle w:val="8"/>
        <w:bidi w:val="0"/>
      </w:pPr>
      <w:bookmarkStart w:id="230" w:name="_Toc1521"/>
      <w:bookmarkStart w:id="231" w:name="_Toc25604"/>
      <w:bookmarkStart w:id="232" w:name="_Toc30220"/>
      <w:bookmarkStart w:id="233" w:name="_Toc5002"/>
      <w:bookmarkStart w:id="234" w:name="_Toc12334"/>
      <w:bookmarkStart w:id="235" w:name="_Toc2071"/>
      <w:bookmarkStart w:id="236" w:name="_Toc768"/>
      <w:bookmarkStart w:id="237" w:name="_Toc21840"/>
      <w:bookmarkStart w:id="238" w:name="_Toc13824"/>
      <w:r>
        <w:t>附图</w:t>
      </w:r>
      <w:r>
        <w:rPr>
          <w:spacing w:val="-60"/>
        </w:rPr>
        <w:t xml:space="preserve"> </w:t>
      </w:r>
      <w:r>
        <w:rPr>
          <w:rFonts w:hint="eastAsia"/>
          <w:spacing w:val="-60"/>
          <w:lang w:val="en-US" w:eastAsia="zh-CN"/>
        </w:rPr>
        <w:t>2</w:t>
      </w:r>
      <w:r>
        <w:rPr>
          <w:rFonts w:ascii="Times New Roman" w:eastAsia="Times New Roman"/>
        </w:rPr>
        <w:tab/>
      </w:r>
      <w:r>
        <w:t>项目总平面布置图</w:t>
      </w:r>
      <w:bookmarkEnd w:id="230"/>
      <w:bookmarkEnd w:id="231"/>
      <w:bookmarkEnd w:id="232"/>
      <w:bookmarkEnd w:id="233"/>
      <w:bookmarkEnd w:id="234"/>
      <w:bookmarkEnd w:id="235"/>
      <w:bookmarkEnd w:id="236"/>
      <w:bookmarkEnd w:id="237"/>
      <w:bookmarkEnd w:id="238"/>
    </w:p>
    <w:p>
      <w:pPr>
        <w:pStyle w:val="18"/>
        <w:rPr>
          <w:rFonts w:hint="eastAsia" w:eastAsia="宋体"/>
          <w:lang w:eastAsia="zh-CN"/>
        </w:rPr>
      </w:pPr>
      <w:r>
        <w:rPr>
          <w:sz w:val="24"/>
        </w:rPr>
        <mc:AlternateContent>
          <mc:Choice Requires="wps">
            <w:drawing>
              <wp:anchor distT="0" distB="0" distL="114300" distR="114300" simplePos="0" relativeHeight="251693056" behindDoc="0" locked="0" layoutInCell="1" allowOverlap="1">
                <wp:simplePos x="0" y="0"/>
                <wp:positionH relativeFrom="column">
                  <wp:posOffset>2055495</wp:posOffset>
                </wp:positionH>
                <wp:positionV relativeFrom="paragraph">
                  <wp:posOffset>2165350</wp:posOffset>
                </wp:positionV>
                <wp:extent cx="1000125" cy="266700"/>
                <wp:effectExtent l="0" t="0" r="0" b="0"/>
                <wp:wrapNone/>
                <wp:docPr id="70" name="矩形 70"/>
                <wp:cNvGraphicFramePr/>
                <a:graphic xmlns:a="http://schemas.openxmlformats.org/drawingml/2006/main">
                  <a:graphicData uri="http://schemas.microsoft.com/office/word/2010/wordprocessingShape">
                    <wps:wsp>
                      <wps:cNvSpPr/>
                      <wps:spPr>
                        <a:xfrm>
                          <a:off x="0" y="0"/>
                          <a:ext cx="1000125" cy="26670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pPr>
                              <w:jc w:val="center"/>
                              <w:rPr>
                                <w:rFonts w:hint="eastAsia" w:eastAsia="宋体"/>
                                <w:sz w:val="18"/>
                                <w:szCs w:val="18"/>
                                <w:lang w:eastAsia="zh-CN"/>
                              </w:rPr>
                            </w:pPr>
                            <w:r>
                              <w:rPr>
                                <w:rFonts w:hint="eastAsia"/>
                                <w:sz w:val="18"/>
                                <w:szCs w:val="18"/>
                                <w:lang w:eastAsia="zh-CN"/>
                              </w:rPr>
                              <w:t>危废暂存间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61.85pt;margin-top:170.5pt;height:21pt;width:78.75pt;z-index:251693056;v-text-anchor:middle;mso-width-relative:page;mso-height-relative:page;" filled="f" stroked="f" coordsize="21600,21600" o:gfxdata="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DN&#10;DhGx2AAAAAsBAAAPAAAAAAAAAAEAIAAAACIAAABkcnMvZG93bnJldi54bWxQSwECFAAUAAAACACH&#10;TuJAl4Ot810CAACvBAAADgAAAAAAAAABACAAAAAnAQAAZHJzL2Uyb0RvYy54bWxQSwUGAAAAAAYA&#10;BgBZAQAA9gUAAAAA&#10;">
                <v:fill on="f" focussize="0,0"/>
                <v:stroke on="f" weight="1pt" miterlimit="8" joinstyle="miter"/>
                <v:imagedata o:title=""/>
                <o:lock v:ext="edit" aspectratio="f"/>
                <v:textbox>
                  <w:txbxContent>
                    <w:p>
                      <w:pPr>
                        <w:jc w:val="center"/>
                        <w:rPr>
                          <w:rFonts w:hint="eastAsia" w:eastAsia="宋体"/>
                          <w:sz w:val="18"/>
                          <w:szCs w:val="18"/>
                          <w:lang w:eastAsia="zh-CN"/>
                        </w:rPr>
                      </w:pPr>
                      <w:r>
                        <w:rPr>
                          <w:rFonts w:hint="eastAsia"/>
                          <w:sz w:val="18"/>
                          <w:szCs w:val="18"/>
                          <w:lang w:eastAsia="zh-CN"/>
                        </w:rPr>
                        <w:t>危废暂存间</w:t>
                      </w:r>
                    </w:p>
                  </w:txbxContent>
                </v:textbox>
              </v:rect>
            </w:pict>
          </mc:Fallback>
        </mc:AlternateContent>
      </w:r>
      <w:r>
        <w:rPr>
          <w:sz w:val="24"/>
        </w:rPr>
        <mc:AlternateContent>
          <mc:Choice Requires="wps">
            <w:drawing>
              <wp:anchor distT="0" distB="0" distL="114300" distR="114300" simplePos="0" relativeHeight="251692032" behindDoc="0" locked="0" layoutInCell="1" allowOverlap="1">
                <wp:simplePos x="0" y="0"/>
                <wp:positionH relativeFrom="column">
                  <wp:posOffset>3589020</wp:posOffset>
                </wp:positionH>
                <wp:positionV relativeFrom="paragraph">
                  <wp:posOffset>1527175</wp:posOffset>
                </wp:positionV>
                <wp:extent cx="1000125" cy="266700"/>
                <wp:effectExtent l="0" t="0" r="0" b="0"/>
                <wp:wrapNone/>
                <wp:docPr id="69" name="矩形 69"/>
                <wp:cNvGraphicFramePr/>
                <a:graphic xmlns:a="http://schemas.openxmlformats.org/drawingml/2006/main">
                  <a:graphicData uri="http://schemas.microsoft.com/office/word/2010/wordprocessingShape">
                    <wps:wsp>
                      <wps:cNvSpPr/>
                      <wps:spPr>
                        <a:xfrm>
                          <a:off x="0" y="0"/>
                          <a:ext cx="1000125" cy="26670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pPr>
                              <w:jc w:val="center"/>
                              <w:rPr>
                                <w:rFonts w:hint="eastAsia" w:eastAsia="宋体"/>
                                <w:sz w:val="18"/>
                                <w:szCs w:val="18"/>
                                <w:lang w:eastAsia="zh-CN"/>
                              </w:rPr>
                            </w:pPr>
                            <w:r>
                              <w:rPr>
                                <w:rFonts w:hint="eastAsia"/>
                                <w:sz w:val="18"/>
                                <w:szCs w:val="18"/>
                                <w:lang w:eastAsia="zh-CN"/>
                              </w:rPr>
                              <w:t>隔油沉淀池</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82.6pt;margin-top:120.25pt;height:21pt;width:78.75pt;z-index:251692032;v-text-anchor:middle;mso-width-relative:page;mso-height-relative:page;" filled="f" stroked="f" coordsize="21600,21600" o:gfxdata="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IriQlTZAAAACwEAAA8AAAAAAAAAAQAgAAAAIgAAAGRycy9kb3ducmV2LnhtbFBLAQIUABQAAAAI&#10;AIdO4kAxMcZlXgIAAK8EAAAOAAAAAAAAAAEAIAAAACgBAABkcnMvZTJvRG9jLnhtbFBLBQYAAAAA&#10;BgAGAFkBAAD4BQAAAAA=&#10;">
                <v:fill on="f" focussize="0,0"/>
                <v:stroke on="f" weight="1pt" miterlimit="8" joinstyle="miter"/>
                <v:imagedata o:title=""/>
                <o:lock v:ext="edit" aspectratio="f"/>
                <v:textbox>
                  <w:txbxContent>
                    <w:p>
                      <w:pPr>
                        <w:jc w:val="center"/>
                        <w:rPr>
                          <w:rFonts w:hint="eastAsia" w:eastAsia="宋体"/>
                          <w:sz w:val="18"/>
                          <w:szCs w:val="18"/>
                          <w:lang w:eastAsia="zh-CN"/>
                        </w:rPr>
                      </w:pPr>
                      <w:r>
                        <w:rPr>
                          <w:rFonts w:hint="eastAsia"/>
                          <w:sz w:val="18"/>
                          <w:szCs w:val="18"/>
                          <w:lang w:eastAsia="zh-CN"/>
                        </w:rPr>
                        <w:t>隔油沉淀池</w:t>
                      </w:r>
                    </w:p>
                  </w:txbxContent>
                </v:textbox>
              </v:rect>
            </w:pict>
          </mc:Fallback>
        </mc:AlternateContent>
      </w:r>
      <w:r>
        <w:rPr>
          <w:sz w:val="24"/>
        </w:rPr>
        <mc:AlternateContent>
          <mc:Choice Requires="wps">
            <w:drawing>
              <wp:anchor distT="0" distB="0" distL="114300" distR="114300" simplePos="0" relativeHeight="251691008" behindDoc="0" locked="0" layoutInCell="1" allowOverlap="1">
                <wp:simplePos x="0" y="0"/>
                <wp:positionH relativeFrom="column">
                  <wp:posOffset>2527935</wp:posOffset>
                </wp:positionH>
                <wp:positionV relativeFrom="paragraph">
                  <wp:posOffset>2200275</wp:posOffset>
                </wp:positionV>
                <wp:extent cx="201295" cy="137160"/>
                <wp:effectExtent l="13335" t="17145" r="13970" b="17145"/>
                <wp:wrapNone/>
                <wp:docPr id="68" name="矩形 68"/>
                <wp:cNvGraphicFramePr/>
                <a:graphic xmlns:a="http://schemas.openxmlformats.org/drawingml/2006/main">
                  <a:graphicData uri="http://schemas.microsoft.com/office/word/2010/wordprocessingShape">
                    <wps:wsp>
                      <wps:cNvSpPr/>
                      <wps:spPr>
                        <a:xfrm rot="360000">
                          <a:off x="0" y="0"/>
                          <a:ext cx="201295" cy="13716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9.05pt;margin-top:173.25pt;height:10.8pt;width:15.85pt;rotation:393216f;z-index:251691008;v-text-anchor:middle;mso-width-relative:page;mso-height-relative:page;" filled="f" stroked="t" coordsize="21600,21600" o:gfxdata="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8WVj29cAAAALAQAADwAAAAAAAAABACAAAAAiAAAAZHJzL2Rvd25yZXYu&#10;eG1sUEsBAhQAFAAAAAgAh07iQPUrn7RuAgAA2QQAAA4AAAAAAAAAAQAgAAAAJgEAAGRycy9lMm9E&#10;b2MueG1sUEsFBgAAAAAGAAYAWQEAAAYGAAAAAA==&#10;">
                <v:fill on="f" focussize="0,0"/>
                <v:stroke weight="1pt" color="#000000 [3213]" miterlimit="8" joinstyle="miter"/>
                <v:imagedata o:title=""/>
                <o:lock v:ext="edit" aspectratio="f"/>
              </v:rect>
            </w:pict>
          </mc:Fallback>
        </mc:AlternateContent>
      </w:r>
      <w:r>
        <w:rPr>
          <w:sz w:val="24"/>
        </w:rPr>
        <mc:AlternateContent>
          <mc:Choice Requires="wps">
            <w:drawing>
              <wp:anchor distT="0" distB="0" distL="114300" distR="114300" simplePos="0" relativeHeight="251689984" behindDoc="0" locked="0" layoutInCell="1" allowOverlap="1">
                <wp:simplePos x="0" y="0"/>
                <wp:positionH relativeFrom="column">
                  <wp:posOffset>3909060</wp:posOffset>
                </wp:positionH>
                <wp:positionV relativeFrom="paragraph">
                  <wp:posOffset>1581150</wp:posOffset>
                </wp:positionV>
                <wp:extent cx="201295" cy="137160"/>
                <wp:effectExtent l="13335" t="17145" r="13970" b="17145"/>
                <wp:wrapNone/>
                <wp:docPr id="67" name="矩形 67"/>
                <wp:cNvGraphicFramePr/>
                <a:graphic xmlns:a="http://schemas.openxmlformats.org/drawingml/2006/main">
                  <a:graphicData uri="http://schemas.microsoft.com/office/word/2010/wordprocessingShape">
                    <wps:wsp>
                      <wps:cNvSpPr/>
                      <wps:spPr>
                        <a:xfrm rot="360000">
                          <a:off x="0" y="0"/>
                          <a:ext cx="201295" cy="13716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07.8pt;margin-top:124.5pt;height:10.8pt;width:15.85pt;rotation:393216f;z-index:251689984;v-text-anchor:middle;mso-width-relative:page;mso-height-relative:page;" filled="f" stroked="t" coordsize="21600,21600" o:gfxdata="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PIgdWfYAAAACwEAAA8AAAAAAAAAAQAgAAAAIgAAAGRycy9kb3ducmV2&#10;LnhtbFBLAQIUABQAAAAIAIdO4kACBNR3bgIAANkEAAAOAAAAAAAAAAEAIAAAACcBAABkcnMvZTJv&#10;RG9jLnhtbFBLBQYAAAAABgAGAFkBAAAHBgAAAAA=&#10;">
                <v:fill on="f" focussize="0,0"/>
                <v:stroke weight="1pt" color="#000000 [3213]" miterlimit="8" joinstyle="miter"/>
                <v:imagedata o:title=""/>
                <o:lock v:ext="edit" aspectratio="f"/>
              </v:rect>
            </w:pict>
          </mc:Fallback>
        </mc:AlternateContent>
      </w:r>
      <w:r>
        <w:drawing>
          <wp:anchor distT="0" distB="0" distL="114300" distR="114300" simplePos="0" relativeHeight="251663360" behindDoc="0" locked="0" layoutInCell="1" allowOverlap="1">
            <wp:simplePos x="0" y="0"/>
            <wp:positionH relativeFrom="column">
              <wp:posOffset>7677150</wp:posOffset>
            </wp:positionH>
            <wp:positionV relativeFrom="paragraph">
              <wp:posOffset>45720</wp:posOffset>
            </wp:positionV>
            <wp:extent cx="781050" cy="737235"/>
            <wp:effectExtent l="0" t="0" r="0" b="5715"/>
            <wp:wrapNone/>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40"/>
                    <a:stretch>
                      <a:fillRect/>
                    </a:stretch>
                  </pic:blipFill>
                  <pic:spPr>
                    <a:xfrm>
                      <a:off x="0" y="0"/>
                      <a:ext cx="781050" cy="737235"/>
                    </a:xfrm>
                    <a:prstGeom prst="rect">
                      <a:avLst/>
                    </a:prstGeom>
                    <a:noFill/>
                    <a:ln>
                      <a:noFill/>
                    </a:ln>
                  </pic:spPr>
                </pic:pic>
              </a:graphicData>
            </a:graphic>
          </wp:anchor>
        </w:drawing>
      </w:r>
      <w:r>
        <w:rPr>
          <w:rFonts w:hint="eastAsia" w:eastAsia="宋体"/>
          <w:lang w:eastAsia="zh-CN"/>
        </w:rPr>
        <w:drawing>
          <wp:inline distT="0" distB="0" distL="114300" distR="114300">
            <wp:extent cx="8493760" cy="5102860"/>
            <wp:effectExtent l="0" t="0" r="2540" b="2540"/>
            <wp:docPr id="2" name="图片 2" descr="南山总平图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南山总平图_00"/>
                    <pic:cNvPicPr>
                      <a:picLocks noChangeAspect="1"/>
                    </pic:cNvPicPr>
                  </pic:nvPicPr>
                  <pic:blipFill>
                    <a:blip r:embed="rId42"/>
                    <a:stretch>
                      <a:fillRect/>
                    </a:stretch>
                  </pic:blipFill>
                  <pic:spPr>
                    <a:xfrm>
                      <a:off x="0" y="0"/>
                      <a:ext cx="8493760" cy="5102860"/>
                    </a:xfrm>
                    <a:prstGeom prst="rect">
                      <a:avLst/>
                    </a:prstGeom>
                  </pic:spPr>
                </pic:pic>
              </a:graphicData>
            </a:graphic>
          </wp:inline>
        </w:drawing>
      </w:r>
    </w:p>
    <w:p>
      <w:pPr>
        <w:rPr>
          <w:rFonts w:hint="eastAsia"/>
          <w:lang w:val="en-US" w:eastAsia="zh-CN"/>
        </w:rPr>
      </w:pPr>
    </w:p>
    <w:p>
      <w:pPr>
        <w:pStyle w:val="8"/>
        <w:bidi w:val="0"/>
        <w:rPr>
          <w:rFonts w:hint="eastAsia"/>
          <w:lang w:eastAsia="zh-CN"/>
        </w:rPr>
      </w:pPr>
      <w:bookmarkStart w:id="239" w:name="_Toc16786"/>
      <w:bookmarkStart w:id="240" w:name="_Toc19761"/>
      <w:bookmarkStart w:id="241" w:name="_Toc10920"/>
      <w:bookmarkStart w:id="242" w:name="_Toc25295"/>
      <w:bookmarkStart w:id="243" w:name="_Toc767"/>
      <w:bookmarkStart w:id="244" w:name="_Toc24561"/>
      <w:bookmarkStart w:id="245" w:name="_Toc14910"/>
      <w:bookmarkStart w:id="246" w:name="_Toc12396"/>
      <w:bookmarkStart w:id="247" w:name="_Toc27640"/>
      <w:r>
        <w:drawing>
          <wp:anchor distT="0" distB="0" distL="114300" distR="114300" simplePos="0" relativeHeight="251661312" behindDoc="0" locked="0" layoutInCell="1" allowOverlap="1">
            <wp:simplePos x="0" y="0"/>
            <wp:positionH relativeFrom="column">
              <wp:posOffset>7486650</wp:posOffset>
            </wp:positionH>
            <wp:positionV relativeFrom="paragraph">
              <wp:posOffset>328295</wp:posOffset>
            </wp:positionV>
            <wp:extent cx="904875" cy="923925"/>
            <wp:effectExtent l="0" t="0" r="9525" b="9525"/>
            <wp:wrapNone/>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40"/>
                    <a:stretch>
                      <a:fillRect/>
                    </a:stretch>
                  </pic:blipFill>
                  <pic:spPr>
                    <a:xfrm>
                      <a:off x="0" y="0"/>
                      <a:ext cx="904875" cy="923925"/>
                    </a:xfrm>
                    <a:prstGeom prst="rect">
                      <a:avLst/>
                    </a:prstGeom>
                    <a:noFill/>
                    <a:ln>
                      <a:noFill/>
                    </a:ln>
                  </pic:spPr>
                </pic:pic>
              </a:graphicData>
            </a:graphic>
          </wp:anchor>
        </w:drawing>
      </w:r>
      <w:r>
        <w:rPr>
          <w:rFonts w:hint="eastAsia"/>
        </w:rPr>
        <w:t>附图</w:t>
      </w:r>
      <w:r>
        <w:rPr>
          <w:rFonts w:hint="eastAsia"/>
          <w:lang w:val="en-US" w:eastAsia="zh-CN"/>
        </w:rPr>
        <w:t>3</w:t>
      </w:r>
      <w:r>
        <w:rPr>
          <w:rFonts w:hint="eastAsia"/>
        </w:rPr>
        <w:t xml:space="preserve"> </w:t>
      </w:r>
      <w:r>
        <w:rPr>
          <w:rFonts w:hint="eastAsia"/>
          <w:lang w:eastAsia="zh-CN"/>
        </w:rPr>
        <w:t>项目保护目标图</w:t>
      </w:r>
      <w:bookmarkEnd w:id="239"/>
      <w:bookmarkEnd w:id="240"/>
      <w:bookmarkEnd w:id="241"/>
      <w:bookmarkEnd w:id="242"/>
      <w:bookmarkEnd w:id="243"/>
      <w:bookmarkEnd w:id="244"/>
      <w:bookmarkEnd w:id="245"/>
      <w:bookmarkEnd w:id="246"/>
      <w:bookmarkEnd w:id="247"/>
    </w:p>
    <w:p>
      <w:pPr>
        <w:bidi w:val="0"/>
        <w:rPr>
          <w:rFonts w:hint="eastAsia"/>
          <w:lang w:val="en-US" w:eastAsia="zh-CN"/>
        </w:rPr>
        <w:sectPr>
          <w:pgSz w:w="16838" w:h="11906" w:orient="landscape"/>
          <w:pgMar w:top="1440" w:right="1800" w:bottom="1440" w:left="1800" w:header="851" w:footer="851" w:gutter="0"/>
          <w:pgNumType w:fmt="decimal"/>
          <w:cols w:space="720" w:num="1"/>
          <w:docGrid w:linePitch="312" w:charSpace="0"/>
        </w:sectPr>
      </w:pPr>
      <w:r>
        <w:rPr>
          <w:sz w:val="24"/>
        </w:rPr>
        <mc:AlternateContent>
          <mc:Choice Requires="wps">
            <w:drawing>
              <wp:anchor distT="0" distB="0" distL="114300" distR="114300" simplePos="0" relativeHeight="251682816" behindDoc="0" locked="0" layoutInCell="1" allowOverlap="1">
                <wp:simplePos x="0" y="0"/>
                <wp:positionH relativeFrom="column">
                  <wp:posOffset>2912745</wp:posOffset>
                </wp:positionH>
                <wp:positionV relativeFrom="paragraph">
                  <wp:posOffset>2482850</wp:posOffset>
                </wp:positionV>
                <wp:extent cx="752475" cy="333375"/>
                <wp:effectExtent l="0" t="0" r="0" b="0"/>
                <wp:wrapNone/>
                <wp:docPr id="38" name="矩形 38"/>
                <wp:cNvGraphicFramePr/>
                <a:graphic xmlns:a="http://schemas.openxmlformats.org/drawingml/2006/main">
                  <a:graphicData uri="http://schemas.microsoft.com/office/word/2010/wordprocessingShape">
                    <wps:wsp>
                      <wps:cNvSpPr/>
                      <wps:spPr>
                        <a:xfrm>
                          <a:off x="0" y="0"/>
                          <a:ext cx="752475" cy="33337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pPr>
                              <w:jc w:val="center"/>
                              <w:rPr>
                                <w:rFonts w:hint="default" w:eastAsia="宋体"/>
                                <w:color w:val="7030A0"/>
                                <w:sz w:val="21"/>
                                <w:szCs w:val="21"/>
                                <w:lang w:val="en-US" w:eastAsia="zh-CN"/>
                              </w:rPr>
                            </w:pPr>
                            <w:r>
                              <w:rPr>
                                <w:rFonts w:hint="eastAsia" w:ascii="Times New Roman" w:hAnsi="Times New Roman" w:cs="Times New Roman"/>
                                <w:color w:val="7030A0"/>
                                <w:sz w:val="21"/>
                                <w:szCs w:val="21"/>
                                <w:lang w:val="en-US" w:eastAsia="zh-CN"/>
                              </w:rPr>
                              <w:t>146</w:t>
                            </w:r>
                            <w:r>
                              <w:rPr>
                                <w:rFonts w:hint="default" w:ascii="Times New Roman" w:hAnsi="Times New Roman" w:cs="Times New Roman"/>
                                <w:color w:val="7030A0"/>
                                <w:sz w:val="21"/>
                                <w:szCs w:val="21"/>
                                <w:lang w:val="en-US" w:eastAsia="zh-CN"/>
                              </w:rPr>
                              <w:t>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9.35pt;margin-top:195.5pt;height:26.25pt;width:59.25pt;z-index:251682816;v-text-anchor:middle;mso-width-relative:page;mso-height-relative:page;" filled="f" stroked="f" coordsize="21600,21600" o:gfxdata="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KZGQpXZAAAACwEAAA8AAAAAAAAAAQAgAAAAIgAAAGRycy9kb3ducmV2LnhtbFBLAQIUABQAAAAI&#10;AIdO4kDhPxYaXgIAAK4EAAAOAAAAAAAAAAEAIAAAACgBAABkcnMvZTJvRG9jLnhtbFBLBQYAAAAA&#10;BgAGAFkBAAD4BQAAAAA=&#10;">
                <v:fill on="f" focussize="0,0"/>
                <v:stroke on="f" weight="1pt" miterlimit="8" joinstyle="miter"/>
                <v:imagedata o:title=""/>
                <o:lock v:ext="edit" aspectratio="f"/>
                <v:textbox>
                  <w:txbxContent>
                    <w:p>
                      <w:pPr>
                        <w:jc w:val="center"/>
                        <w:rPr>
                          <w:rFonts w:hint="default" w:eastAsia="宋体"/>
                          <w:color w:val="7030A0"/>
                          <w:sz w:val="21"/>
                          <w:szCs w:val="21"/>
                          <w:lang w:val="en-US" w:eastAsia="zh-CN"/>
                        </w:rPr>
                      </w:pPr>
                      <w:r>
                        <w:rPr>
                          <w:rFonts w:hint="eastAsia" w:ascii="Times New Roman" w:hAnsi="Times New Roman" w:cs="Times New Roman"/>
                          <w:color w:val="7030A0"/>
                          <w:sz w:val="21"/>
                          <w:szCs w:val="21"/>
                          <w:lang w:val="en-US" w:eastAsia="zh-CN"/>
                        </w:rPr>
                        <w:t>146</w:t>
                      </w:r>
                      <w:r>
                        <w:rPr>
                          <w:rFonts w:hint="default" w:ascii="Times New Roman" w:hAnsi="Times New Roman" w:cs="Times New Roman"/>
                          <w:color w:val="7030A0"/>
                          <w:sz w:val="21"/>
                          <w:szCs w:val="21"/>
                          <w:lang w:val="en-US" w:eastAsia="zh-CN"/>
                        </w:rPr>
                        <w:t>m</w:t>
                      </w:r>
                    </w:p>
                  </w:txbxContent>
                </v:textbox>
              </v:rect>
            </w:pict>
          </mc:Fallback>
        </mc:AlternateContent>
      </w:r>
      <w:r>
        <w:rPr>
          <w:sz w:val="24"/>
        </w:rPr>
        <mc:AlternateContent>
          <mc:Choice Requires="wps">
            <w:drawing>
              <wp:anchor distT="0" distB="0" distL="114300" distR="114300" simplePos="0" relativeHeight="251685888" behindDoc="0" locked="0" layoutInCell="1" allowOverlap="1">
                <wp:simplePos x="0" y="0"/>
                <wp:positionH relativeFrom="column">
                  <wp:posOffset>1655445</wp:posOffset>
                </wp:positionH>
                <wp:positionV relativeFrom="paragraph">
                  <wp:posOffset>2797175</wp:posOffset>
                </wp:positionV>
                <wp:extent cx="752475" cy="333375"/>
                <wp:effectExtent l="0" t="0" r="0" b="0"/>
                <wp:wrapNone/>
                <wp:docPr id="61" name="矩形 61"/>
                <wp:cNvGraphicFramePr/>
                <a:graphic xmlns:a="http://schemas.openxmlformats.org/drawingml/2006/main">
                  <a:graphicData uri="http://schemas.microsoft.com/office/word/2010/wordprocessingShape">
                    <wps:wsp>
                      <wps:cNvSpPr/>
                      <wps:spPr>
                        <a:xfrm>
                          <a:off x="0" y="0"/>
                          <a:ext cx="752475" cy="33337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pPr>
                              <w:jc w:val="center"/>
                              <w:rPr>
                                <w:rFonts w:hint="default" w:eastAsia="宋体"/>
                                <w:color w:val="7030A0"/>
                                <w:sz w:val="21"/>
                                <w:szCs w:val="21"/>
                                <w:lang w:val="en-US" w:eastAsia="zh-CN"/>
                              </w:rPr>
                            </w:pPr>
                            <w:r>
                              <w:rPr>
                                <w:rFonts w:hint="eastAsia" w:ascii="Times New Roman" w:hAnsi="Times New Roman" w:cs="Times New Roman"/>
                                <w:color w:val="7030A0"/>
                                <w:sz w:val="21"/>
                                <w:szCs w:val="21"/>
                                <w:lang w:val="en-US" w:eastAsia="zh-CN"/>
                              </w:rPr>
                              <w:t>295</w:t>
                            </w:r>
                            <w:r>
                              <w:rPr>
                                <w:rFonts w:hint="default" w:ascii="Times New Roman" w:hAnsi="Times New Roman" w:cs="Times New Roman"/>
                                <w:color w:val="7030A0"/>
                                <w:sz w:val="21"/>
                                <w:szCs w:val="21"/>
                                <w:lang w:val="en-US" w:eastAsia="zh-CN"/>
                              </w:rPr>
                              <w:t>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30.35pt;margin-top:220.25pt;height:26.25pt;width:59.25pt;z-index:251685888;v-text-anchor:middle;mso-width-relative:page;mso-height-relative:page;" filled="f" stroked="f" coordsize="21600,21600" o:gfxdata="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BmlS8b2gAAAAsBAAAPAAAAAAAAAAEAIAAAACIAAABkcnMvZG93bnJldi54bWxQSwECFAAUAAAA&#10;CACHTuJAo/W8Ol4CAACuBAAADgAAAAAAAAABACAAAAApAQAAZHJzL2Uyb0RvYy54bWxQSwUGAAAA&#10;AAYABgBZAQAA+QUAAAAA&#10;">
                <v:fill on="f" focussize="0,0"/>
                <v:stroke on="f" weight="1pt" miterlimit="8" joinstyle="miter"/>
                <v:imagedata o:title=""/>
                <o:lock v:ext="edit" aspectratio="f"/>
                <v:textbox>
                  <w:txbxContent>
                    <w:p>
                      <w:pPr>
                        <w:jc w:val="center"/>
                        <w:rPr>
                          <w:rFonts w:hint="default" w:eastAsia="宋体"/>
                          <w:color w:val="7030A0"/>
                          <w:sz w:val="21"/>
                          <w:szCs w:val="21"/>
                          <w:lang w:val="en-US" w:eastAsia="zh-CN"/>
                        </w:rPr>
                      </w:pPr>
                      <w:r>
                        <w:rPr>
                          <w:rFonts w:hint="eastAsia" w:ascii="Times New Roman" w:hAnsi="Times New Roman" w:cs="Times New Roman"/>
                          <w:color w:val="7030A0"/>
                          <w:sz w:val="21"/>
                          <w:szCs w:val="21"/>
                          <w:lang w:val="en-US" w:eastAsia="zh-CN"/>
                        </w:rPr>
                        <w:t>295</w:t>
                      </w:r>
                      <w:r>
                        <w:rPr>
                          <w:rFonts w:hint="default" w:ascii="Times New Roman" w:hAnsi="Times New Roman" w:cs="Times New Roman"/>
                          <w:color w:val="7030A0"/>
                          <w:sz w:val="21"/>
                          <w:szCs w:val="21"/>
                          <w:lang w:val="en-US" w:eastAsia="zh-CN"/>
                        </w:rPr>
                        <w:t>m</w:t>
                      </w:r>
                    </w:p>
                  </w:txbxContent>
                </v:textbox>
              </v:rect>
            </w:pict>
          </mc:Fallback>
        </mc:AlternateContent>
      </w:r>
      <w:r>
        <w:rPr>
          <w:sz w:val="24"/>
        </w:rPr>
        <mc:AlternateContent>
          <mc:Choice Requires="wps">
            <w:drawing>
              <wp:anchor distT="0" distB="0" distL="114300" distR="114300" simplePos="0" relativeHeight="251684864" behindDoc="0" locked="0" layoutInCell="1" allowOverlap="1">
                <wp:simplePos x="0" y="0"/>
                <wp:positionH relativeFrom="column">
                  <wp:posOffset>2617470</wp:posOffset>
                </wp:positionH>
                <wp:positionV relativeFrom="paragraph">
                  <wp:posOffset>2997200</wp:posOffset>
                </wp:positionV>
                <wp:extent cx="752475" cy="333375"/>
                <wp:effectExtent l="0" t="0" r="0" b="0"/>
                <wp:wrapNone/>
                <wp:docPr id="60" name="矩形 60"/>
                <wp:cNvGraphicFramePr/>
                <a:graphic xmlns:a="http://schemas.openxmlformats.org/drawingml/2006/main">
                  <a:graphicData uri="http://schemas.microsoft.com/office/word/2010/wordprocessingShape">
                    <wps:wsp>
                      <wps:cNvSpPr/>
                      <wps:spPr>
                        <a:xfrm>
                          <a:off x="0" y="0"/>
                          <a:ext cx="752475" cy="33337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pPr>
                              <w:jc w:val="center"/>
                              <w:rPr>
                                <w:rFonts w:hint="default" w:eastAsia="宋体"/>
                                <w:color w:val="7030A0"/>
                                <w:sz w:val="21"/>
                                <w:szCs w:val="21"/>
                                <w:lang w:val="en-US" w:eastAsia="zh-CN"/>
                              </w:rPr>
                            </w:pPr>
                            <w:r>
                              <w:rPr>
                                <w:rFonts w:hint="eastAsia" w:ascii="Times New Roman" w:hAnsi="Times New Roman" w:cs="Times New Roman"/>
                                <w:color w:val="7030A0"/>
                                <w:sz w:val="21"/>
                                <w:szCs w:val="21"/>
                                <w:lang w:val="en-US" w:eastAsia="zh-CN"/>
                              </w:rPr>
                              <w:t>25</w:t>
                            </w:r>
                            <w:r>
                              <w:rPr>
                                <w:rFonts w:hint="default" w:ascii="Times New Roman" w:hAnsi="Times New Roman" w:cs="Times New Roman"/>
                                <w:color w:val="7030A0"/>
                                <w:sz w:val="21"/>
                                <w:szCs w:val="21"/>
                                <w:lang w:val="en-US" w:eastAsia="zh-CN"/>
                              </w:rPr>
                              <w:t>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6.1pt;margin-top:236pt;height:26.25pt;width:59.25pt;z-index:251684864;v-text-anchor:middle;mso-width-relative:page;mso-height-relative:page;" filled="f" stroked="f" coordsize="21600,21600" o:gfxdata="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EWXXMHZAAAACwEAAA8AAAAAAAAAAQAgAAAAIgAAAGRycy9kb3ducmV2LnhtbFBLAQIUABQAAAAI&#10;AIdO4kA5Lf5MXgIAAK4EAAAOAAAAAAAAAAEAIAAAACgBAABkcnMvZTJvRG9jLnhtbFBLBQYAAAAA&#10;BgAGAFkBAAD4BQAAAAA=&#10;">
                <v:fill on="f" focussize="0,0"/>
                <v:stroke on="f" weight="1pt" miterlimit="8" joinstyle="miter"/>
                <v:imagedata o:title=""/>
                <o:lock v:ext="edit" aspectratio="f"/>
                <v:textbox>
                  <w:txbxContent>
                    <w:p>
                      <w:pPr>
                        <w:jc w:val="center"/>
                        <w:rPr>
                          <w:rFonts w:hint="default" w:eastAsia="宋体"/>
                          <w:color w:val="7030A0"/>
                          <w:sz w:val="21"/>
                          <w:szCs w:val="21"/>
                          <w:lang w:val="en-US" w:eastAsia="zh-CN"/>
                        </w:rPr>
                      </w:pPr>
                      <w:r>
                        <w:rPr>
                          <w:rFonts w:hint="eastAsia" w:ascii="Times New Roman" w:hAnsi="Times New Roman" w:cs="Times New Roman"/>
                          <w:color w:val="7030A0"/>
                          <w:sz w:val="21"/>
                          <w:szCs w:val="21"/>
                          <w:lang w:val="en-US" w:eastAsia="zh-CN"/>
                        </w:rPr>
                        <w:t>25</w:t>
                      </w:r>
                      <w:r>
                        <w:rPr>
                          <w:rFonts w:hint="default" w:ascii="Times New Roman" w:hAnsi="Times New Roman" w:cs="Times New Roman"/>
                          <w:color w:val="7030A0"/>
                          <w:sz w:val="21"/>
                          <w:szCs w:val="21"/>
                          <w:lang w:val="en-US" w:eastAsia="zh-CN"/>
                        </w:rPr>
                        <w:t>m</w:t>
                      </w:r>
                    </w:p>
                  </w:txbxContent>
                </v:textbox>
              </v:rect>
            </w:pict>
          </mc:Fallback>
        </mc:AlternateContent>
      </w:r>
      <w:r>
        <w:rPr>
          <w:sz w:val="24"/>
        </w:rPr>
        <mc:AlternateContent>
          <mc:Choice Requires="wps">
            <w:drawing>
              <wp:anchor distT="0" distB="0" distL="114300" distR="114300" simplePos="0" relativeHeight="251683840" behindDoc="0" locked="0" layoutInCell="1" allowOverlap="1">
                <wp:simplePos x="0" y="0"/>
                <wp:positionH relativeFrom="column">
                  <wp:posOffset>3579495</wp:posOffset>
                </wp:positionH>
                <wp:positionV relativeFrom="paragraph">
                  <wp:posOffset>2882900</wp:posOffset>
                </wp:positionV>
                <wp:extent cx="752475" cy="333375"/>
                <wp:effectExtent l="0" t="0" r="0" b="0"/>
                <wp:wrapNone/>
                <wp:docPr id="59" name="矩形 59"/>
                <wp:cNvGraphicFramePr/>
                <a:graphic xmlns:a="http://schemas.openxmlformats.org/drawingml/2006/main">
                  <a:graphicData uri="http://schemas.microsoft.com/office/word/2010/wordprocessingShape">
                    <wps:wsp>
                      <wps:cNvSpPr/>
                      <wps:spPr>
                        <a:xfrm>
                          <a:off x="0" y="0"/>
                          <a:ext cx="752475" cy="33337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pPr>
                              <w:jc w:val="center"/>
                              <w:rPr>
                                <w:rFonts w:hint="default" w:eastAsia="宋体"/>
                                <w:color w:val="7030A0"/>
                                <w:sz w:val="21"/>
                                <w:szCs w:val="21"/>
                                <w:lang w:val="en-US" w:eastAsia="zh-CN"/>
                              </w:rPr>
                            </w:pPr>
                            <w:r>
                              <w:rPr>
                                <w:rFonts w:hint="eastAsia" w:ascii="Times New Roman" w:hAnsi="Times New Roman" w:cs="Times New Roman"/>
                                <w:color w:val="7030A0"/>
                                <w:sz w:val="21"/>
                                <w:szCs w:val="21"/>
                                <w:lang w:val="en-US" w:eastAsia="zh-CN"/>
                              </w:rPr>
                              <w:t>180</w:t>
                            </w:r>
                            <w:r>
                              <w:rPr>
                                <w:rFonts w:hint="default" w:ascii="Times New Roman" w:hAnsi="Times New Roman" w:cs="Times New Roman"/>
                                <w:color w:val="7030A0"/>
                                <w:sz w:val="21"/>
                                <w:szCs w:val="21"/>
                                <w:lang w:val="en-US" w:eastAsia="zh-CN"/>
                              </w:rPr>
                              <w:t>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81.85pt;margin-top:227pt;height:26.25pt;width:59.25pt;z-index:251683840;v-text-anchor:middle;mso-width-relative:page;mso-height-relative:page;" filled="f" stroked="f" coordsize="21600,21600" o:gfxdata="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J8frErZAAAACwEAAA8AAAAAAAAAAQAgAAAAIgAAAGRycy9kb3ducmV2LnhtbFBLAQIUABQAAAAI&#10;AIdO4kB3dLwPXgIAAK4EAAAOAAAAAAAAAAEAIAAAACgBAABkcnMvZTJvRG9jLnhtbFBLBQYAAAAA&#10;BgAGAFkBAAD4BQAAAAA=&#10;">
                <v:fill on="f" focussize="0,0"/>
                <v:stroke on="f" weight="1pt" miterlimit="8" joinstyle="miter"/>
                <v:imagedata o:title=""/>
                <o:lock v:ext="edit" aspectratio="f"/>
                <v:textbox>
                  <w:txbxContent>
                    <w:p>
                      <w:pPr>
                        <w:jc w:val="center"/>
                        <w:rPr>
                          <w:rFonts w:hint="default" w:eastAsia="宋体"/>
                          <w:color w:val="7030A0"/>
                          <w:sz w:val="21"/>
                          <w:szCs w:val="21"/>
                          <w:lang w:val="en-US" w:eastAsia="zh-CN"/>
                        </w:rPr>
                      </w:pPr>
                      <w:r>
                        <w:rPr>
                          <w:rFonts w:hint="eastAsia" w:ascii="Times New Roman" w:hAnsi="Times New Roman" w:cs="Times New Roman"/>
                          <w:color w:val="7030A0"/>
                          <w:sz w:val="21"/>
                          <w:szCs w:val="21"/>
                          <w:lang w:val="en-US" w:eastAsia="zh-CN"/>
                        </w:rPr>
                        <w:t>180</w:t>
                      </w:r>
                      <w:r>
                        <w:rPr>
                          <w:rFonts w:hint="default" w:ascii="Times New Roman" w:hAnsi="Times New Roman" w:cs="Times New Roman"/>
                          <w:color w:val="7030A0"/>
                          <w:sz w:val="21"/>
                          <w:szCs w:val="21"/>
                          <w:lang w:val="en-US" w:eastAsia="zh-CN"/>
                        </w:rPr>
                        <w:t>m</w:t>
                      </w:r>
                    </w:p>
                  </w:txbxContent>
                </v:textbox>
              </v:rect>
            </w:pict>
          </mc:Fallback>
        </mc:AlternateContent>
      </w:r>
      <w:r>
        <w:rPr>
          <w:sz w:val="24"/>
        </w:rPr>
        <mc:AlternateContent>
          <mc:Choice Requires="wps">
            <w:drawing>
              <wp:anchor distT="0" distB="0" distL="114300" distR="114300" simplePos="0" relativeHeight="251681792" behindDoc="0" locked="0" layoutInCell="1" allowOverlap="1">
                <wp:simplePos x="0" y="0"/>
                <wp:positionH relativeFrom="column">
                  <wp:posOffset>3731895</wp:posOffset>
                </wp:positionH>
                <wp:positionV relativeFrom="paragraph">
                  <wp:posOffset>2168525</wp:posOffset>
                </wp:positionV>
                <wp:extent cx="752475" cy="333375"/>
                <wp:effectExtent l="0" t="0" r="0" b="0"/>
                <wp:wrapNone/>
                <wp:docPr id="35" name="矩形 35"/>
                <wp:cNvGraphicFramePr/>
                <a:graphic xmlns:a="http://schemas.openxmlformats.org/drawingml/2006/main">
                  <a:graphicData uri="http://schemas.microsoft.com/office/word/2010/wordprocessingShape">
                    <wps:wsp>
                      <wps:cNvSpPr/>
                      <wps:spPr>
                        <a:xfrm>
                          <a:off x="4989195" y="3323590"/>
                          <a:ext cx="752475" cy="33337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pPr>
                              <w:jc w:val="center"/>
                              <w:rPr>
                                <w:rFonts w:hint="default" w:eastAsia="宋体"/>
                                <w:color w:val="7030A0"/>
                                <w:sz w:val="21"/>
                                <w:szCs w:val="21"/>
                                <w:lang w:val="en-US" w:eastAsia="zh-CN"/>
                              </w:rPr>
                            </w:pPr>
                            <w:r>
                              <w:rPr>
                                <w:rFonts w:hint="eastAsia"/>
                                <w:color w:val="7030A0"/>
                                <w:sz w:val="21"/>
                                <w:szCs w:val="21"/>
                                <w:lang w:val="en-US" w:eastAsia="zh-CN"/>
                              </w:rPr>
                              <w:t>310</w:t>
                            </w:r>
                            <w:r>
                              <w:rPr>
                                <w:rFonts w:hint="default" w:ascii="Times New Roman" w:hAnsi="Times New Roman" w:cs="Times New Roman"/>
                                <w:color w:val="7030A0"/>
                                <w:sz w:val="21"/>
                                <w:szCs w:val="21"/>
                                <w:lang w:val="en-US" w:eastAsia="zh-CN"/>
                              </w:rPr>
                              <w:t>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93.85pt;margin-top:170.75pt;height:26.25pt;width:59.25pt;z-index:251681792;v-text-anchor:middle;mso-width-relative:page;mso-height-relative:page;" filled="f" stroked="f" coordsize="21600,21600" o:gfxdata="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Is4Ll7aAAAACwEAAA8AAAAAAAAAAQAgAAAAIgAAAGRycy9kb3ducmV2Lnht&#10;bFBLAQIUABQAAAAIAIdO4kC+VUWZaQIAALoEAAAOAAAAAAAAAAEAIAAAACkBAABkcnMvZTJvRG9j&#10;LnhtbFBLBQYAAAAABgAGAFkBAAAEBgAAAAA=&#10;">
                <v:fill on="f" focussize="0,0"/>
                <v:stroke on="f" weight="1pt" miterlimit="8" joinstyle="miter"/>
                <v:imagedata o:title=""/>
                <o:lock v:ext="edit" aspectratio="f"/>
                <v:textbox>
                  <w:txbxContent>
                    <w:p>
                      <w:pPr>
                        <w:jc w:val="center"/>
                        <w:rPr>
                          <w:rFonts w:hint="default" w:eastAsia="宋体"/>
                          <w:color w:val="7030A0"/>
                          <w:sz w:val="21"/>
                          <w:szCs w:val="21"/>
                          <w:lang w:val="en-US" w:eastAsia="zh-CN"/>
                        </w:rPr>
                      </w:pPr>
                      <w:r>
                        <w:rPr>
                          <w:rFonts w:hint="eastAsia"/>
                          <w:color w:val="7030A0"/>
                          <w:sz w:val="21"/>
                          <w:szCs w:val="21"/>
                          <w:lang w:val="en-US" w:eastAsia="zh-CN"/>
                        </w:rPr>
                        <w:t>310</w:t>
                      </w:r>
                      <w:r>
                        <w:rPr>
                          <w:rFonts w:hint="default" w:ascii="Times New Roman" w:hAnsi="Times New Roman" w:cs="Times New Roman"/>
                          <w:color w:val="7030A0"/>
                          <w:sz w:val="21"/>
                          <w:szCs w:val="21"/>
                          <w:lang w:val="en-US" w:eastAsia="zh-CN"/>
                        </w:rPr>
                        <w:t>m</w:t>
                      </w:r>
                    </w:p>
                  </w:txbxContent>
                </v:textbox>
              </v:rect>
            </w:pict>
          </mc:Fallback>
        </mc:AlternateContent>
      </w:r>
      <w:r>
        <w:rPr>
          <w:sz w:val="24"/>
        </w:rPr>
        <mc:AlternateContent>
          <mc:Choice Requires="wps">
            <w:drawing>
              <wp:anchor distT="0" distB="0" distL="114300" distR="114300" simplePos="0" relativeHeight="251680768" behindDoc="0" locked="0" layoutInCell="1" allowOverlap="1">
                <wp:simplePos x="0" y="0"/>
                <wp:positionH relativeFrom="column">
                  <wp:posOffset>3112770</wp:posOffset>
                </wp:positionH>
                <wp:positionV relativeFrom="paragraph">
                  <wp:posOffset>2017395</wp:posOffset>
                </wp:positionV>
                <wp:extent cx="1752600" cy="962025"/>
                <wp:effectExtent l="2540" t="0" r="16510" b="9525"/>
                <wp:wrapNone/>
                <wp:docPr id="56" name="直接箭头连接符 56"/>
                <wp:cNvGraphicFramePr/>
                <a:graphic xmlns:a="http://schemas.openxmlformats.org/drawingml/2006/main">
                  <a:graphicData uri="http://schemas.microsoft.com/office/word/2010/wordprocessingShape">
                    <wps:wsp>
                      <wps:cNvCnPr/>
                      <wps:spPr>
                        <a:xfrm flipV="1">
                          <a:off x="0" y="0"/>
                          <a:ext cx="1752600" cy="962025"/>
                        </a:xfrm>
                        <a:prstGeom prst="straightConnector1">
                          <a:avLst/>
                        </a:prstGeom>
                        <a:ln>
                          <a:solidFill>
                            <a:srgbClr val="FFFF00"/>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245.1pt;margin-top:158.85pt;height:75.75pt;width:138pt;z-index:251680768;mso-width-relative:page;mso-height-relative:page;" filled="f" stroked="t" coordsize="21600,21600" o:gfxdata="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D2rmoXZAAAACwEAAA8AAAAAAAAAAQAgAAAAIgAAAGRycy9kb3ducmV2LnhtbFBLAQIUABQA&#10;AAAIAIdO4kAGdb8fKAIAABwEAAAOAAAAAAAAAAEAIAAAACgBAABkcnMvZTJvRG9jLnhtbFBLBQYA&#10;AAAABgAGAFkBAADCBQAAAAA=&#10;">
                <v:fill on="f" focussize="0,0"/>
                <v:stroke weight="0.5pt" color="#FFFF00 [3204]" miterlimit="8" joinstyle="miter" endarrow="block"/>
                <v:imagedata o:title=""/>
                <o:lock v:ext="edit" aspectratio="f"/>
              </v:shape>
            </w:pict>
          </mc:Fallback>
        </mc:AlternateContent>
      </w:r>
      <w:r>
        <w:rPr>
          <w:sz w:val="24"/>
        </w:rPr>
        <mc:AlternateContent>
          <mc:Choice Requires="wps">
            <w:drawing>
              <wp:anchor distT="0" distB="0" distL="114300" distR="114300" simplePos="0" relativeHeight="251679744" behindDoc="0" locked="0" layoutInCell="1" allowOverlap="1">
                <wp:simplePos x="0" y="0"/>
                <wp:positionH relativeFrom="column">
                  <wp:posOffset>1160145</wp:posOffset>
                </wp:positionH>
                <wp:positionV relativeFrom="paragraph">
                  <wp:posOffset>3007995</wp:posOffset>
                </wp:positionV>
                <wp:extent cx="1933575" cy="238125"/>
                <wp:effectExtent l="0" t="4445" r="9525" b="43180"/>
                <wp:wrapNone/>
                <wp:docPr id="55" name="直接箭头连接符 55"/>
                <wp:cNvGraphicFramePr/>
                <a:graphic xmlns:a="http://schemas.openxmlformats.org/drawingml/2006/main">
                  <a:graphicData uri="http://schemas.microsoft.com/office/word/2010/wordprocessingShape">
                    <wps:wsp>
                      <wps:cNvCnPr/>
                      <wps:spPr>
                        <a:xfrm flipH="1">
                          <a:off x="0" y="0"/>
                          <a:ext cx="1933575" cy="238125"/>
                        </a:xfrm>
                        <a:prstGeom prst="straightConnector1">
                          <a:avLst/>
                        </a:prstGeom>
                        <a:ln>
                          <a:solidFill>
                            <a:srgbClr val="FFFF00"/>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91.35pt;margin-top:236.85pt;height:18.75pt;width:152.25pt;z-index:251679744;mso-width-relative:page;mso-height-relative:page;" filled="f" stroked="t" coordsize="21600,21600" o:gfxdata="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DOiikR2QAAAAsBAAAPAAAAAAAAAAEAIAAAACIAAABkcnMvZG93bnJldi54bWxQSwECFAAU&#10;AAAACACHTuJA+oR+4ikCAAAcBAAADgAAAAAAAAABACAAAAAoAQAAZHJzL2Uyb0RvYy54bWxQSwUG&#10;AAAAAAYABgBZAQAAwwUAAAAA&#10;">
                <v:fill on="f" focussize="0,0"/>
                <v:stroke weight="0.5pt" color="#FFFF00 [3204]" miterlimit="8" joinstyle="miter" endarrow="block"/>
                <v:imagedata o:title=""/>
                <o:lock v:ext="edit" aspectratio="f"/>
              </v:shape>
            </w:pict>
          </mc:Fallback>
        </mc:AlternateContent>
      </w:r>
      <w:r>
        <w:rPr>
          <w:sz w:val="24"/>
        </w:rPr>
        <mc:AlternateContent>
          <mc:Choice Requires="wps">
            <w:drawing>
              <wp:anchor distT="0" distB="0" distL="114300" distR="114300" simplePos="0" relativeHeight="251678720" behindDoc="0" locked="0" layoutInCell="1" allowOverlap="1">
                <wp:simplePos x="0" y="0"/>
                <wp:positionH relativeFrom="column">
                  <wp:posOffset>3093720</wp:posOffset>
                </wp:positionH>
                <wp:positionV relativeFrom="paragraph">
                  <wp:posOffset>2979420</wp:posOffset>
                </wp:positionV>
                <wp:extent cx="57150" cy="313690"/>
                <wp:effectExtent l="4445" t="635" r="33655" b="9525"/>
                <wp:wrapNone/>
                <wp:docPr id="54" name="直接箭头连接符 54"/>
                <wp:cNvGraphicFramePr/>
                <a:graphic xmlns:a="http://schemas.openxmlformats.org/drawingml/2006/main">
                  <a:graphicData uri="http://schemas.microsoft.com/office/word/2010/wordprocessingShape">
                    <wps:wsp>
                      <wps:cNvCnPr>
                        <a:endCxn id="48" idx="1"/>
                      </wps:cNvCnPr>
                      <wps:spPr>
                        <a:xfrm>
                          <a:off x="0" y="0"/>
                          <a:ext cx="57150" cy="313690"/>
                        </a:xfrm>
                        <a:prstGeom prst="straightConnector1">
                          <a:avLst/>
                        </a:prstGeom>
                        <a:ln>
                          <a:solidFill>
                            <a:srgbClr val="FFFF00"/>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243.6pt;margin-top:234.6pt;height:24.7pt;width:4.5pt;z-index:251678720;mso-width-relative:page;mso-height-relative:page;" filled="f" stroked="t" coordsize="21600,21600" o:gfxdata="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OKiTIdYAAAALAQAADwAAAAAAAAABACAAAAAiAAAAZHJzL2Rvd25yZXYueG1sUEsB&#10;AhQAFAAAAAgAh07iQKELP0gwAgAAOAQAAA4AAAAAAAAAAQAgAAAAJQEAAGRycy9lMm9Eb2MueG1s&#10;UEsFBgAAAAAGAAYAWQEAAMcFAAAAAA==&#10;">
                <v:fill on="f" focussize="0,0"/>
                <v:stroke weight="0.5pt" color="#FFFF00 [3204]" miterlimit="8" joinstyle="miter" endarrow="block"/>
                <v:imagedata o:title=""/>
                <o:lock v:ext="edit" aspectratio="f"/>
              </v:shape>
            </w:pict>
          </mc:Fallback>
        </mc:AlternateContent>
      </w:r>
      <w:r>
        <w:rPr>
          <w:sz w:val="24"/>
        </w:rPr>
        <mc:AlternateContent>
          <mc:Choice Requires="wps">
            <w:drawing>
              <wp:anchor distT="0" distB="0" distL="114300" distR="114300" simplePos="0" relativeHeight="251676672" behindDoc="0" locked="0" layoutInCell="1" allowOverlap="1">
                <wp:simplePos x="0" y="0"/>
                <wp:positionH relativeFrom="column">
                  <wp:posOffset>3141345</wp:posOffset>
                </wp:positionH>
                <wp:positionV relativeFrom="paragraph">
                  <wp:posOffset>2559685</wp:posOffset>
                </wp:positionV>
                <wp:extent cx="523875" cy="400685"/>
                <wp:effectExtent l="3175" t="0" r="6350" b="18415"/>
                <wp:wrapNone/>
                <wp:docPr id="52" name="直接箭头连接符 52"/>
                <wp:cNvGraphicFramePr/>
                <a:graphic xmlns:a="http://schemas.openxmlformats.org/drawingml/2006/main">
                  <a:graphicData uri="http://schemas.microsoft.com/office/word/2010/wordprocessingShape">
                    <wps:wsp>
                      <wps:cNvCnPr/>
                      <wps:spPr>
                        <a:xfrm flipV="1">
                          <a:off x="4331970" y="4130040"/>
                          <a:ext cx="523875" cy="400685"/>
                        </a:xfrm>
                        <a:prstGeom prst="straightConnector1">
                          <a:avLst/>
                        </a:prstGeom>
                        <a:ln>
                          <a:solidFill>
                            <a:srgbClr val="FFFF00"/>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247.35pt;margin-top:201.55pt;height:31.55pt;width:41.25pt;z-index:251676672;mso-width-relative:page;mso-height-relative:page;" filled="f" stroked="t" coordsize="21600,21600" o:gfxdata="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KyTYMXZAAAACwEAAA8AAAAAAAAAAQAgAAAAIgAAAGRycy9kb3ducmV2&#10;LnhtbFBLAQIUABQAAAAIAIdO4kB8+vH4NAIAACcEAAAOAAAAAAAAAAEAIAAAACgBAABkcnMvZTJv&#10;RG9jLnhtbFBLBQYAAAAABgAGAFkBAADOBQAAAAA=&#10;">
                <v:fill on="f" focussize="0,0"/>
                <v:stroke weight="0.5pt" color="#FFFF00 [3204]" miterlimit="8" joinstyle="miter" endarrow="block"/>
                <v:imagedata o:title=""/>
                <o:lock v:ext="edit" aspectratio="f"/>
              </v:shape>
            </w:pict>
          </mc:Fallback>
        </mc:AlternateContent>
      </w:r>
      <w:r>
        <w:rPr>
          <w:sz w:val="24"/>
        </w:rPr>
        <mc:AlternateContent>
          <mc:Choice Requires="wps">
            <w:drawing>
              <wp:anchor distT="0" distB="0" distL="114300" distR="114300" simplePos="0" relativeHeight="251675648" behindDoc="0" locked="0" layoutInCell="1" allowOverlap="1">
                <wp:simplePos x="0" y="0"/>
                <wp:positionH relativeFrom="column">
                  <wp:posOffset>207645</wp:posOffset>
                </wp:positionH>
                <wp:positionV relativeFrom="paragraph">
                  <wp:posOffset>2940050</wp:posOffset>
                </wp:positionV>
                <wp:extent cx="1238250" cy="335280"/>
                <wp:effectExtent l="0" t="0" r="0" b="0"/>
                <wp:wrapNone/>
                <wp:docPr id="51" name="矩形 51"/>
                <wp:cNvGraphicFramePr/>
                <a:graphic xmlns:a="http://schemas.openxmlformats.org/drawingml/2006/main">
                  <a:graphicData uri="http://schemas.microsoft.com/office/word/2010/wordprocessingShape">
                    <wps:wsp>
                      <wps:cNvSpPr/>
                      <wps:spPr>
                        <a:xfrm>
                          <a:off x="0" y="0"/>
                          <a:ext cx="1238250" cy="33528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pPr>
                              <w:jc w:val="center"/>
                              <w:rPr>
                                <w:rFonts w:hint="default"/>
                                <w:color w:val="FF0000"/>
                                <w:lang w:val="en-US"/>
                              </w:rPr>
                            </w:pPr>
                            <w:r>
                              <w:rPr>
                                <w:rFonts w:hint="eastAsia" w:ascii="Times New Roman" w:hAnsi="Times New Roman" w:eastAsia="宋体" w:cs="Times New Roman"/>
                                <w:i w:val="0"/>
                                <w:iCs w:val="0"/>
                                <w:color w:val="FF0000"/>
                                <w:sz w:val="21"/>
                                <w:szCs w:val="21"/>
                                <w:u w:val="none" w:color="auto"/>
                                <w:lang w:val="en-US" w:eastAsia="zh-CN"/>
                              </w:rPr>
                              <w:t>黄土井居民点</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6.35pt;margin-top:231.5pt;height:26.4pt;width:97.5pt;z-index:251675648;v-text-anchor:middle;mso-width-relative:page;mso-height-relative:page;" filled="f" stroked="f" coordsize="21600,21600" o:gfxdata="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DE4fPf2AAAAAoBAAAPAAAAAAAAAAEAIAAAACIAAABkcnMvZG93bnJldi54bWxQSwECFAAUAAAA&#10;CACHTuJAfsjIdGACAACvBAAADgAAAAAAAAABACAAAAAnAQAAZHJzL2Uyb0RvYy54bWxQSwUGAAAA&#10;AAYABgBZAQAA+QUAAAAA&#10;">
                <v:fill on="f" focussize="0,0"/>
                <v:stroke on="f" weight="1pt" miterlimit="8" joinstyle="miter"/>
                <v:imagedata o:title=""/>
                <o:lock v:ext="edit" aspectratio="f"/>
                <v:textbox>
                  <w:txbxContent>
                    <w:p>
                      <w:pPr>
                        <w:jc w:val="center"/>
                        <w:rPr>
                          <w:rFonts w:hint="default"/>
                          <w:color w:val="FF0000"/>
                          <w:lang w:val="en-US"/>
                        </w:rPr>
                      </w:pPr>
                      <w:r>
                        <w:rPr>
                          <w:rFonts w:hint="eastAsia" w:ascii="Times New Roman" w:hAnsi="Times New Roman" w:eastAsia="宋体" w:cs="Times New Roman"/>
                          <w:i w:val="0"/>
                          <w:iCs w:val="0"/>
                          <w:color w:val="FF0000"/>
                          <w:sz w:val="21"/>
                          <w:szCs w:val="21"/>
                          <w:u w:val="none" w:color="auto"/>
                          <w:lang w:val="en-US" w:eastAsia="zh-CN"/>
                        </w:rPr>
                        <w:t>黄土井居民点</w:t>
                      </w:r>
                    </w:p>
                  </w:txbxContent>
                </v:textbox>
              </v:rect>
            </w:pict>
          </mc:Fallback>
        </mc:AlternateContent>
      </w:r>
      <w:r>
        <w:rPr>
          <w:sz w:val="24"/>
        </w:rPr>
        <mc:AlternateContent>
          <mc:Choice Requires="wps">
            <w:drawing>
              <wp:anchor distT="0" distB="0" distL="114300" distR="114300" simplePos="0" relativeHeight="251674624" behindDoc="0" locked="0" layoutInCell="1" allowOverlap="1">
                <wp:simplePos x="0" y="0"/>
                <wp:positionH relativeFrom="column">
                  <wp:posOffset>99695</wp:posOffset>
                </wp:positionH>
                <wp:positionV relativeFrom="paragraph">
                  <wp:posOffset>2446655</wp:posOffset>
                </wp:positionV>
                <wp:extent cx="1094105" cy="1237615"/>
                <wp:effectExtent l="6350" t="6350" r="23495" b="13335"/>
                <wp:wrapNone/>
                <wp:docPr id="50" name="任意多边形 50"/>
                <wp:cNvGraphicFramePr/>
                <a:graphic xmlns:a="http://schemas.openxmlformats.org/drawingml/2006/main">
                  <a:graphicData uri="http://schemas.microsoft.com/office/word/2010/wordprocessingShape">
                    <wps:wsp>
                      <wps:cNvSpPr/>
                      <wps:spPr>
                        <a:xfrm>
                          <a:off x="1242695" y="3969385"/>
                          <a:ext cx="1094105" cy="1237615"/>
                        </a:xfrm>
                        <a:custGeom>
                          <a:avLst/>
                          <a:gdLst>
                            <a:gd name="connisteX0" fmla="*/ 1232002 w 1246399"/>
                            <a:gd name="connsiteY0" fmla="*/ 1198650 h 1342151"/>
                            <a:gd name="connisteX1" fmla="*/ 1193902 w 1246399"/>
                            <a:gd name="connsiteY1" fmla="*/ 465225 h 1342151"/>
                            <a:gd name="connisteX2" fmla="*/ 879577 w 1246399"/>
                            <a:gd name="connsiteY2" fmla="*/ 17550 h 1342151"/>
                            <a:gd name="connisteX3" fmla="*/ 155677 w 1246399"/>
                            <a:gd name="connsiteY3" fmla="*/ 198525 h 1342151"/>
                            <a:gd name="connisteX4" fmla="*/ 3277 w 1246399"/>
                            <a:gd name="connsiteY4" fmla="*/ 836700 h 1342151"/>
                            <a:gd name="connisteX5" fmla="*/ 184252 w 1246399"/>
                            <a:gd name="connsiteY5" fmla="*/ 1246275 h 1342151"/>
                            <a:gd name="connisteX6" fmla="*/ 593827 w 1246399"/>
                            <a:gd name="connsiteY6" fmla="*/ 1341525 h 1342151"/>
                            <a:gd name="connisteX7" fmla="*/ 1108177 w 1246399"/>
                            <a:gd name="connsiteY7" fmla="*/ 1236750 h 1342151"/>
                            <a:gd name="connisteX8" fmla="*/ 1232002 w 1246399"/>
                            <a:gd name="connsiteY8" fmla="*/ 1198650 h 1342151"/>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Lst>
                          <a:rect l="l" t="t" r="r" b="b"/>
                          <a:pathLst>
                            <a:path w="1246399" h="1342151">
                              <a:moveTo>
                                <a:pt x="1232003" y="1198650"/>
                              </a:moveTo>
                              <a:cubicBezTo>
                                <a:pt x="1249148" y="1044345"/>
                                <a:pt x="1264388" y="701445"/>
                                <a:pt x="1193903" y="465225"/>
                              </a:cubicBezTo>
                              <a:cubicBezTo>
                                <a:pt x="1123418" y="229005"/>
                                <a:pt x="1087223" y="70890"/>
                                <a:pt x="879578" y="17550"/>
                              </a:cubicBezTo>
                              <a:cubicBezTo>
                                <a:pt x="671933" y="-35790"/>
                                <a:pt x="330938" y="34695"/>
                                <a:pt x="155678" y="198525"/>
                              </a:cubicBezTo>
                              <a:cubicBezTo>
                                <a:pt x="-19582" y="362355"/>
                                <a:pt x="-2437" y="627150"/>
                                <a:pt x="3278" y="836700"/>
                              </a:cubicBezTo>
                              <a:cubicBezTo>
                                <a:pt x="8993" y="1046250"/>
                                <a:pt x="66143" y="1145310"/>
                                <a:pt x="184253" y="1246275"/>
                              </a:cubicBezTo>
                              <a:cubicBezTo>
                                <a:pt x="302363" y="1347240"/>
                                <a:pt x="409043" y="1343430"/>
                                <a:pt x="593828" y="1341525"/>
                              </a:cubicBezTo>
                              <a:cubicBezTo>
                                <a:pt x="778613" y="1339620"/>
                                <a:pt x="980543" y="1265325"/>
                                <a:pt x="1108178" y="1236750"/>
                              </a:cubicBezTo>
                              <a:cubicBezTo>
                                <a:pt x="1235813" y="1208175"/>
                                <a:pt x="1214858" y="1352955"/>
                                <a:pt x="1232003" y="1198650"/>
                              </a:cubicBezTo>
                              <a:close/>
                            </a:path>
                          </a:pathLst>
                        </a:cu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7.85pt;margin-top:192.65pt;height:97.45pt;width:86.15pt;z-index:251674624;mso-width-relative:page;mso-height-relative:page;" filled="f" stroked="t" coordsize="1246399,1342151" o:gfxdata="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" path="m1232003,1198650c1249148,1044345,1264388,701445,1193903,465225c1123418,229005,1087223,70890,879578,17550c671933,-35790,330938,34695,155678,198525c-19582,362355,-2437,627150,3278,836700c8993,1046250,66143,1145310,184253,1246275c302363,1347240,409043,1343430,593828,1341525c778613,1339620,980543,1265325,1108178,1236750c1235813,1208175,1214858,1352955,1232003,1198650xe">
                <v:path o:connectlocs="1081467,1105290;1048022,428990;772103,16183;136655,183062;2876,771532;161738,1149206;521268,1237037;972771,1140423;1081467,1105290" o:connectangles="0,0,0,0,0,0,0,0,0"/>
                <v:fill on="f" focussize="0,0"/>
                <v:stroke weight="1pt" color="#00B050 [3204]" miterlimit="8" joinstyle="miter"/>
                <v:imagedata o:title=""/>
                <o:lock v:ext="edit" aspectratio="f"/>
              </v:shape>
            </w:pict>
          </mc:Fallback>
        </mc:AlternateContent>
      </w:r>
      <w:r>
        <w:rPr>
          <w:sz w:val="24"/>
        </w:rPr>
        <mc:AlternateContent>
          <mc:Choice Requires="wps">
            <w:drawing>
              <wp:anchor distT="0" distB="0" distL="114300" distR="114300" simplePos="0" relativeHeight="251673600" behindDoc="0" locked="0" layoutInCell="1" allowOverlap="1">
                <wp:simplePos x="0" y="0"/>
                <wp:positionH relativeFrom="column">
                  <wp:posOffset>2626995</wp:posOffset>
                </wp:positionH>
                <wp:positionV relativeFrom="paragraph">
                  <wp:posOffset>3873500</wp:posOffset>
                </wp:positionV>
                <wp:extent cx="1238250" cy="335280"/>
                <wp:effectExtent l="0" t="0" r="0" b="0"/>
                <wp:wrapNone/>
                <wp:docPr id="49" name="矩形 49"/>
                <wp:cNvGraphicFramePr/>
                <a:graphic xmlns:a="http://schemas.openxmlformats.org/drawingml/2006/main">
                  <a:graphicData uri="http://schemas.microsoft.com/office/word/2010/wordprocessingShape">
                    <wps:wsp>
                      <wps:cNvSpPr/>
                      <wps:spPr>
                        <a:xfrm>
                          <a:off x="0" y="0"/>
                          <a:ext cx="1238250" cy="33528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pPr>
                              <w:jc w:val="center"/>
                              <w:rPr>
                                <w:rFonts w:hint="default"/>
                                <w:color w:val="FF0000"/>
                                <w:lang w:val="en-US"/>
                              </w:rPr>
                            </w:pPr>
                            <w:r>
                              <w:rPr>
                                <w:rFonts w:hint="eastAsia" w:ascii="Times New Roman" w:hAnsi="Times New Roman" w:eastAsia="宋体" w:cs="Times New Roman"/>
                                <w:i w:val="0"/>
                                <w:iCs w:val="0"/>
                                <w:color w:val="FF0000"/>
                                <w:sz w:val="21"/>
                                <w:szCs w:val="21"/>
                                <w:u w:val="none" w:color="auto"/>
                                <w:lang w:val="en-US" w:eastAsia="zh-CN"/>
                              </w:rPr>
                              <w:t>陈家新屋居民点</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6.85pt;margin-top:305pt;height:26.4pt;width:97.5pt;z-index:251673600;v-text-anchor:middle;mso-width-relative:page;mso-height-relative:page;" filled="f" stroked="f" coordsize="21600,21600" o:gfxdata="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Cb8rir2AAAAAsBAAAPAAAAAAAAAAEAIAAAACIAAABkcnMvZG93bnJldi54bWxQSwECFAAUAAAA&#10;CACHTuJAWkIP8mACAACvBAAADgAAAAAAAAABACAAAAAnAQAAZHJzL2Uyb0RvYy54bWxQSwUGAAAA&#10;AAYABgBZAQAA+QUAAAAA&#10;">
                <v:fill on="f" focussize="0,0"/>
                <v:stroke on="f" weight="1pt" miterlimit="8" joinstyle="miter"/>
                <v:imagedata o:title=""/>
                <o:lock v:ext="edit" aspectratio="f"/>
                <v:textbox>
                  <w:txbxContent>
                    <w:p>
                      <w:pPr>
                        <w:jc w:val="center"/>
                        <w:rPr>
                          <w:rFonts w:hint="default"/>
                          <w:color w:val="FF0000"/>
                          <w:lang w:val="en-US"/>
                        </w:rPr>
                      </w:pPr>
                      <w:r>
                        <w:rPr>
                          <w:rFonts w:hint="eastAsia" w:ascii="Times New Roman" w:hAnsi="Times New Roman" w:eastAsia="宋体" w:cs="Times New Roman"/>
                          <w:i w:val="0"/>
                          <w:iCs w:val="0"/>
                          <w:color w:val="FF0000"/>
                          <w:sz w:val="21"/>
                          <w:szCs w:val="21"/>
                          <w:u w:val="none" w:color="auto"/>
                          <w:lang w:val="en-US" w:eastAsia="zh-CN"/>
                        </w:rPr>
                        <w:t>陈家新屋居民点</w:t>
                      </w:r>
                    </w:p>
                  </w:txbxContent>
                </v:textbox>
              </v:rect>
            </w:pict>
          </mc:Fallback>
        </mc:AlternateContent>
      </w:r>
      <w:r>
        <w:rPr>
          <w:sz w:val="24"/>
        </w:rPr>
        <mc:AlternateContent>
          <mc:Choice Requires="wps">
            <w:drawing>
              <wp:anchor distT="0" distB="0" distL="114300" distR="114300" simplePos="0" relativeHeight="251672576" behindDoc="0" locked="0" layoutInCell="1" allowOverlap="1">
                <wp:simplePos x="0" y="0"/>
                <wp:positionH relativeFrom="column">
                  <wp:posOffset>1845945</wp:posOffset>
                </wp:positionH>
                <wp:positionV relativeFrom="paragraph">
                  <wp:posOffset>3293110</wp:posOffset>
                </wp:positionV>
                <wp:extent cx="2905125" cy="1685925"/>
                <wp:effectExtent l="6350" t="6350" r="22225" b="22225"/>
                <wp:wrapNone/>
                <wp:docPr id="48" name="任意多边形 48"/>
                <wp:cNvGraphicFramePr/>
                <a:graphic xmlns:a="http://schemas.openxmlformats.org/drawingml/2006/main">
                  <a:graphicData uri="http://schemas.microsoft.com/office/word/2010/wordprocessingShape">
                    <wps:wsp>
                      <wps:cNvSpPr/>
                      <wps:spPr>
                        <a:xfrm>
                          <a:off x="2988945" y="4815840"/>
                          <a:ext cx="2905125" cy="1685925"/>
                        </a:xfrm>
                        <a:custGeom>
                          <a:avLst/>
                          <a:gdLst>
                            <a:gd name="connisteX0" fmla="*/ 1400175 w 2905125"/>
                            <a:gd name="connsiteY0" fmla="*/ 142875 h 1685925"/>
                            <a:gd name="connisteX1" fmla="*/ 1304925 w 2905125"/>
                            <a:gd name="connsiteY1" fmla="*/ 0 h 1685925"/>
                            <a:gd name="connisteX2" fmla="*/ 685800 w 2905125"/>
                            <a:gd name="connsiteY2" fmla="*/ 28575 h 1685925"/>
                            <a:gd name="connisteX3" fmla="*/ 0 w 2905125"/>
                            <a:gd name="connsiteY3" fmla="*/ 819150 h 1685925"/>
                            <a:gd name="connisteX4" fmla="*/ 0 w 2905125"/>
                            <a:gd name="connsiteY4" fmla="*/ 1428750 h 1685925"/>
                            <a:gd name="connisteX5" fmla="*/ 1676400 w 2905125"/>
                            <a:gd name="connsiteY5" fmla="*/ 1685925 h 1685925"/>
                            <a:gd name="connisteX6" fmla="*/ 2190750 w 2905125"/>
                            <a:gd name="connsiteY6" fmla="*/ 1638300 h 1685925"/>
                            <a:gd name="connisteX7" fmla="*/ 2676525 w 2905125"/>
                            <a:gd name="connsiteY7" fmla="*/ 1152525 h 1685925"/>
                            <a:gd name="connisteX8" fmla="*/ 2905125 w 2905125"/>
                            <a:gd name="connsiteY8" fmla="*/ 952500 h 1685925"/>
                            <a:gd name="connisteX9" fmla="*/ 2009775 w 2905125"/>
                            <a:gd name="connsiteY9" fmla="*/ 485775 h 1685925"/>
                            <a:gd name="connisteX10" fmla="*/ 1400175 w 2905125"/>
                            <a:gd name="connsiteY10" fmla="*/ 142875 h 168592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Lst>
                          <a:rect l="l" t="t" r="r" b="b"/>
                          <a:pathLst>
                            <a:path w="2905125" h="1685925">
                              <a:moveTo>
                                <a:pt x="1400175" y="142875"/>
                              </a:moveTo>
                              <a:lnTo>
                                <a:pt x="1304925" y="0"/>
                              </a:lnTo>
                              <a:lnTo>
                                <a:pt x="685800" y="28575"/>
                              </a:lnTo>
                              <a:lnTo>
                                <a:pt x="0" y="819150"/>
                              </a:lnTo>
                              <a:lnTo>
                                <a:pt x="0" y="1428750"/>
                              </a:lnTo>
                              <a:lnTo>
                                <a:pt x="1676400" y="1685925"/>
                              </a:lnTo>
                              <a:lnTo>
                                <a:pt x="2190750" y="1638300"/>
                              </a:lnTo>
                              <a:lnTo>
                                <a:pt x="2676525" y="1152525"/>
                              </a:lnTo>
                              <a:lnTo>
                                <a:pt x="2905125" y="952500"/>
                              </a:lnTo>
                              <a:lnTo>
                                <a:pt x="2009775" y="485775"/>
                              </a:lnTo>
                              <a:lnTo>
                                <a:pt x="1400175" y="142875"/>
                              </a:lnTo>
                              <a:close/>
                            </a:path>
                          </a:pathLst>
                        </a:cu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145.35pt;margin-top:259.3pt;height:132.75pt;width:228.75pt;z-index:251672576;mso-width-relative:page;mso-height-relative:page;" filled="f" stroked="t" coordsize="2905125,1685925" o:gfxdata="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" path="m1400175,142875l1304925,0,685800,28575,0,819150,0,1428750,1676400,1685925,2190750,1638300,2676525,1152525,2905125,952500,2009775,485775,1400175,142875xe">
                <v:path o:connectlocs="1400175,142875;1304925,0;685800,28575;0,819150;0,1428750;1676400,1685925;2190750,1638300;2676525,1152525;2905125,952500;2009775,485775;1400175,142875" o:connectangles="0,0,0,0,0,0,0,0,0,0,0"/>
                <v:fill on="f" focussize="0,0"/>
                <v:stroke weight="1pt" color="#00B050 [3204]" miterlimit="8" joinstyle="miter"/>
                <v:imagedata o:title=""/>
                <o:lock v:ext="edit" aspectratio="f"/>
              </v:shape>
            </w:pict>
          </mc:Fallback>
        </mc:AlternateContent>
      </w:r>
      <w:r>
        <w:rPr>
          <w:sz w:val="24"/>
        </w:rPr>
        <mc:AlternateContent>
          <mc:Choice Requires="wps">
            <w:drawing>
              <wp:anchor distT="0" distB="0" distL="114300" distR="114300" simplePos="0" relativeHeight="251671552" behindDoc="0" locked="0" layoutInCell="1" allowOverlap="1">
                <wp:simplePos x="0" y="0"/>
                <wp:positionH relativeFrom="column">
                  <wp:posOffset>4179570</wp:posOffset>
                </wp:positionH>
                <wp:positionV relativeFrom="paragraph">
                  <wp:posOffset>3292475</wp:posOffset>
                </wp:positionV>
                <wp:extent cx="1238250" cy="335280"/>
                <wp:effectExtent l="0" t="0" r="0" b="0"/>
                <wp:wrapNone/>
                <wp:docPr id="47" name="矩形 47"/>
                <wp:cNvGraphicFramePr/>
                <a:graphic xmlns:a="http://schemas.openxmlformats.org/drawingml/2006/main">
                  <a:graphicData uri="http://schemas.microsoft.com/office/word/2010/wordprocessingShape">
                    <wps:wsp>
                      <wps:cNvSpPr/>
                      <wps:spPr>
                        <a:xfrm>
                          <a:off x="0" y="0"/>
                          <a:ext cx="1238250" cy="33528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pPr>
                              <w:jc w:val="center"/>
                              <w:rPr>
                                <w:color w:val="FF0000"/>
                              </w:rPr>
                            </w:pPr>
                            <w:r>
                              <w:rPr>
                                <w:rFonts w:hint="eastAsia" w:ascii="Times New Roman" w:hAnsi="Times New Roman" w:eastAsia="宋体" w:cs="Times New Roman"/>
                                <w:i w:val="0"/>
                                <w:iCs w:val="0"/>
                                <w:color w:val="FF0000"/>
                                <w:sz w:val="21"/>
                                <w:szCs w:val="21"/>
                                <w:u w:val="none" w:color="auto"/>
                                <w:lang w:val="en-US" w:eastAsia="zh-CN"/>
                              </w:rPr>
                              <w:t>惠民小区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29.1pt;margin-top:259.25pt;height:26.4pt;width:97.5pt;z-index:251671552;v-text-anchor:middle;mso-width-relative:page;mso-height-relative:page;" filled="f" stroked="f" coordsize="21600,21600" o:gfxdata="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BwrznF2AAAAAsBAAAPAAAAAAAAAAEAIAAAACIAAABkcnMvZG93bnJldi54bWxQSwECFAAUAAAA&#10;CACHTuJARhWGFGACAACvBAAADgAAAAAAAAABACAAAAAnAQAAZHJzL2Uyb0RvYy54bWxQSwUGAAAA&#10;AAYABgBZAQAA+QUAAAAA&#10;">
                <v:fill on="f" focussize="0,0"/>
                <v:stroke on="f" weight="1pt" miterlimit="8" joinstyle="miter"/>
                <v:imagedata o:title=""/>
                <o:lock v:ext="edit" aspectratio="f"/>
                <v:textbox>
                  <w:txbxContent>
                    <w:p>
                      <w:pPr>
                        <w:jc w:val="center"/>
                        <w:rPr>
                          <w:color w:val="FF0000"/>
                        </w:rPr>
                      </w:pPr>
                      <w:r>
                        <w:rPr>
                          <w:rFonts w:hint="eastAsia" w:ascii="Times New Roman" w:hAnsi="Times New Roman" w:eastAsia="宋体" w:cs="Times New Roman"/>
                          <w:i w:val="0"/>
                          <w:iCs w:val="0"/>
                          <w:color w:val="FF0000"/>
                          <w:sz w:val="21"/>
                          <w:szCs w:val="21"/>
                          <w:u w:val="none" w:color="auto"/>
                          <w:lang w:val="en-US" w:eastAsia="zh-CN"/>
                        </w:rPr>
                        <w:t>惠民小区</w:t>
                      </w:r>
                    </w:p>
                  </w:txbxContent>
                </v:textbox>
              </v:rect>
            </w:pict>
          </mc:Fallback>
        </mc:AlternateContent>
      </w:r>
      <w:r>
        <w:rPr>
          <w:sz w:val="24"/>
        </w:rPr>
        <mc:AlternateContent>
          <mc:Choice Requires="wps">
            <w:drawing>
              <wp:anchor distT="0" distB="0" distL="114300" distR="114300" simplePos="0" relativeHeight="251670528" behindDoc="0" locked="0" layoutInCell="1" allowOverlap="1">
                <wp:simplePos x="0" y="0"/>
                <wp:positionH relativeFrom="column">
                  <wp:posOffset>4027170</wp:posOffset>
                </wp:positionH>
                <wp:positionV relativeFrom="paragraph">
                  <wp:posOffset>2988310</wp:posOffset>
                </wp:positionV>
                <wp:extent cx="1581150" cy="1123950"/>
                <wp:effectExtent l="7620" t="6350" r="11430" b="12700"/>
                <wp:wrapNone/>
                <wp:docPr id="41" name="任意多边形 41"/>
                <wp:cNvGraphicFramePr/>
                <a:graphic xmlns:a="http://schemas.openxmlformats.org/drawingml/2006/main">
                  <a:graphicData uri="http://schemas.microsoft.com/office/word/2010/wordprocessingShape">
                    <wps:wsp>
                      <wps:cNvSpPr/>
                      <wps:spPr>
                        <a:xfrm>
                          <a:off x="5170170" y="4511040"/>
                          <a:ext cx="1581150" cy="1123950"/>
                        </a:xfrm>
                        <a:custGeom>
                          <a:avLst/>
                          <a:gdLst>
                            <a:gd name="connisteX0" fmla="*/ 1476375 w 1581150"/>
                            <a:gd name="connsiteY0" fmla="*/ 57150 h 1123950"/>
                            <a:gd name="connisteX1" fmla="*/ 1581150 w 1581150"/>
                            <a:gd name="connsiteY1" fmla="*/ 1076325 h 1123950"/>
                            <a:gd name="connisteX2" fmla="*/ 847725 w 1581150"/>
                            <a:gd name="connsiteY2" fmla="*/ 1123950 h 1123950"/>
                            <a:gd name="connisteX3" fmla="*/ 152400 w 1581150"/>
                            <a:gd name="connsiteY3" fmla="*/ 1000125 h 1123950"/>
                            <a:gd name="connisteX4" fmla="*/ 0 w 1581150"/>
                            <a:gd name="connsiteY4" fmla="*/ 571500 h 1123950"/>
                            <a:gd name="connisteX5" fmla="*/ 561975 w 1581150"/>
                            <a:gd name="connsiteY5" fmla="*/ 180975 h 1123950"/>
                            <a:gd name="connisteX6" fmla="*/ 942975 w 1581150"/>
                            <a:gd name="connsiteY6" fmla="*/ 0 h 1123950"/>
                            <a:gd name="connisteX7" fmla="*/ 1476375 w 1581150"/>
                            <a:gd name="connsiteY7" fmla="*/ 57150 h 112395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Lst>
                          <a:rect l="l" t="t" r="r" b="b"/>
                          <a:pathLst>
                            <a:path w="1581150" h="1123950">
                              <a:moveTo>
                                <a:pt x="1476375" y="57150"/>
                              </a:moveTo>
                              <a:lnTo>
                                <a:pt x="1581150" y="1076325"/>
                              </a:lnTo>
                              <a:lnTo>
                                <a:pt x="847725" y="1123950"/>
                              </a:lnTo>
                              <a:lnTo>
                                <a:pt x="152400" y="1000125"/>
                              </a:lnTo>
                              <a:lnTo>
                                <a:pt x="0" y="571500"/>
                              </a:lnTo>
                              <a:lnTo>
                                <a:pt x="561975" y="180975"/>
                              </a:lnTo>
                              <a:lnTo>
                                <a:pt x="942975" y="0"/>
                              </a:lnTo>
                              <a:lnTo>
                                <a:pt x="1476375" y="57150"/>
                              </a:lnTo>
                              <a:close/>
                            </a:path>
                          </a:pathLst>
                        </a:cu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317.1pt;margin-top:235.3pt;height:88.5pt;width:124.5pt;z-index:251670528;mso-width-relative:page;mso-height-relative:page;" filled="f" stroked="t" coordsize="1581150,1123950" o:gfxdata="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" path="m1476375,57150l1581150,1076325,847725,1123950,152400,1000125,0,571500,561975,180975,942975,0,1476375,57150xe">
                <v:path o:connectlocs="1476375,57150;1581150,1076325;847725,1123950;152400,1000125;0,571500;561975,180975;942975,0;1476375,57150" o:connectangles="0,0,0,0,0,0,0,0"/>
                <v:fill on="f" focussize="0,0"/>
                <v:stroke weight="1pt" color="#00B050 [3204]" miterlimit="8" joinstyle="miter"/>
                <v:imagedata o:title=""/>
                <o:lock v:ext="edit" aspectratio="f"/>
              </v:shape>
            </w:pict>
          </mc:Fallback>
        </mc:AlternateContent>
      </w:r>
      <w:r>
        <w:rPr>
          <w:sz w:val="24"/>
        </w:rPr>
        <mc:AlternateContent>
          <mc:Choice Requires="wps">
            <w:drawing>
              <wp:anchor distT="0" distB="0" distL="114300" distR="114300" simplePos="0" relativeHeight="251669504" behindDoc="0" locked="0" layoutInCell="1" allowOverlap="1">
                <wp:simplePos x="0" y="0"/>
                <wp:positionH relativeFrom="column">
                  <wp:posOffset>2912745</wp:posOffset>
                </wp:positionH>
                <wp:positionV relativeFrom="paragraph">
                  <wp:posOffset>1530350</wp:posOffset>
                </wp:positionV>
                <wp:extent cx="1238250" cy="335280"/>
                <wp:effectExtent l="0" t="0" r="0" b="0"/>
                <wp:wrapNone/>
                <wp:docPr id="34" name="矩形 34"/>
                <wp:cNvGraphicFramePr/>
                <a:graphic xmlns:a="http://schemas.openxmlformats.org/drawingml/2006/main">
                  <a:graphicData uri="http://schemas.microsoft.com/office/word/2010/wordprocessingShape">
                    <wps:wsp>
                      <wps:cNvSpPr/>
                      <wps:spPr>
                        <a:xfrm>
                          <a:off x="0" y="0"/>
                          <a:ext cx="1238250" cy="33528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pPr>
                              <w:jc w:val="center"/>
                              <w:rPr>
                                <w:color w:val="FF0000"/>
                              </w:rPr>
                            </w:pPr>
                            <w:r>
                              <w:rPr>
                                <w:rFonts w:hint="eastAsia" w:ascii="Times New Roman" w:hAnsi="Times New Roman" w:eastAsia="宋体" w:cs="Times New Roman"/>
                                <w:i w:val="0"/>
                                <w:iCs w:val="0"/>
                                <w:color w:val="FF0000"/>
                                <w:sz w:val="21"/>
                                <w:szCs w:val="21"/>
                                <w:u w:val="none" w:color="auto"/>
                                <w:lang w:val="en-US" w:eastAsia="zh-CN"/>
                              </w:rPr>
                              <w:t>幸福家园</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9.35pt;margin-top:120.5pt;height:26.4pt;width:97.5pt;z-index:251669504;v-text-anchor:middle;mso-width-relative:page;mso-height-relative:page;" filled="f" stroked="f" coordsize="21600,21600" o:gfxdata="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BFw71rYAAAACwEAAA8AAAAAAAAAAQAgAAAAIgAAAGRycy9kb3ducmV2LnhtbFBLAQIUABQAAAAI&#10;AIdO4kBMtgEvXwIAAK8EAAAOAAAAAAAAAAEAIAAAACcBAABkcnMvZTJvRG9jLnhtbFBLBQYAAAAA&#10;BgAGAFkBAAD4BQAAAAA=&#10;">
                <v:fill on="f" focussize="0,0"/>
                <v:stroke on="f" weight="1pt" miterlimit="8" joinstyle="miter"/>
                <v:imagedata o:title=""/>
                <o:lock v:ext="edit" aspectratio="f"/>
                <v:textbox>
                  <w:txbxContent>
                    <w:p>
                      <w:pPr>
                        <w:jc w:val="center"/>
                        <w:rPr>
                          <w:color w:val="FF0000"/>
                        </w:rPr>
                      </w:pPr>
                      <w:r>
                        <w:rPr>
                          <w:rFonts w:hint="eastAsia" w:ascii="Times New Roman" w:hAnsi="Times New Roman" w:eastAsia="宋体" w:cs="Times New Roman"/>
                          <w:i w:val="0"/>
                          <w:iCs w:val="0"/>
                          <w:color w:val="FF0000"/>
                          <w:sz w:val="21"/>
                          <w:szCs w:val="21"/>
                          <w:u w:val="none" w:color="auto"/>
                          <w:lang w:val="en-US" w:eastAsia="zh-CN"/>
                        </w:rPr>
                        <w:t>幸福家园</w:t>
                      </w:r>
                    </w:p>
                  </w:txbxContent>
                </v:textbox>
              </v:rect>
            </w:pict>
          </mc:Fallback>
        </mc:AlternateContent>
      </w:r>
      <w:r>
        <w:rPr>
          <w:sz w:val="24"/>
        </w:rPr>
        <mc:AlternateContent>
          <mc:Choice Requires="wps">
            <w:drawing>
              <wp:anchor distT="0" distB="0" distL="114300" distR="114300" simplePos="0" relativeHeight="251668480" behindDoc="0" locked="0" layoutInCell="1" allowOverlap="1">
                <wp:simplePos x="0" y="0"/>
                <wp:positionH relativeFrom="column">
                  <wp:posOffset>1388745</wp:posOffset>
                </wp:positionH>
                <wp:positionV relativeFrom="paragraph">
                  <wp:posOffset>788035</wp:posOffset>
                </wp:positionV>
                <wp:extent cx="4610100" cy="2019300"/>
                <wp:effectExtent l="6985" t="8255" r="12065" b="10795"/>
                <wp:wrapNone/>
                <wp:docPr id="33" name="任意多边形 33"/>
                <wp:cNvGraphicFramePr/>
                <a:graphic xmlns:a="http://schemas.openxmlformats.org/drawingml/2006/main">
                  <a:graphicData uri="http://schemas.microsoft.com/office/word/2010/wordprocessingShape">
                    <wps:wsp>
                      <wps:cNvSpPr/>
                      <wps:spPr>
                        <a:xfrm>
                          <a:off x="2531745" y="2310765"/>
                          <a:ext cx="4610100" cy="2019300"/>
                        </a:xfrm>
                        <a:custGeom>
                          <a:avLst/>
                          <a:gdLst>
                            <a:gd name="connisteX0" fmla="*/ 1876425 w 4610100"/>
                            <a:gd name="connsiteY0" fmla="*/ 628650 h 2133600"/>
                            <a:gd name="connisteX1" fmla="*/ 390525 w 4610100"/>
                            <a:gd name="connsiteY1" fmla="*/ 0 h 2133600"/>
                            <a:gd name="connisteX2" fmla="*/ 0 w 4610100"/>
                            <a:gd name="connsiteY2" fmla="*/ 714375 h 2133600"/>
                            <a:gd name="connisteX3" fmla="*/ 295275 w 4610100"/>
                            <a:gd name="connsiteY3" fmla="*/ 1295400 h 2133600"/>
                            <a:gd name="connisteX4" fmla="*/ 800100 w 4610100"/>
                            <a:gd name="connsiteY4" fmla="*/ 1352550 h 2133600"/>
                            <a:gd name="connisteX5" fmla="*/ 1485900 w 4610100"/>
                            <a:gd name="connsiteY5" fmla="*/ 1352550 h 2133600"/>
                            <a:gd name="connisteX6" fmla="*/ 2057400 w 4610100"/>
                            <a:gd name="connsiteY6" fmla="*/ 1162050 h 2133600"/>
                            <a:gd name="connisteX7" fmla="*/ 2162175 w 4610100"/>
                            <a:gd name="connsiteY7" fmla="*/ 1819275 h 2133600"/>
                            <a:gd name="connisteX8" fmla="*/ 2638425 w 4610100"/>
                            <a:gd name="connsiteY8" fmla="*/ 1924050 h 2133600"/>
                            <a:gd name="connisteX9" fmla="*/ 3676650 w 4610100"/>
                            <a:gd name="connsiteY9" fmla="*/ 2057400 h 2133600"/>
                            <a:gd name="connisteX10" fmla="*/ 4286250 w 4610100"/>
                            <a:gd name="connsiteY10" fmla="*/ 2133600 h 2133600"/>
                            <a:gd name="connisteX11" fmla="*/ 4610100 w 4610100"/>
                            <a:gd name="connsiteY11" fmla="*/ 1885950 h 2133600"/>
                            <a:gd name="connisteX12" fmla="*/ 4591050 w 4610100"/>
                            <a:gd name="connsiteY12" fmla="*/ 1524000 h 2133600"/>
                            <a:gd name="connisteX13" fmla="*/ 4219575 w 4610100"/>
                            <a:gd name="connsiteY13" fmla="*/ 1524000 h 2133600"/>
                            <a:gd name="connisteX14" fmla="*/ 3600450 w 4610100"/>
                            <a:gd name="connsiteY14" fmla="*/ 1390650 h 2133600"/>
                            <a:gd name="connisteX15" fmla="*/ 3190875 w 4610100"/>
                            <a:gd name="connsiteY15" fmla="*/ 1057275 h 2133600"/>
                            <a:gd name="connisteX16" fmla="*/ 2962275 w 4610100"/>
                            <a:gd name="connsiteY16" fmla="*/ 990600 h 2133600"/>
                            <a:gd name="connisteX17" fmla="*/ 2705100 w 4610100"/>
                            <a:gd name="connsiteY17" fmla="*/ 742950 h 2133600"/>
                            <a:gd name="connisteX18" fmla="*/ 2362200 w 4610100"/>
                            <a:gd name="connsiteY18" fmla="*/ 590550 h 2133600"/>
                            <a:gd name="connisteX19" fmla="*/ 1905000 w 4610100"/>
                            <a:gd name="connsiteY19" fmla="*/ 523875 h 2133600"/>
                            <a:gd name="connisteX20" fmla="*/ 1876425 w 4610100"/>
                            <a:gd name="connsiteY20" fmla="*/ 628650 h 21336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Lst>
                          <a:rect l="l" t="t" r="r" b="b"/>
                          <a:pathLst>
                            <a:path w="4610100" h="2133600">
                              <a:moveTo>
                                <a:pt x="1876425" y="628650"/>
                              </a:moveTo>
                              <a:lnTo>
                                <a:pt x="390525" y="0"/>
                              </a:lnTo>
                              <a:lnTo>
                                <a:pt x="0" y="714375"/>
                              </a:lnTo>
                              <a:lnTo>
                                <a:pt x="295275" y="1295400"/>
                              </a:lnTo>
                              <a:lnTo>
                                <a:pt x="800100" y="1352550"/>
                              </a:lnTo>
                              <a:lnTo>
                                <a:pt x="1485900" y="1352550"/>
                              </a:lnTo>
                              <a:lnTo>
                                <a:pt x="2057400" y="1162050"/>
                              </a:lnTo>
                              <a:lnTo>
                                <a:pt x="2162175" y="1819275"/>
                              </a:lnTo>
                              <a:lnTo>
                                <a:pt x="2638425" y="1924050"/>
                              </a:lnTo>
                              <a:lnTo>
                                <a:pt x="3676650" y="2057400"/>
                              </a:lnTo>
                              <a:lnTo>
                                <a:pt x="4286250" y="2133600"/>
                              </a:lnTo>
                              <a:lnTo>
                                <a:pt x="4610100" y="1885950"/>
                              </a:lnTo>
                              <a:lnTo>
                                <a:pt x="4591050" y="1524000"/>
                              </a:lnTo>
                              <a:lnTo>
                                <a:pt x="4219575" y="1524000"/>
                              </a:lnTo>
                              <a:lnTo>
                                <a:pt x="3600450" y="1390650"/>
                              </a:lnTo>
                              <a:lnTo>
                                <a:pt x="3190875" y="1057275"/>
                              </a:lnTo>
                              <a:lnTo>
                                <a:pt x="2962275" y="990600"/>
                              </a:lnTo>
                              <a:lnTo>
                                <a:pt x="2705100" y="742950"/>
                              </a:lnTo>
                              <a:lnTo>
                                <a:pt x="2362200" y="590550"/>
                              </a:lnTo>
                              <a:lnTo>
                                <a:pt x="1905000" y="523875"/>
                              </a:lnTo>
                              <a:lnTo>
                                <a:pt x="1876425" y="628650"/>
                              </a:lnTo>
                              <a:close/>
                            </a:path>
                          </a:pathLst>
                        </a:cu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109.35pt;margin-top:62.05pt;height:159pt;width:363pt;z-index:251668480;mso-width-relative:page;mso-height-relative:page;" filled="f" stroked="t" coordsize="4610100,2133600" o:gfxdata="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" path="m1876425,628650l390525,0,0,714375,295275,1295400,800100,1352550,1485900,1352550,2057400,1162050,2162175,1819275,2638425,1924050,3676650,2057400,4286250,2133600,4610100,1885950,4591050,1524000,4219575,1524000,3600450,1390650,3190875,1057275,2962275,990600,2705100,742950,2362200,590550,1905000,523875,1876425,628650xe">
                <v:path o:connectlocs="1876425,594972;390525,0;0,676104;295275,1226003;800100,1280091;1485900,1280091;2057400,1099797;2162175,1721813;2638425,1820975;3676650,1947182;4286250,2019300;4610100,1784916;4591050,1442357;4219575,1442357;3600450,1316150;3190875,1000635;2962275,937532;2705100,703149;2362200,558913;1905000,495810;1876425,594972" o:connectangles="0,0,0,0,0,0,0,0,0,0,0,0,0,0,0,0,0,0,0,0,0"/>
                <v:fill on="f" focussize="0,0"/>
                <v:stroke weight="1pt" color="#00B050 [3204]" miterlimit="8" joinstyle="miter"/>
                <v:imagedata o:title=""/>
                <o:lock v:ext="edit" aspectratio="f"/>
              </v:shape>
            </w:pict>
          </mc:Fallback>
        </mc:AlternateContent>
      </w:r>
      <w:r>
        <w:rPr>
          <w:sz w:val="24"/>
        </w:rPr>
        <mc:AlternateContent>
          <mc:Choice Requires="wps">
            <w:drawing>
              <wp:anchor distT="0" distB="0" distL="114300" distR="114300" simplePos="0" relativeHeight="251667456" behindDoc="0" locked="0" layoutInCell="1" allowOverlap="1">
                <wp:simplePos x="0" y="0"/>
                <wp:positionH relativeFrom="column">
                  <wp:posOffset>3731895</wp:posOffset>
                </wp:positionH>
                <wp:positionV relativeFrom="paragraph">
                  <wp:posOffset>854075</wp:posOffset>
                </wp:positionV>
                <wp:extent cx="1238250" cy="335280"/>
                <wp:effectExtent l="0" t="0" r="0" b="0"/>
                <wp:wrapNone/>
                <wp:docPr id="32" name="矩形 32"/>
                <wp:cNvGraphicFramePr/>
                <a:graphic xmlns:a="http://schemas.openxmlformats.org/drawingml/2006/main">
                  <a:graphicData uri="http://schemas.microsoft.com/office/word/2010/wordprocessingShape">
                    <wps:wsp>
                      <wps:cNvSpPr/>
                      <wps:spPr>
                        <a:xfrm>
                          <a:off x="4874895" y="2178050"/>
                          <a:ext cx="1238250" cy="33528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pPr>
                              <w:jc w:val="center"/>
                              <w:rPr>
                                <w:color w:val="FF0000"/>
                              </w:rPr>
                            </w:pPr>
                            <w:r>
                              <w:rPr>
                                <w:rFonts w:hint="eastAsia" w:ascii="Times New Roman" w:hAnsi="Times New Roman" w:eastAsia="宋体" w:cs="Times New Roman"/>
                                <w:i w:val="0"/>
                                <w:iCs w:val="0"/>
                                <w:color w:val="FF0000"/>
                                <w:sz w:val="21"/>
                                <w:szCs w:val="21"/>
                                <w:u w:val="none" w:color="auto"/>
                                <w:lang w:val="en-US" w:eastAsia="zh-CN"/>
                              </w:rPr>
                              <w:t>祁东成章学校</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93.85pt;margin-top:67.25pt;height:26.4pt;width:97.5pt;z-index:251667456;v-text-anchor:middle;mso-width-relative:page;mso-height-relative:page;" filled="f" stroked="f" coordsize="21600,21600" o:gfxdata="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N9ov6tgAAAALAQAADwAAAAAAAAABACAAAAAiAAAAZHJzL2Rvd25yZXYu&#10;eG1sUEsBAhQAFAAAAAgAh07iQPHwN/ptAgAAuwQAAA4AAAAAAAAAAQAgAAAAJwEAAGRycy9lMm9E&#10;b2MueG1sUEsFBgAAAAAGAAYAWQEAAAYGAAAAAA==&#10;">
                <v:fill on="f" focussize="0,0"/>
                <v:stroke on="f" weight="1pt" miterlimit="8" joinstyle="miter"/>
                <v:imagedata o:title=""/>
                <o:lock v:ext="edit" aspectratio="f"/>
                <v:textbox>
                  <w:txbxContent>
                    <w:p>
                      <w:pPr>
                        <w:jc w:val="center"/>
                        <w:rPr>
                          <w:color w:val="FF0000"/>
                        </w:rPr>
                      </w:pPr>
                      <w:r>
                        <w:rPr>
                          <w:rFonts w:hint="eastAsia" w:ascii="Times New Roman" w:hAnsi="Times New Roman" w:eastAsia="宋体" w:cs="Times New Roman"/>
                          <w:i w:val="0"/>
                          <w:iCs w:val="0"/>
                          <w:color w:val="FF0000"/>
                          <w:sz w:val="21"/>
                          <w:szCs w:val="21"/>
                          <w:u w:val="none" w:color="auto"/>
                          <w:lang w:val="en-US" w:eastAsia="zh-CN"/>
                        </w:rPr>
                        <w:t>祁东成章学校</w:t>
                      </w:r>
                    </w:p>
                  </w:txbxContent>
                </v:textbox>
              </v:rect>
            </w:pict>
          </mc:Fallback>
        </mc:AlternateContent>
      </w:r>
      <w:r>
        <w:rPr>
          <w:sz w:val="24"/>
        </w:rPr>
        <mc:AlternateContent>
          <mc:Choice Requires="wps">
            <w:drawing>
              <wp:anchor distT="0" distB="0" distL="114300" distR="114300" simplePos="0" relativeHeight="251666432" behindDoc="0" locked="0" layoutInCell="1" allowOverlap="1">
                <wp:simplePos x="0" y="0"/>
                <wp:positionH relativeFrom="column">
                  <wp:posOffset>3122295</wp:posOffset>
                </wp:positionH>
                <wp:positionV relativeFrom="paragraph">
                  <wp:posOffset>207010</wp:posOffset>
                </wp:positionV>
                <wp:extent cx="2505075" cy="2038350"/>
                <wp:effectExtent l="6350" t="6985" r="22225" b="12065"/>
                <wp:wrapNone/>
                <wp:docPr id="31" name="任意多边形 31"/>
                <wp:cNvGraphicFramePr/>
                <a:graphic xmlns:a="http://schemas.openxmlformats.org/drawingml/2006/main">
                  <a:graphicData uri="http://schemas.microsoft.com/office/word/2010/wordprocessingShape">
                    <wps:wsp>
                      <wps:cNvSpPr/>
                      <wps:spPr>
                        <a:xfrm>
                          <a:off x="4265295" y="1729740"/>
                          <a:ext cx="2505075" cy="2038350"/>
                        </a:xfrm>
                        <a:custGeom>
                          <a:avLst/>
                          <a:gdLst>
                            <a:gd name="connisteX0" fmla="*/ 2343150 w 2505075"/>
                            <a:gd name="connsiteY0" fmla="*/ 2038350 h 2038350"/>
                            <a:gd name="connisteX1" fmla="*/ 1981200 w 2505075"/>
                            <a:gd name="connsiteY1" fmla="*/ 1971675 h 2038350"/>
                            <a:gd name="connisteX2" fmla="*/ 1666875 w 2505075"/>
                            <a:gd name="connsiteY2" fmla="*/ 1762125 h 2038350"/>
                            <a:gd name="connisteX3" fmla="*/ 1190625 w 2505075"/>
                            <a:gd name="connsiteY3" fmla="*/ 1466850 h 2038350"/>
                            <a:gd name="connisteX4" fmla="*/ 752475 w 2505075"/>
                            <a:gd name="connsiteY4" fmla="*/ 1171575 h 2038350"/>
                            <a:gd name="connisteX5" fmla="*/ 0 w 2505075"/>
                            <a:gd name="connsiteY5" fmla="*/ 1047750 h 2038350"/>
                            <a:gd name="connisteX6" fmla="*/ 19050 w 2505075"/>
                            <a:gd name="connsiteY6" fmla="*/ 400050 h 2038350"/>
                            <a:gd name="connisteX7" fmla="*/ 200025 w 2505075"/>
                            <a:gd name="connsiteY7" fmla="*/ 0 h 2038350"/>
                            <a:gd name="connisteX8" fmla="*/ 904875 w 2505075"/>
                            <a:gd name="connsiteY8" fmla="*/ 142875 h 2038350"/>
                            <a:gd name="connisteX9" fmla="*/ 1543050 w 2505075"/>
                            <a:gd name="connsiteY9" fmla="*/ 333375 h 2038350"/>
                            <a:gd name="connisteX10" fmla="*/ 2152650 w 2505075"/>
                            <a:gd name="connsiteY10" fmla="*/ 514350 h 2038350"/>
                            <a:gd name="connisteX11" fmla="*/ 2238375 w 2505075"/>
                            <a:gd name="connsiteY11" fmla="*/ 600075 h 2038350"/>
                            <a:gd name="connisteX12" fmla="*/ 2343150 w 2505075"/>
                            <a:gd name="connsiteY12" fmla="*/ 742950 h 2038350"/>
                            <a:gd name="connisteX13" fmla="*/ 2419350 w 2505075"/>
                            <a:gd name="connsiteY13" fmla="*/ 990600 h 2038350"/>
                            <a:gd name="connisteX14" fmla="*/ 2476500 w 2505075"/>
                            <a:gd name="connsiteY14" fmla="*/ 1190625 h 2038350"/>
                            <a:gd name="connisteX15" fmla="*/ 2505075 w 2505075"/>
                            <a:gd name="connsiteY15" fmla="*/ 1590675 h 2038350"/>
                            <a:gd name="connisteX16" fmla="*/ 2390775 w 2505075"/>
                            <a:gd name="connsiteY16" fmla="*/ 1762125 h 2038350"/>
                            <a:gd name="connisteX17" fmla="*/ 2381250 w 2505075"/>
                            <a:gd name="connsiteY17" fmla="*/ 2038350 h 2038350"/>
                            <a:gd name="connisteX18" fmla="*/ 2343150 w 2505075"/>
                            <a:gd name="connsiteY18" fmla="*/ 2038350 h 203835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Lst>
                          <a:rect l="l" t="t" r="r" b="b"/>
                          <a:pathLst>
                            <a:path w="2505075" h="2038350">
                              <a:moveTo>
                                <a:pt x="2343150" y="2038350"/>
                              </a:moveTo>
                              <a:lnTo>
                                <a:pt x="1981200" y="1971675"/>
                              </a:lnTo>
                              <a:lnTo>
                                <a:pt x="1666875" y="1762125"/>
                              </a:lnTo>
                              <a:lnTo>
                                <a:pt x="1190625" y="1466850"/>
                              </a:lnTo>
                              <a:lnTo>
                                <a:pt x="752475" y="1171575"/>
                              </a:lnTo>
                              <a:lnTo>
                                <a:pt x="0" y="1047750"/>
                              </a:lnTo>
                              <a:lnTo>
                                <a:pt x="19050" y="400050"/>
                              </a:lnTo>
                              <a:lnTo>
                                <a:pt x="200025" y="0"/>
                              </a:lnTo>
                              <a:lnTo>
                                <a:pt x="904875" y="142875"/>
                              </a:lnTo>
                              <a:lnTo>
                                <a:pt x="1543050" y="333375"/>
                              </a:lnTo>
                              <a:lnTo>
                                <a:pt x="2152650" y="514350"/>
                              </a:lnTo>
                              <a:lnTo>
                                <a:pt x="2238375" y="600075"/>
                              </a:lnTo>
                              <a:lnTo>
                                <a:pt x="2343150" y="742950"/>
                              </a:lnTo>
                              <a:lnTo>
                                <a:pt x="2419350" y="990600"/>
                              </a:lnTo>
                              <a:lnTo>
                                <a:pt x="2476500" y="1190625"/>
                              </a:lnTo>
                              <a:lnTo>
                                <a:pt x="2505075" y="1590675"/>
                              </a:lnTo>
                              <a:lnTo>
                                <a:pt x="2390775" y="1762125"/>
                              </a:lnTo>
                              <a:lnTo>
                                <a:pt x="2381250" y="2038350"/>
                              </a:lnTo>
                              <a:lnTo>
                                <a:pt x="2343150" y="2038350"/>
                              </a:lnTo>
                              <a:close/>
                            </a:path>
                          </a:pathLst>
                        </a:cu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245.85pt;margin-top:16.3pt;height:160.5pt;width:197.25pt;z-index:251666432;mso-width-relative:page;mso-height-relative:page;" filled="f" stroked="t" coordsize="2505075,2038350" o:gfxdata="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" path="m2343150,2038350l1981200,1971675,1666875,1762125,1190625,1466850,752475,1171575,0,1047750,19050,400050,200025,0,904875,142875,1543050,333375,2152650,514350,2238375,600075,2343150,742950,2419350,990600,2476500,1190625,2505075,1590675,2390775,1762125,2381250,2038350,2343150,2038350xe">
                <v:path o:connectlocs="2343150,2038350;1981200,1971675;1666875,1762125;1190625,1466850;752475,1171575;0,1047750;19050,400050;200025,0;904875,142875;1543050,333375;2152650,514350;2238375,600075;2343150,742950;2419350,990600;2476500,1190625;2505075,1590675;2390775,1762125;2381250,2038350;2343150,2038350" o:connectangles="0,0,0,0,0,0,0,0,0,0,0,0,0,0,0,0,0,0,0"/>
                <v:fill on="f" focussize="0,0"/>
                <v:stroke weight="1pt" color="#00B050 [3204]" miterlimit="8" joinstyle="miter"/>
                <v:imagedata o:title=""/>
                <o:lock v:ext="edit" aspectratio="f"/>
              </v:shape>
            </w:pict>
          </mc:Fallback>
        </mc:AlternateContent>
      </w:r>
      <w:r>
        <w:rPr>
          <w:sz w:val="24"/>
        </w:rPr>
        <mc:AlternateContent>
          <mc:Choice Requires="wps">
            <w:drawing>
              <wp:anchor distT="0" distB="0" distL="114300" distR="114300" simplePos="0" relativeHeight="251664384" behindDoc="0" locked="0" layoutInCell="1" allowOverlap="1">
                <wp:simplePos x="0" y="0"/>
                <wp:positionH relativeFrom="column">
                  <wp:posOffset>2579370</wp:posOffset>
                </wp:positionH>
                <wp:positionV relativeFrom="paragraph">
                  <wp:posOffset>2745740</wp:posOffset>
                </wp:positionV>
                <wp:extent cx="1219200" cy="409575"/>
                <wp:effectExtent l="0" t="0" r="0" b="0"/>
                <wp:wrapNone/>
                <wp:docPr id="26" name="矩形 26"/>
                <wp:cNvGraphicFramePr/>
                <a:graphic xmlns:a="http://schemas.openxmlformats.org/drawingml/2006/main">
                  <a:graphicData uri="http://schemas.microsoft.com/office/word/2010/wordprocessingShape">
                    <wps:wsp>
                      <wps:cNvSpPr/>
                      <wps:spPr>
                        <a:xfrm>
                          <a:off x="4360545" y="2931795"/>
                          <a:ext cx="1219200" cy="40957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pPr>
                              <w:jc w:val="center"/>
                              <w:rPr>
                                <w:rFonts w:hint="eastAsia" w:eastAsia="宋体"/>
                                <w:color w:val="FF0000"/>
                                <w:sz w:val="21"/>
                                <w:szCs w:val="21"/>
                                <w:lang w:eastAsia="zh-CN"/>
                              </w:rPr>
                            </w:pPr>
                            <w:r>
                              <w:rPr>
                                <w:rFonts w:hint="eastAsia"/>
                                <w:color w:val="FF0000"/>
                                <w:sz w:val="21"/>
                                <w:szCs w:val="21"/>
                                <w:lang w:eastAsia="zh-CN"/>
                              </w:rPr>
                              <w:t>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3.1pt;margin-top:216.2pt;height:32.25pt;width:96pt;z-index:251664384;v-text-anchor:middle;mso-width-relative:page;mso-height-relative:page;" filled="f" stroked="f" coordsize="21600,21600" o:gfxdata="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HKztIfZAAAACwEAAA8AAAAAAAAAAQAgAAAAIgAAAGRycy9kb3ducmV2&#10;LnhtbFBLAQIUABQAAAAIAIdO4kBIUU2tbQIAALsEAAAOAAAAAAAAAAEAIAAAACgBAABkcnMvZTJv&#10;RG9jLnhtbFBLBQYAAAAABgAGAFkBAAAHBgAAAAA=&#10;">
                <v:fill on="f" focussize="0,0"/>
                <v:stroke on="f" weight="1pt" miterlimit="8" joinstyle="miter"/>
                <v:imagedata o:title=""/>
                <o:lock v:ext="edit" aspectratio="f"/>
                <v:textbox>
                  <w:txbxContent>
                    <w:p>
                      <w:pPr>
                        <w:jc w:val="center"/>
                        <w:rPr>
                          <w:rFonts w:hint="eastAsia" w:eastAsia="宋体"/>
                          <w:color w:val="FF0000"/>
                          <w:sz w:val="21"/>
                          <w:szCs w:val="21"/>
                          <w:lang w:eastAsia="zh-CN"/>
                        </w:rPr>
                      </w:pPr>
                      <w:r>
                        <w:rPr>
                          <w:rFonts w:hint="eastAsia"/>
                          <w:color w:val="FF0000"/>
                          <w:sz w:val="21"/>
                          <w:szCs w:val="21"/>
                          <w:lang w:eastAsia="zh-CN"/>
                        </w:rPr>
                        <w:t>项目所在地</w:t>
                      </w:r>
                    </w:p>
                  </w:txbxContent>
                </v:textbox>
              </v:rect>
            </w:pict>
          </mc:Fallback>
        </mc:AlternateContent>
      </w:r>
      <w:r>
        <w:rPr>
          <w:sz w:val="24"/>
        </w:rPr>
        <mc:AlternateContent>
          <mc:Choice Requires="wps">
            <w:drawing>
              <wp:anchor distT="0" distB="0" distL="114300" distR="114300" simplePos="0" relativeHeight="251662336" behindDoc="0" locked="0" layoutInCell="1" allowOverlap="1">
                <wp:simplePos x="0" y="0"/>
                <wp:positionH relativeFrom="column">
                  <wp:posOffset>3046095</wp:posOffset>
                </wp:positionH>
                <wp:positionV relativeFrom="paragraph">
                  <wp:posOffset>2926715</wp:posOffset>
                </wp:positionV>
                <wp:extent cx="76200" cy="75565"/>
                <wp:effectExtent l="19050" t="21590" r="19050" b="17145"/>
                <wp:wrapNone/>
                <wp:docPr id="25" name="五角星 25"/>
                <wp:cNvGraphicFramePr/>
                <a:graphic xmlns:a="http://schemas.openxmlformats.org/drawingml/2006/main">
                  <a:graphicData uri="http://schemas.microsoft.com/office/word/2010/wordprocessingShape">
                    <wps:wsp>
                      <wps:cNvSpPr/>
                      <wps:spPr>
                        <a:xfrm>
                          <a:off x="4922520" y="3408045"/>
                          <a:ext cx="76200" cy="75565"/>
                        </a:xfrm>
                        <a:prstGeom prst="star5">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39.85pt;margin-top:230.45pt;height:5.95pt;width:6pt;z-index:251662336;v-text-anchor:middle;mso-width-relative:page;mso-height-relative:page;" fillcolor="#FF0000" filled="t" stroked="t" coordsize="76200,75565" o:gfxdata="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AAAAAZHJzL1BLAQIUABQAAAAIAIdO4kDIE2AA2wAAAAsBAAAPAAAAAAAA&#10;AAEAIAAAACIAAABkcnMvZG93bnJldi54bWxQSwECFAAUAAAACACHTuJACWLN9YECAAADBQAADgAA&#10;AAAAAAABACAAAAAqAQAAZHJzL2Uyb0RvYy54bWxQSwUGAAAAAAYABgBZAQAAHQYAAAAA&#10;" path="m0,28863l29105,28863,38100,0,47094,28863,76199,28863,52652,46701,61647,75564,38100,57726,14552,75564,23547,46701xe">
                <v:path o:connectlocs="38100,0;0,28863;14552,75564;61647,75564;76199,28863" o:connectangles="247,164,82,82,0"/>
                <v:fill on="t" focussize="0,0"/>
                <v:stroke weight="1pt" color="#FF0000 [3204]" miterlimit="8" joinstyle="miter"/>
                <v:imagedata o:title=""/>
                <o:lock v:ext="edit" aspectratio="f"/>
              </v:shape>
            </w:pict>
          </mc:Fallback>
        </mc:AlternateContent>
      </w:r>
      <w:r>
        <w:rPr>
          <w:sz w:val="24"/>
        </w:rPr>
        <mc:AlternateContent>
          <mc:Choice Requires="wps">
            <w:drawing>
              <wp:anchor distT="0" distB="0" distL="114300" distR="114300" simplePos="0" relativeHeight="251677696" behindDoc="0" locked="0" layoutInCell="1" allowOverlap="1">
                <wp:simplePos x="0" y="0"/>
                <wp:positionH relativeFrom="column">
                  <wp:posOffset>3141345</wp:posOffset>
                </wp:positionH>
                <wp:positionV relativeFrom="paragraph">
                  <wp:posOffset>2988945</wp:posOffset>
                </wp:positionV>
                <wp:extent cx="1152525" cy="390525"/>
                <wp:effectExtent l="1270" t="4445" r="8255" b="24130"/>
                <wp:wrapNone/>
                <wp:docPr id="53" name="直接箭头连接符 53"/>
                <wp:cNvGraphicFramePr/>
                <a:graphic xmlns:a="http://schemas.openxmlformats.org/drawingml/2006/main">
                  <a:graphicData uri="http://schemas.microsoft.com/office/word/2010/wordprocessingShape">
                    <wps:wsp>
                      <wps:cNvCnPr/>
                      <wps:spPr>
                        <a:xfrm>
                          <a:off x="0" y="0"/>
                          <a:ext cx="1152525" cy="390525"/>
                        </a:xfrm>
                        <a:prstGeom prst="straightConnector1">
                          <a:avLst/>
                        </a:prstGeom>
                        <a:ln>
                          <a:solidFill>
                            <a:srgbClr val="FFFF00"/>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247.35pt;margin-top:235.35pt;height:30.75pt;width:90.75pt;z-index:251677696;mso-width-relative:page;mso-height-relative:page;" filled="f" stroked="t" coordsize="21600,21600" o:gfxdata="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ms62kNcA&#10;AAALAQAADwAAAAAAAAABACAAAAAiAAAAZHJzL2Rvd25yZXYueG1sUEsBAhQAFAAAAAgAh07iQM0T&#10;25ggAgAAEgQAAA4AAAAAAAAAAQAgAAAAJgEAAGRycy9lMm9Eb2MueG1sUEsFBgAAAAAGAAYAWQEA&#10;ALgFAAAAAA==&#10;">
                <v:fill on="f" focussize="0,0"/>
                <v:stroke weight="0.5pt" color="#FFFF00 [3204]" miterlimit="8" joinstyle="miter" endarrow="block"/>
                <v:imagedata o:title=""/>
                <o:lock v:ext="edit" aspectratio="f"/>
              </v:shape>
            </w:pict>
          </mc:Fallback>
        </mc:AlternateContent>
      </w:r>
      <w:r>
        <w:drawing>
          <wp:inline distT="0" distB="0" distL="114300" distR="114300">
            <wp:extent cx="8399780" cy="4981575"/>
            <wp:effectExtent l="0" t="0" r="1270" b="9525"/>
            <wp:docPr id="2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4"/>
                    <pic:cNvPicPr>
                      <a:picLocks noChangeAspect="1"/>
                    </pic:cNvPicPr>
                  </pic:nvPicPr>
                  <pic:blipFill>
                    <a:blip r:embed="rId43"/>
                    <a:stretch>
                      <a:fillRect/>
                    </a:stretch>
                  </pic:blipFill>
                  <pic:spPr>
                    <a:xfrm>
                      <a:off x="0" y="0"/>
                      <a:ext cx="8399780" cy="4981575"/>
                    </a:xfrm>
                    <a:prstGeom prst="rect">
                      <a:avLst/>
                    </a:prstGeom>
                    <a:noFill/>
                    <a:ln>
                      <a:noFill/>
                    </a:ln>
                  </pic:spPr>
                </pic:pic>
              </a:graphicData>
            </a:graphic>
          </wp:inline>
        </w:drawing>
      </w:r>
    </w:p>
    <w:p>
      <w:pPr>
        <w:pStyle w:val="8"/>
        <w:bidi w:val="0"/>
      </w:pPr>
      <w:bookmarkStart w:id="248" w:name="_Toc532"/>
      <w:bookmarkStart w:id="249" w:name="_Toc22918"/>
      <w:bookmarkStart w:id="250" w:name="_Toc31580"/>
      <w:bookmarkStart w:id="251" w:name="_Toc25684"/>
      <w:bookmarkStart w:id="252" w:name="_Toc27812"/>
      <w:bookmarkStart w:id="253" w:name="_Toc29492"/>
      <w:bookmarkStart w:id="254" w:name="_Toc3702"/>
      <w:bookmarkStart w:id="255" w:name="_Toc6971"/>
      <w:bookmarkStart w:id="256" w:name="_Toc2976"/>
      <w:r>
        <w:t>附图</w:t>
      </w:r>
      <w:r>
        <w:rPr>
          <w:rFonts w:hint="eastAsia"/>
          <w:lang w:val="en-US" w:eastAsia="zh-CN"/>
        </w:rPr>
        <w:t>4</w:t>
      </w:r>
      <w:r>
        <w:rPr>
          <w:rFonts w:hint="default"/>
          <w:lang w:val="en-US" w:eastAsia="zh-CN"/>
        </w:rPr>
        <w:t>建设项目</w:t>
      </w:r>
      <w:r>
        <w:rPr>
          <w:rFonts w:hint="eastAsia"/>
          <w:lang w:val="en-US" w:eastAsia="zh-CN"/>
        </w:rPr>
        <w:t>环境质量现状监测示意</w:t>
      </w:r>
      <w:r>
        <w:rPr>
          <w:rFonts w:hint="default"/>
          <w:lang w:val="en-US" w:eastAsia="zh-CN"/>
        </w:rPr>
        <w:t>图</w:t>
      </w:r>
      <w:bookmarkEnd w:id="248"/>
      <w:bookmarkEnd w:id="249"/>
      <w:bookmarkEnd w:id="250"/>
      <w:bookmarkEnd w:id="251"/>
      <w:bookmarkEnd w:id="252"/>
      <w:bookmarkEnd w:id="253"/>
      <w:bookmarkEnd w:id="254"/>
      <w:bookmarkEnd w:id="255"/>
      <w:bookmarkEnd w:id="256"/>
    </w:p>
    <w:p>
      <w:pPr>
        <w:pStyle w:val="18"/>
        <w:rPr>
          <w:rFonts w:hint="eastAsia"/>
          <w:lang w:eastAsia="zh-CN"/>
        </w:rPr>
        <w:sectPr>
          <w:pgSz w:w="16838" w:h="11906" w:orient="landscape"/>
          <w:pgMar w:top="1440" w:right="1800" w:bottom="1440" w:left="1800" w:header="851" w:footer="851" w:gutter="0"/>
          <w:pgNumType w:fmt="decimal"/>
          <w:cols w:space="720" w:num="1"/>
          <w:docGrid w:linePitch="312" w:charSpace="0"/>
        </w:sectPr>
      </w:pPr>
      <w:r>
        <w:drawing>
          <wp:inline distT="0" distB="0" distL="114300" distR="114300">
            <wp:extent cx="8531860" cy="4988560"/>
            <wp:effectExtent l="0" t="0" r="2540" b="2540"/>
            <wp:docPr id="1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4"/>
                    <pic:cNvPicPr>
                      <a:picLocks noChangeAspect="1"/>
                    </pic:cNvPicPr>
                  </pic:nvPicPr>
                  <pic:blipFill>
                    <a:blip r:embed="rId44"/>
                    <a:stretch>
                      <a:fillRect/>
                    </a:stretch>
                  </pic:blipFill>
                  <pic:spPr>
                    <a:xfrm>
                      <a:off x="0" y="0"/>
                      <a:ext cx="8531860" cy="4988560"/>
                    </a:xfrm>
                    <a:prstGeom prst="rect">
                      <a:avLst/>
                    </a:prstGeom>
                    <a:noFill/>
                    <a:ln>
                      <a:noFill/>
                    </a:ln>
                  </pic:spPr>
                </pic:pic>
              </a:graphicData>
            </a:graphic>
          </wp:inline>
        </w:drawing>
      </w:r>
    </w:p>
    <w:p>
      <w:pPr>
        <w:pStyle w:val="8"/>
        <w:bidi w:val="0"/>
        <w:rPr>
          <w:rFonts w:hint="eastAsia"/>
        </w:rPr>
      </w:pPr>
      <w:bookmarkStart w:id="257" w:name="_Toc22305"/>
      <w:bookmarkStart w:id="258" w:name="_Toc8304"/>
      <w:bookmarkStart w:id="259" w:name="_Toc18296"/>
      <w:bookmarkStart w:id="260" w:name="_Toc18410"/>
      <w:bookmarkStart w:id="261" w:name="_Toc18097"/>
      <w:bookmarkStart w:id="262" w:name="_Toc29640"/>
      <w:bookmarkStart w:id="263" w:name="_Toc28324"/>
      <w:bookmarkStart w:id="264" w:name="_Toc8923"/>
      <w:bookmarkStart w:id="265" w:name="_Toc23585"/>
      <w:r>
        <w:rPr>
          <w:rFonts w:hint="eastAsia"/>
        </w:rPr>
        <w:t>附图</w:t>
      </w:r>
      <w:r>
        <w:rPr>
          <w:rFonts w:hint="eastAsia"/>
          <w:lang w:val="en-US" w:eastAsia="zh-CN"/>
        </w:rPr>
        <w:t>5</w:t>
      </w:r>
      <w:r>
        <w:rPr>
          <w:rFonts w:hint="eastAsia"/>
        </w:rPr>
        <w:t>项目所在地环境现状图片</w:t>
      </w:r>
      <w:bookmarkEnd w:id="257"/>
      <w:bookmarkEnd w:id="258"/>
      <w:bookmarkEnd w:id="259"/>
      <w:bookmarkEnd w:id="260"/>
      <w:bookmarkEnd w:id="261"/>
      <w:bookmarkEnd w:id="262"/>
      <w:bookmarkEnd w:id="263"/>
      <w:bookmarkEnd w:id="264"/>
      <w:bookmarkEnd w:id="265"/>
    </w:p>
    <w:tbl>
      <w:tblPr>
        <w:tblStyle w:val="3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4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0" w:type="pct"/>
          </w:tcPr>
          <w:p>
            <w:pPr>
              <w:pStyle w:val="35"/>
              <w:bidi w:val="0"/>
              <w:rPr>
                <w:rFonts w:hint="default"/>
                <w:lang w:val="en-US" w:eastAsia="zh-CN"/>
              </w:rPr>
            </w:pPr>
            <w:r>
              <w:rPr>
                <w:rFonts w:hint="eastAsia"/>
                <w:lang w:val="en-US" w:eastAsia="zh-CN"/>
              </w:rPr>
              <w:drawing>
                <wp:inline distT="0" distB="0" distL="114300" distR="114300">
                  <wp:extent cx="2560320" cy="2534920"/>
                  <wp:effectExtent l="0" t="0" r="11430" b="17780"/>
                  <wp:docPr id="43" name="图片 43" descr="57f7107423d911360bcadcf801228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57f7107423d911360bcadcf8012282a"/>
                          <pic:cNvPicPr>
                            <a:picLocks noChangeAspect="1"/>
                          </pic:cNvPicPr>
                        </pic:nvPicPr>
                        <pic:blipFill>
                          <a:blip r:embed="rId45"/>
                          <a:stretch>
                            <a:fillRect/>
                          </a:stretch>
                        </pic:blipFill>
                        <pic:spPr>
                          <a:xfrm>
                            <a:off x="0" y="0"/>
                            <a:ext cx="2560320" cy="2534920"/>
                          </a:xfrm>
                          <a:prstGeom prst="rect">
                            <a:avLst/>
                          </a:prstGeom>
                        </pic:spPr>
                      </pic:pic>
                    </a:graphicData>
                  </a:graphic>
                </wp:inline>
              </w:drawing>
            </w:r>
            <w:r>
              <w:rPr>
                <w:rFonts w:hint="eastAsia"/>
                <w:lang w:val="en-US" w:eastAsia="zh-CN"/>
              </w:rPr>
              <w:t xml:space="preserve">  </w:t>
            </w:r>
          </w:p>
        </w:tc>
        <w:tc>
          <w:tcPr>
            <w:tcW w:w="2500" w:type="pct"/>
          </w:tcPr>
          <w:p>
            <w:pPr>
              <w:pStyle w:val="35"/>
              <w:bidi w:val="0"/>
              <w:rPr>
                <w:rFonts w:hint="default"/>
                <w:lang w:val="en-US" w:eastAsia="zh-CN"/>
              </w:rPr>
            </w:pPr>
            <w:r>
              <w:rPr>
                <w:rFonts w:hint="default"/>
                <w:lang w:val="en-US" w:eastAsia="zh-CN"/>
              </w:rPr>
              <w:drawing>
                <wp:inline distT="0" distB="0" distL="114300" distR="114300">
                  <wp:extent cx="2560320" cy="2544445"/>
                  <wp:effectExtent l="0" t="0" r="11430" b="8255"/>
                  <wp:docPr id="44" name="图片 44" descr="4ebac81939d24eef7b76ec8d1e45ef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4ebac81939d24eef7b76ec8d1e45ef8"/>
                          <pic:cNvPicPr>
                            <a:picLocks noChangeAspect="1"/>
                          </pic:cNvPicPr>
                        </pic:nvPicPr>
                        <pic:blipFill>
                          <a:blip r:embed="rId46"/>
                          <a:stretch>
                            <a:fillRect/>
                          </a:stretch>
                        </pic:blipFill>
                        <pic:spPr>
                          <a:xfrm>
                            <a:off x="0" y="0"/>
                            <a:ext cx="2560320" cy="254444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0" w:type="pct"/>
          </w:tcPr>
          <w:p>
            <w:pPr>
              <w:pStyle w:val="35"/>
              <w:bidi w:val="0"/>
              <w:rPr>
                <w:rFonts w:hint="default"/>
                <w:lang w:val="en-US" w:eastAsia="zh-CN"/>
              </w:rPr>
            </w:pPr>
            <w:r>
              <w:rPr>
                <w:rFonts w:hint="eastAsia"/>
              </w:rPr>
              <w:t>项目东面现状</w:t>
            </w:r>
          </w:p>
        </w:tc>
        <w:tc>
          <w:tcPr>
            <w:tcW w:w="2500" w:type="pct"/>
          </w:tcPr>
          <w:p>
            <w:pPr>
              <w:pStyle w:val="35"/>
              <w:bidi w:val="0"/>
              <w:rPr>
                <w:rFonts w:hint="default"/>
                <w:lang w:val="en-US" w:eastAsia="zh-CN"/>
              </w:rPr>
            </w:pPr>
            <w:r>
              <w:rPr>
                <w:rFonts w:hint="eastAsia"/>
              </w:rPr>
              <w:t>项目</w:t>
            </w:r>
            <w:r>
              <w:rPr>
                <w:rFonts w:hint="eastAsia"/>
                <w:lang w:eastAsia="zh-CN"/>
              </w:rPr>
              <w:t>南</w:t>
            </w:r>
            <w:r>
              <w:rPr>
                <w:rFonts w:hint="eastAsia"/>
              </w:rPr>
              <w:t>面现状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0" w:type="pct"/>
          </w:tcPr>
          <w:p>
            <w:pPr>
              <w:pStyle w:val="35"/>
              <w:bidi w:val="0"/>
              <w:rPr>
                <w:rFonts w:hint="default"/>
                <w:lang w:val="en-US" w:eastAsia="zh-CN"/>
              </w:rPr>
            </w:pPr>
            <w:r>
              <w:rPr>
                <w:rFonts w:hint="default"/>
                <w:lang w:val="en-US" w:eastAsia="zh-CN"/>
              </w:rPr>
              <w:drawing>
                <wp:inline distT="0" distB="0" distL="114300" distR="114300">
                  <wp:extent cx="2560320" cy="2955290"/>
                  <wp:effectExtent l="0" t="0" r="11430" b="16510"/>
                  <wp:docPr id="46" name="图片 46" descr="261e7a481a50ab926dc81e7a92e3a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261e7a481a50ab926dc81e7a92e3a05"/>
                          <pic:cNvPicPr>
                            <a:picLocks noChangeAspect="1"/>
                          </pic:cNvPicPr>
                        </pic:nvPicPr>
                        <pic:blipFill>
                          <a:blip r:embed="rId47"/>
                          <a:stretch>
                            <a:fillRect/>
                          </a:stretch>
                        </pic:blipFill>
                        <pic:spPr>
                          <a:xfrm>
                            <a:off x="0" y="0"/>
                            <a:ext cx="2560320" cy="2955290"/>
                          </a:xfrm>
                          <a:prstGeom prst="rect">
                            <a:avLst/>
                          </a:prstGeom>
                        </pic:spPr>
                      </pic:pic>
                    </a:graphicData>
                  </a:graphic>
                </wp:inline>
              </w:drawing>
            </w:r>
          </w:p>
        </w:tc>
        <w:tc>
          <w:tcPr>
            <w:tcW w:w="2500" w:type="pct"/>
          </w:tcPr>
          <w:p>
            <w:pPr>
              <w:pStyle w:val="35"/>
              <w:bidi w:val="0"/>
              <w:rPr>
                <w:rFonts w:hint="default"/>
                <w:lang w:val="en-US" w:eastAsia="zh-CN"/>
              </w:rPr>
            </w:pPr>
            <w:r>
              <w:rPr>
                <w:rFonts w:hint="default"/>
                <w:lang w:val="en-US" w:eastAsia="zh-CN"/>
              </w:rPr>
              <w:drawing>
                <wp:inline distT="0" distB="0" distL="114300" distR="114300">
                  <wp:extent cx="2560320" cy="2840355"/>
                  <wp:effectExtent l="0" t="0" r="11430" b="17145"/>
                  <wp:docPr id="45" name="图片 45" descr="1f798019d36fd31b28b64a126763f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1f798019d36fd31b28b64a126763fdd"/>
                          <pic:cNvPicPr>
                            <a:picLocks noChangeAspect="1"/>
                          </pic:cNvPicPr>
                        </pic:nvPicPr>
                        <pic:blipFill>
                          <a:blip r:embed="rId48"/>
                          <a:stretch>
                            <a:fillRect/>
                          </a:stretch>
                        </pic:blipFill>
                        <pic:spPr>
                          <a:xfrm>
                            <a:off x="0" y="0"/>
                            <a:ext cx="2560320" cy="284035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0" w:type="pct"/>
          </w:tcPr>
          <w:p>
            <w:pPr>
              <w:pStyle w:val="35"/>
              <w:bidi w:val="0"/>
              <w:rPr>
                <w:rFonts w:hint="default"/>
                <w:lang w:val="en-US" w:eastAsia="zh-CN"/>
              </w:rPr>
            </w:pPr>
            <w:r>
              <w:rPr>
                <w:rFonts w:hint="eastAsia"/>
              </w:rPr>
              <w:t>项目</w:t>
            </w:r>
            <w:r>
              <w:rPr>
                <w:rFonts w:hint="eastAsia"/>
                <w:lang w:eastAsia="zh-CN"/>
              </w:rPr>
              <w:t>西</w:t>
            </w:r>
            <w:r>
              <w:rPr>
                <w:rFonts w:hint="eastAsia"/>
              </w:rPr>
              <w:t>面现状</w:t>
            </w:r>
          </w:p>
        </w:tc>
        <w:tc>
          <w:tcPr>
            <w:tcW w:w="2500" w:type="pct"/>
          </w:tcPr>
          <w:p>
            <w:pPr>
              <w:pStyle w:val="35"/>
              <w:bidi w:val="0"/>
              <w:rPr>
                <w:rFonts w:hint="default"/>
                <w:lang w:val="en-US" w:eastAsia="zh-CN"/>
              </w:rPr>
            </w:pPr>
            <w:r>
              <w:rPr>
                <w:rFonts w:hint="eastAsia"/>
              </w:rPr>
              <w:t>项目北面现状</w:t>
            </w:r>
          </w:p>
        </w:tc>
      </w:tr>
    </w:tbl>
    <w:p/>
    <w:p>
      <w:pPr>
        <w:pStyle w:val="30"/>
        <w:rPr>
          <w:rFonts w:hint="eastAsia"/>
          <w:lang w:eastAsia="zh-CN"/>
        </w:rPr>
      </w:pPr>
    </w:p>
    <w:p>
      <w:pPr>
        <w:rPr>
          <w:rFonts w:hint="eastAsia"/>
          <w:lang w:val="en-US" w:eastAsia="zh-CN"/>
        </w:rPr>
        <w:sectPr>
          <w:pgSz w:w="11906" w:h="16838"/>
          <w:pgMar w:top="1440" w:right="1800" w:bottom="1440" w:left="1800" w:header="851" w:footer="851" w:gutter="0"/>
          <w:pgNumType w:fmt="decimal"/>
          <w:cols w:space="720" w:num="1"/>
          <w:docGrid w:linePitch="312" w:charSpace="0"/>
        </w:sectPr>
      </w:pPr>
    </w:p>
    <w:p>
      <w:pPr>
        <w:pStyle w:val="8"/>
        <w:bidi w:val="0"/>
        <w:rPr>
          <w:rFonts w:hint="eastAsia"/>
          <w:b/>
          <w:bCs/>
          <w:lang w:val="en-US" w:eastAsia="zh-CN"/>
        </w:rPr>
      </w:pPr>
      <w:bookmarkStart w:id="266" w:name="_Toc6021"/>
      <w:bookmarkStart w:id="267" w:name="_Toc22362"/>
      <w:bookmarkStart w:id="268" w:name="_Toc9937"/>
      <w:r>
        <w:drawing>
          <wp:anchor distT="0" distB="0" distL="114300" distR="114300" simplePos="0" relativeHeight="251716608" behindDoc="0" locked="0" layoutInCell="1" allowOverlap="1">
            <wp:simplePos x="0" y="0"/>
            <wp:positionH relativeFrom="column">
              <wp:posOffset>7896225</wp:posOffset>
            </wp:positionH>
            <wp:positionV relativeFrom="paragraph">
              <wp:posOffset>23495</wp:posOffset>
            </wp:positionV>
            <wp:extent cx="904875" cy="923925"/>
            <wp:effectExtent l="0" t="0" r="9525" b="9525"/>
            <wp:wrapNone/>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pic:cNvPicPr>
                      <a:picLocks noChangeAspect="1"/>
                    </pic:cNvPicPr>
                  </pic:nvPicPr>
                  <pic:blipFill>
                    <a:blip r:embed="rId40"/>
                    <a:stretch>
                      <a:fillRect/>
                    </a:stretch>
                  </pic:blipFill>
                  <pic:spPr>
                    <a:xfrm>
                      <a:off x="0" y="0"/>
                      <a:ext cx="904875" cy="923925"/>
                    </a:xfrm>
                    <a:prstGeom prst="rect">
                      <a:avLst/>
                    </a:prstGeom>
                    <a:noFill/>
                    <a:ln>
                      <a:noFill/>
                    </a:ln>
                  </pic:spPr>
                </pic:pic>
              </a:graphicData>
            </a:graphic>
          </wp:anchor>
        </w:drawing>
      </w:r>
      <w:r>
        <w:rPr>
          <w:rFonts w:hint="eastAsia"/>
          <w:b/>
          <w:bCs/>
        </w:rPr>
        <w:t>附图</w:t>
      </w:r>
      <w:r>
        <w:rPr>
          <w:rFonts w:hint="eastAsia"/>
          <w:b/>
          <w:bCs/>
          <w:lang w:val="en-US" w:eastAsia="zh-CN"/>
        </w:rPr>
        <w:t>6</w:t>
      </w:r>
      <w:r>
        <w:rPr>
          <w:rFonts w:hint="eastAsia"/>
          <w:b/>
          <w:bCs/>
        </w:rPr>
        <w:t xml:space="preserve"> 项目地下水分区防渗图</w:t>
      </w:r>
      <w:bookmarkEnd w:id="266"/>
      <w:bookmarkEnd w:id="267"/>
      <w:bookmarkEnd w:id="268"/>
    </w:p>
    <w:p>
      <w:pPr>
        <w:bidi w:val="0"/>
        <w:rPr>
          <w:rFonts w:hint="eastAsia"/>
          <w:lang w:val="en-US" w:eastAsia="zh-CN"/>
        </w:rPr>
        <w:sectPr>
          <w:pgSz w:w="16838" w:h="11906" w:orient="landscape"/>
          <w:pgMar w:top="1800" w:right="1440" w:bottom="1800" w:left="1440" w:header="851" w:footer="851" w:gutter="0"/>
          <w:pgNumType w:fmt="decimal"/>
          <w:cols w:space="720" w:num="1"/>
          <w:docGrid w:linePitch="312" w:charSpace="0"/>
        </w:sectPr>
      </w:pPr>
      <w:r>
        <w:rPr>
          <w:sz w:val="24"/>
        </w:rPr>
        <mc:AlternateContent>
          <mc:Choice Requires="wps">
            <w:drawing>
              <wp:anchor distT="0" distB="0" distL="114300" distR="114300" simplePos="0" relativeHeight="251696128" behindDoc="0" locked="0" layoutInCell="1" allowOverlap="1">
                <wp:simplePos x="0" y="0"/>
                <wp:positionH relativeFrom="column">
                  <wp:posOffset>3951605</wp:posOffset>
                </wp:positionH>
                <wp:positionV relativeFrom="paragraph">
                  <wp:posOffset>3486785</wp:posOffset>
                </wp:positionV>
                <wp:extent cx="1065530" cy="301625"/>
                <wp:effectExtent l="15875" t="43815" r="23495" b="54610"/>
                <wp:wrapNone/>
                <wp:docPr id="73" name="矩形 73"/>
                <wp:cNvGraphicFramePr/>
                <a:graphic xmlns:a="http://schemas.openxmlformats.org/drawingml/2006/main">
                  <a:graphicData uri="http://schemas.microsoft.com/office/word/2010/wordprocessingShape">
                    <wps:wsp>
                      <wps:cNvSpPr/>
                      <wps:spPr>
                        <a:xfrm rot="240000">
                          <a:off x="4922520" y="4977130"/>
                          <a:ext cx="1065530" cy="301625"/>
                        </a:xfrm>
                        <a:prstGeom prst="rect">
                          <a:avLst/>
                        </a:prstGeom>
                        <a:solidFill>
                          <a:srgbClr val="E89F63">
                            <a:alpha val="68000"/>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11.15pt;margin-top:274.55pt;height:23.75pt;width:83.9pt;rotation:262144f;z-index:251696128;v-text-anchor:middle;mso-width-relative:page;mso-height-relative:page;" fillcolor="#E89F63" filled="t" stroked="t" coordsize="21600,21600" o:gfxdata="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">
                <v:fill on="t" opacity="44564f" focussize="0,0"/>
                <v:stroke weight="1pt" color="#41719C [3204]" miterlimit="8" joinstyle="miter"/>
                <v:imagedata o:title=""/>
                <o:lock v:ext="edit" aspectratio="f"/>
              </v:rect>
            </w:pict>
          </mc:Fallback>
        </mc:AlternateContent>
      </w:r>
      <w:r>
        <w:rPr>
          <w:sz w:val="24"/>
        </w:rPr>
        <mc:AlternateContent>
          <mc:Choice Requires="wps">
            <w:drawing>
              <wp:anchor distT="0" distB="0" distL="114300" distR="114300" simplePos="0" relativeHeight="251695104" behindDoc="0" locked="0" layoutInCell="1" allowOverlap="1">
                <wp:simplePos x="0" y="0"/>
                <wp:positionH relativeFrom="column">
                  <wp:posOffset>1503045</wp:posOffset>
                </wp:positionH>
                <wp:positionV relativeFrom="paragraph">
                  <wp:posOffset>2079625</wp:posOffset>
                </wp:positionV>
                <wp:extent cx="1000125" cy="266700"/>
                <wp:effectExtent l="0" t="0" r="0" b="0"/>
                <wp:wrapNone/>
                <wp:docPr id="72" name="矩形 72"/>
                <wp:cNvGraphicFramePr/>
                <a:graphic xmlns:a="http://schemas.openxmlformats.org/drawingml/2006/main">
                  <a:graphicData uri="http://schemas.microsoft.com/office/word/2010/wordprocessingShape">
                    <wps:wsp>
                      <wps:cNvSpPr/>
                      <wps:spPr>
                        <a:xfrm>
                          <a:off x="0" y="0"/>
                          <a:ext cx="1000125" cy="26670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pPr>
                              <w:jc w:val="center"/>
                              <w:rPr>
                                <w:rFonts w:hint="eastAsia" w:eastAsia="宋体"/>
                                <w:sz w:val="18"/>
                                <w:szCs w:val="18"/>
                                <w:lang w:eastAsia="zh-CN"/>
                              </w:rPr>
                            </w:pPr>
                            <w:r>
                              <w:rPr>
                                <w:rFonts w:hint="eastAsia"/>
                                <w:sz w:val="18"/>
                                <w:szCs w:val="18"/>
                                <w:lang w:eastAsia="zh-CN"/>
                              </w:rPr>
                              <w:t>危废暂存间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18.35pt;margin-top:163.75pt;height:21pt;width:78.75pt;z-index:251695104;v-text-anchor:middle;mso-width-relative:page;mso-height-relative:page;" filled="f" stroked="f" coordsize="21600,21600" o:gfxdata="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CVcM6H2gAAAAsBAAAPAAAAAAAAAAEAIAAAACIAAABkcnMvZG93bnJldi54bWxQSwECFAAUAAAA&#10;CACHTuJAk/L10l4CAACvBAAADgAAAAAAAAABACAAAAApAQAAZHJzL2Uyb0RvYy54bWxQSwUGAAAA&#10;AAYABgBZAQAA+QUAAAAA&#10;">
                <v:fill on="f" focussize="0,0"/>
                <v:stroke on="f" weight="1pt" miterlimit="8" joinstyle="miter"/>
                <v:imagedata o:title=""/>
                <o:lock v:ext="edit" aspectratio="f"/>
                <v:textbox>
                  <w:txbxContent>
                    <w:p>
                      <w:pPr>
                        <w:jc w:val="center"/>
                        <w:rPr>
                          <w:rFonts w:hint="eastAsia" w:eastAsia="宋体"/>
                          <w:sz w:val="18"/>
                          <w:szCs w:val="18"/>
                          <w:lang w:eastAsia="zh-CN"/>
                        </w:rPr>
                      </w:pPr>
                      <w:r>
                        <w:rPr>
                          <w:rFonts w:hint="eastAsia"/>
                          <w:sz w:val="18"/>
                          <w:szCs w:val="18"/>
                          <w:lang w:eastAsia="zh-CN"/>
                        </w:rPr>
                        <w:t>危废暂存间</w:t>
                      </w:r>
                    </w:p>
                  </w:txbxContent>
                </v:textbox>
              </v:rect>
            </w:pict>
          </mc:Fallback>
        </mc:AlternateContent>
      </w:r>
      <w:r>
        <w:rPr>
          <w:sz w:val="24"/>
        </w:rPr>
        <mc:AlternateContent>
          <mc:Choice Requires="wps">
            <w:drawing>
              <wp:anchor distT="0" distB="0" distL="114300" distR="114300" simplePos="0" relativeHeight="251687936" behindDoc="0" locked="0" layoutInCell="1" allowOverlap="1">
                <wp:simplePos x="0" y="0"/>
                <wp:positionH relativeFrom="column">
                  <wp:posOffset>4836795</wp:posOffset>
                </wp:positionH>
                <wp:positionV relativeFrom="paragraph">
                  <wp:posOffset>1022350</wp:posOffset>
                </wp:positionV>
                <wp:extent cx="1000125" cy="266700"/>
                <wp:effectExtent l="0" t="0" r="9525" b="0"/>
                <wp:wrapNone/>
                <wp:docPr id="64" name="矩形 64"/>
                <wp:cNvGraphicFramePr/>
                <a:graphic xmlns:a="http://schemas.openxmlformats.org/drawingml/2006/main">
                  <a:graphicData uri="http://schemas.microsoft.com/office/word/2010/wordprocessingShape">
                    <wps:wsp>
                      <wps:cNvSpPr/>
                      <wps:spPr>
                        <a:xfrm>
                          <a:off x="6637020" y="2451100"/>
                          <a:ext cx="1000125" cy="26670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pPr>
                              <w:jc w:val="center"/>
                              <w:rPr>
                                <w:rFonts w:hint="eastAsia" w:eastAsia="宋体"/>
                                <w:sz w:val="18"/>
                                <w:szCs w:val="18"/>
                                <w:lang w:eastAsia="zh-CN"/>
                              </w:rPr>
                            </w:pPr>
                            <w:r>
                              <w:rPr>
                                <w:rFonts w:hint="eastAsia"/>
                                <w:sz w:val="18"/>
                                <w:szCs w:val="18"/>
                                <w:lang w:eastAsia="zh-CN"/>
                              </w:rPr>
                              <w:t>隔油沉淀池</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80.85pt;margin-top:80.5pt;height:21pt;width:78.75pt;z-index:251687936;v-text-anchor:middle;mso-width-relative:page;mso-height-relative:page;" filled="f" stroked="f" coordsize="21600,21600" o:gfxdata="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GVwagfYAAAACwEAAA8AAAAAAAAAAQAgAAAAIgAAAGRycy9kb3ducmV2LnhtbFBL&#10;AQIUABQAAAAIAIdO4kBwf6Q5aAIAALsEAAAOAAAAAAAAAAEAIAAAACcBAABkcnMvZTJvRG9jLnht&#10;bFBLBQYAAAAABgAGAFkBAAABBgAAAAA=&#10;">
                <v:fill on="f" focussize="0,0"/>
                <v:stroke on="f" weight="1pt" miterlimit="8" joinstyle="miter"/>
                <v:imagedata o:title=""/>
                <o:lock v:ext="edit" aspectratio="f"/>
                <v:textbox>
                  <w:txbxContent>
                    <w:p>
                      <w:pPr>
                        <w:jc w:val="center"/>
                        <w:rPr>
                          <w:rFonts w:hint="eastAsia" w:eastAsia="宋体"/>
                          <w:sz w:val="18"/>
                          <w:szCs w:val="18"/>
                          <w:lang w:eastAsia="zh-CN"/>
                        </w:rPr>
                      </w:pPr>
                      <w:r>
                        <w:rPr>
                          <w:rFonts w:hint="eastAsia"/>
                          <w:sz w:val="18"/>
                          <w:szCs w:val="18"/>
                          <w:lang w:eastAsia="zh-CN"/>
                        </w:rPr>
                        <w:t>隔油沉淀池</w:t>
                      </w:r>
                    </w:p>
                  </w:txbxContent>
                </v:textbox>
              </v:rect>
            </w:pict>
          </mc:Fallback>
        </mc:AlternateContent>
      </w:r>
      <w:r>
        <w:rPr>
          <w:sz w:val="21"/>
        </w:rPr>
        <mc:AlternateContent>
          <mc:Choice Requires="wps">
            <w:drawing>
              <wp:anchor distT="0" distB="0" distL="114300" distR="114300" simplePos="0" relativeHeight="251694080" behindDoc="0" locked="0" layoutInCell="1" allowOverlap="1">
                <wp:simplePos x="0" y="0"/>
                <wp:positionH relativeFrom="column">
                  <wp:posOffset>4142740</wp:posOffset>
                </wp:positionH>
                <wp:positionV relativeFrom="paragraph">
                  <wp:posOffset>1605280</wp:posOffset>
                </wp:positionV>
                <wp:extent cx="1131570" cy="1210310"/>
                <wp:effectExtent l="98425" t="92075" r="103505" b="107315"/>
                <wp:wrapNone/>
                <wp:docPr id="71" name="矩形 71"/>
                <wp:cNvGraphicFramePr/>
                <a:graphic xmlns:a="http://schemas.openxmlformats.org/drawingml/2006/main">
                  <a:graphicData uri="http://schemas.microsoft.com/office/word/2010/wordprocessingShape">
                    <wps:wsp>
                      <wps:cNvSpPr/>
                      <wps:spPr>
                        <a:xfrm rot="540000">
                          <a:off x="0" y="0"/>
                          <a:ext cx="1131570" cy="1210310"/>
                        </a:xfrm>
                        <a:prstGeom prst="rect">
                          <a:avLst/>
                        </a:prstGeom>
                        <a:solidFill>
                          <a:srgbClr val="E46C0A">
                            <a:alpha val="60999"/>
                          </a:srgbClr>
                        </a:solidFill>
                        <a:ln w="19050" cap="flat" cmpd="sng">
                          <a:solidFill>
                            <a:srgbClr val="000000"/>
                          </a:solidFill>
                          <a:prstDash val="solid"/>
                          <a:miter/>
                          <a:headEnd type="none" w="med" len="med"/>
                          <a:tailEnd type="none" w="med" len="med"/>
                        </a:ln>
                      </wps:spPr>
                      <wps:txbx>
                        <w:txbxContent>
                          <w:p>
                            <w:pPr>
                              <w:jc w:val="center"/>
                              <w:rPr>
                                <w:rFonts w:hint="eastAsia"/>
                                <w:lang w:val="en-US" w:eastAsia="zh-CN"/>
                              </w:rPr>
                            </w:pPr>
                          </w:p>
                          <w:p>
                            <w:pPr>
                              <w:jc w:val="center"/>
                              <w:rPr>
                                <w:rFonts w:hint="eastAsia"/>
                                <w:b/>
                                <w:bCs/>
                                <w:sz w:val="24"/>
                                <w:szCs w:val="24"/>
                                <w:lang w:val="en-US" w:eastAsia="zh-CN"/>
                              </w:rPr>
                            </w:pPr>
                          </w:p>
                          <w:p>
                            <w:pPr>
                              <w:jc w:val="center"/>
                              <w:rPr>
                                <w:rFonts w:hint="eastAsia" w:eastAsia="宋体"/>
                                <w:b/>
                                <w:bCs/>
                                <w:sz w:val="24"/>
                                <w:szCs w:val="24"/>
                                <w:lang w:val="en-US" w:eastAsia="zh-CN"/>
                              </w:rPr>
                            </w:pPr>
                            <w:r>
                              <w:rPr>
                                <w:rFonts w:hint="eastAsia"/>
                                <w:b/>
                                <w:bCs/>
                                <w:sz w:val="24"/>
                                <w:szCs w:val="24"/>
                                <w:lang w:val="en-US" w:eastAsia="zh-CN"/>
                              </w:rPr>
                              <w:t>加油、储罐区</w:t>
                            </w:r>
                          </w:p>
                        </w:txbxContent>
                      </wps:txbx>
                      <wps:bodyPr upright="1"/>
                    </wps:wsp>
                  </a:graphicData>
                </a:graphic>
              </wp:anchor>
            </w:drawing>
          </mc:Choice>
          <mc:Fallback>
            <w:pict>
              <v:rect id="_x0000_s1026" o:spid="_x0000_s1026" o:spt="1" style="position:absolute;left:0pt;margin-left:326.2pt;margin-top:126.4pt;height:95.3pt;width:89.1pt;rotation:589824f;z-index:251694080;mso-width-relative:page;mso-height-relative:page;" fillcolor="#E46C0A" filled="t" stroked="t" coordsize="21600,21600" o:gfxdata="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BH&#10;H2N/2gAAAAsBAAAPAAAAAAAAAAEAIAAAACIAAABkcnMvZG93bnJldi54bWxQSwECFAAUAAAACACH&#10;TuJAPC10YyICAABbBAAADgAAAAAAAAABACAAAAApAQAAZHJzL2Uyb0RvYy54bWxQSwUGAAAAAAYA&#10;BgBZAQAAvQUAAAAA&#10;">
                <v:fill on="t" opacity="39976f" focussize="0,0"/>
                <v:stroke weight="1.5pt" color="#000000" joinstyle="miter"/>
                <v:imagedata o:title=""/>
                <o:lock v:ext="edit" aspectratio="f"/>
                <v:textbox>
                  <w:txbxContent>
                    <w:p>
                      <w:pPr>
                        <w:jc w:val="center"/>
                        <w:rPr>
                          <w:rFonts w:hint="eastAsia"/>
                          <w:lang w:val="en-US" w:eastAsia="zh-CN"/>
                        </w:rPr>
                      </w:pPr>
                    </w:p>
                    <w:p>
                      <w:pPr>
                        <w:jc w:val="center"/>
                        <w:rPr>
                          <w:rFonts w:hint="eastAsia"/>
                          <w:b/>
                          <w:bCs/>
                          <w:sz w:val="24"/>
                          <w:szCs w:val="24"/>
                          <w:lang w:val="en-US" w:eastAsia="zh-CN"/>
                        </w:rPr>
                      </w:pPr>
                    </w:p>
                    <w:p>
                      <w:pPr>
                        <w:jc w:val="center"/>
                        <w:rPr>
                          <w:rFonts w:hint="eastAsia" w:eastAsia="宋体"/>
                          <w:b/>
                          <w:bCs/>
                          <w:sz w:val="24"/>
                          <w:szCs w:val="24"/>
                          <w:lang w:val="en-US" w:eastAsia="zh-CN"/>
                        </w:rPr>
                      </w:pPr>
                      <w:r>
                        <w:rPr>
                          <w:rFonts w:hint="eastAsia"/>
                          <w:b/>
                          <w:bCs/>
                          <w:sz w:val="24"/>
                          <w:szCs w:val="24"/>
                          <w:lang w:val="en-US" w:eastAsia="zh-CN"/>
                        </w:rPr>
                        <w:t>加油、储罐区</w:t>
                      </w:r>
                    </w:p>
                  </w:txbxContent>
                </v:textbox>
              </v:rect>
            </w:pict>
          </mc:Fallback>
        </mc:AlternateContent>
      </w:r>
      <w:r>
        <w:rPr>
          <w:sz w:val="24"/>
        </w:rPr>
        <mc:AlternateContent>
          <mc:Choice Requires="wps">
            <w:drawing>
              <wp:anchor distT="0" distB="0" distL="114300" distR="114300" simplePos="0" relativeHeight="251686912" behindDoc="0" locked="0" layoutInCell="1" allowOverlap="1">
                <wp:simplePos x="0" y="0"/>
                <wp:positionH relativeFrom="column">
                  <wp:posOffset>5163820</wp:posOffset>
                </wp:positionH>
                <wp:positionV relativeFrom="paragraph">
                  <wp:posOffset>1005205</wp:posOffset>
                </wp:positionV>
                <wp:extent cx="332740" cy="198120"/>
                <wp:effectExtent l="16510" t="24130" r="31750" b="25400"/>
                <wp:wrapNone/>
                <wp:docPr id="63" name="矩形 63"/>
                <wp:cNvGraphicFramePr/>
                <a:graphic xmlns:a="http://schemas.openxmlformats.org/drawingml/2006/main">
                  <a:graphicData uri="http://schemas.microsoft.com/office/word/2010/wordprocessingShape">
                    <wps:wsp>
                      <wps:cNvSpPr/>
                      <wps:spPr>
                        <a:xfrm rot="360000">
                          <a:off x="5636895" y="2203450"/>
                          <a:ext cx="332740" cy="198120"/>
                        </a:xfrm>
                        <a:prstGeom prst="rect">
                          <a:avLst/>
                        </a:prstGeom>
                        <a:solidFill>
                          <a:srgbClr val="E9A064"/>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06.6pt;margin-top:79.15pt;height:15.6pt;width:26.2pt;rotation:393216f;z-index:251686912;v-text-anchor:middle;mso-width-relative:page;mso-height-relative:page;" fillcolor="#E9A064" filled="t" stroked="t" coordsize="21600,21600" o:gfxdata="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">
                <v:fill on="t" focussize="0,0"/>
                <v:stroke weight="1pt" color="#000000 [3213]" miterlimit="8" joinstyle="miter"/>
                <v:imagedata o:title=""/>
                <o:lock v:ext="edit" aspectratio="f"/>
              </v:rect>
            </w:pict>
          </mc:Fallback>
        </mc:AlternateContent>
      </w:r>
      <w:r>
        <w:rPr>
          <w:sz w:val="24"/>
        </w:rPr>
        <mc:AlternateContent>
          <mc:Choice Requires="wps">
            <w:drawing>
              <wp:anchor distT="0" distB="0" distL="114300" distR="114300" simplePos="0" relativeHeight="251688960" behindDoc="0" locked="0" layoutInCell="1" allowOverlap="1">
                <wp:simplePos x="0" y="0"/>
                <wp:positionH relativeFrom="column">
                  <wp:posOffset>1801495</wp:posOffset>
                </wp:positionH>
                <wp:positionV relativeFrom="paragraph">
                  <wp:posOffset>2138680</wp:posOffset>
                </wp:positionV>
                <wp:extent cx="332740" cy="198120"/>
                <wp:effectExtent l="16510" t="24130" r="31750" b="25400"/>
                <wp:wrapNone/>
                <wp:docPr id="66" name="矩形 66"/>
                <wp:cNvGraphicFramePr/>
                <a:graphic xmlns:a="http://schemas.openxmlformats.org/drawingml/2006/main">
                  <a:graphicData uri="http://schemas.microsoft.com/office/word/2010/wordprocessingShape">
                    <wps:wsp>
                      <wps:cNvSpPr/>
                      <wps:spPr>
                        <a:xfrm rot="360000">
                          <a:off x="0" y="0"/>
                          <a:ext cx="332740" cy="198120"/>
                        </a:xfrm>
                        <a:prstGeom prst="rect">
                          <a:avLst/>
                        </a:prstGeom>
                        <a:solidFill>
                          <a:srgbClr val="EEA569"/>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41.85pt;margin-top:168.4pt;height:15.6pt;width:26.2pt;rotation:393216f;z-index:251688960;v-text-anchor:middle;mso-width-relative:page;mso-height-relative:page;" fillcolor="#EEA569" filled="t" stroked="t" coordsize="21600,21600" o:gfxdata="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Nv70o3WAAAACwEAAA8AAAAAAAAAAQAgAAAAIgAA&#10;AGRycy9kb3ducmV2LnhtbFBLAQIUABQAAAAIAIdO4kBo7ybXfAIAAAIFAAAOAAAAAAAAAAEAIAAA&#10;ACUBAABkcnMvZTJvRG9jLnhtbFBLBQYAAAAABgAGAFkBAAATBgAAAAA=&#10;">
                <v:fill on="t" focussize="0,0"/>
                <v:stroke weight="1pt" color="#000000 [3213]" miterlimit="8" joinstyle="miter"/>
                <v:imagedata o:title=""/>
                <o:lock v:ext="edit" aspectratio="f"/>
              </v:rect>
            </w:pict>
          </mc:Fallback>
        </mc:AlternateContent>
      </w:r>
      <w:r>
        <w:drawing>
          <wp:inline distT="0" distB="0" distL="114300" distR="114300">
            <wp:extent cx="8860790" cy="4816475"/>
            <wp:effectExtent l="0" t="0" r="16510" b="3175"/>
            <wp:docPr id="6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3"/>
                    <pic:cNvPicPr>
                      <a:picLocks noChangeAspect="1"/>
                    </pic:cNvPicPr>
                  </pic:nvPicPr>
                  <pic:blipFill>
                    <a:blip r:embed="rId49"/>
                    <a:stretch>
                      <a:fillRect/>
                    </a:stretch>
                  </pic:blipFill>
                  <pic:spPr>
                    <a:xfrm>
                      <a:off x="0" y="0"/>
                      <a:ext cx="8860790" cy="4816475"/>
                    </a:xfrm>
                    <a:prstGeom prst="rect">
                      <a:avLst/>
                    </a:prstGeom>
                    <a:noFill/>
                    <a:ln>
                      <a:noFill/>
                    </a:ln>
                  </pic:spPr>
                </pic:pic>
              </a:graphicData>
            </a:graphic>
          </wp:inline>
        </w:drawing>
      </w:r>
    </w:p>
    <w:p>
      <w:pPr>
        <w:pStyle w:val="8"/>
        <w:bidi w:val="0"/>
        <w:rPr>
          <w:rFonts w:hint="default"/>
          <w:lang w:val="en-US" w:eastAsia="zh-CN"/>
        </w:rPr>
      </w:pPr>
      <w:bookmarkStart w:id="269" w:name="_Toc29261"/>
      <w:bookmarkStart w:id="270" w:name="_Toc24788"/>
      <w:bookmarkStart w:id="271" w:name="_Toc11582"/>
      <w:r>
        <w:drawing>
          <wp:anchor distT="0" distB="0" distL="114300" distR="114300" simplePos="0" relativeHeight="251717632" behindDoc="0" locked="0" layoutInCell="1" allowOverlap="1">
            <wp:simplePos x="0" y="0"/>
            <wp:positionH relativeFrom="column">
              <wp:posOffset>7962900</wp:posOffset>
            </wp:positionH>
            <wp:positionV relativeFrom="paragraph">
              <wp:posOffset>318770</wp:posOffset>
            </wp:positionV>
            <wp:extent cx="904875" cy="923925"/>
            <wp:effectExtent l="0" t="0" r="9525" b="9525"/>
            <wp:wrapNone/>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a:picLocks noChangeAspect="1"/>
                    </pic:cNvPicPr>
                  </pic:nvPicPr>
                  <pic:blipFill>
                    <a:blip r:embed="rId40"/>
                    <a:stretch>
                      <a:fillRect/>
                    </a:stretch>
                  </pic:blipFill>
                  <pic:spPr>
                    <a:xfrm>
                      <a:off x="0" y="0"/>
                      <a:ext cx="904875" cy="923925"/>
                    </a:xfrm>
                    <a:prstGeom prst="rect">
                      <a:avLst/>
                    </a:prstGeom>
                    <a:noFill/>
                    <a:ln>
                      <a:noFill/>
                    </a:ln>
                  </pic:spPr>
                </pic:pic>
              </a:graphicData>
            </a:graphic>
          </wp:anchor>
        </w:drawing>
      </w:r>
      <w:r>
        <w:rPr>
          <w:rFonts w:hint="default"/>
          <w:lang w:val="en-US" w:eastAsia="zh-CN"/>
        </w:rPr>
        <w:t>附图</w:t>
      </w:r>
      <w:r>
        <w:rPr>
          <w:rFonts w:hint="eastAsia"/>
          <w:lang w:val="en-US" w:eastAsia="zh-CN"/>
        </w:rPr>
        <w:t>7</w:t>
      </w:r>
      <w:r>
        <w:rPr>
          <w:rFonts w:hint="default"/>
          <w:lang w:val="en-US" w:eastAsia="zh-CN"/>
        </w:rPr>
        <w:t>项目排水路线图</w:t>
      </w:r>
      <w:bookmarkEnd w:id="269"/>
      <w:bookmarkEnd w:id="270"/>
      <w:bookmarkEnd w:id="271"/>
    </w:p>
    <w:p>
      <w:pPr>
        <w:bidi w:val="0"/>
        <w:rPr>
          <w:rFonts w:hint="default" w:ascii="Times New Roman" w:hAnsi="Times New Roman" w:eastAsia="宋体" w:cs="Times New Roman"/>
          <w:lang w:val="en-US" w:eastAsia="zh-CN"/>
        </w:rPr>
        <w:sectPr>
          <w:pgSz w:w="16838" w:h="11906" w:orient="landscape"/>
          <w:pgMar w:top="1800" w:right="1440" w:bottom="1800" w:left="1440" w:header="851" w:footer="851" w:gutter="0"/>
          <w:pgNumType w:fmt="decimal"/>
          <w:cols w:space="720" w:num="1"/>
          <w:docGrid w:linePitch="312" w:charSpace="0"/>
        </w:sectPr>
      </w:pPr>
      <w:r>
        <w:rPr>
          <w:rFonts w:hint="default" w:ascii="Times New Roman" w:hAnsi="Times New Roman" w:eastAsia="宋体" w:cs="Times New Roman"/>
          <w:sz w:val="24"/>
        </w:rPr>
        <mc:AlternateContent>
          <mc:Choice Requires="wpg">
            <w:drawing>
              <wp:anchor distT="0" distB="0" distL="114300" distR="114300" simplePos="0" relativeHeight="251710464" behindDoc="0" locked="0" layoutInCell="1" allowOverlap="1">
                <wp:simplePos x="0" y="0"/>
                <wp:positionH relativeFrom="column">
                  <wp:posOffset>70485</wp:posOffset>
                </wp:positionH>
                <wp:positionV relativeFrom="paragraph">
                  <wp:posOffset>3709670</wp:posOffset>
                </wp:positionV>
                <wp:extent cx="1835785" cy="986155"/>
                <wp:effectExtent l="5080" t="4445" r="6985" b="19050"/>
                <wp:wrapNone/>
                <wp:docPr id="92" name="组合 92"/>
                <wp:cNvGraphicFramePr/>
                <a:graphic xmlns:a="http://schemas.openxmlformats.org/drawingml/2006/main">
                  <a:graphicData uri="http://schemas.microsoft.com/office/word/2010/wordprocessingGroup">
                    <wpg:wgp>
                      <wpg:cNvGrpSpPr/>
                      <wpg:grpSpPr>
                        <a:xfrm>
                          <a:off x="0" y="0"/>
                          <a:ext cx="1835785" cy="986155"/>
                          <a:chOff x="5167" y="86638"/>
                          <a:chExt cx="2891" cy="1612"/>
                        </a:xfrm>
                      </wpg:grpSpPr>
                      <wps:wsp>
                        <wps:cNvPr id="82" name="文本框 82"/>
                        <wps:cNvSpPr txBox="1"/>
                        <wps:spPr>
                          <a:xfrm>
                            <a:off x="5167" y="86638"/>
                            <a:ext cx="2891" cy="1612"/>
                          </a:xfrm>
                          <a:prstGeom prst="rect">
                            <a:avLst/>
                          </a:prstGeom>
                          <a:solidFill>
                            <a:schemeClr val="bg1"/>
                          </a:solidFill>
                          <a:ln w="6350">
                            <a:solidFill>
                              <a:schemeClr val="tx1"/>
                            </a:solidFill>
                          </a:ln>
                        </wps:spPr>
                        <wps:style>
                          <a:lnRef idx="0">
                            <a:schemeClr val="accent1"/>
                          </a:lnRef>
                          <a:fillRef idx="0">
                            <a:schemeClr val="accent1"/>
                          </a:fillRef>
                          <a:effectRef idx="0">
                            <a:schemeClr val="accent1"/>
                          </a:effectRef>
                          <a:fontRef idx="minor">
                            <a:schemeClr val="dk1"/>
                          </a:fontRef>
                        </wps:style>
                        <wps:txbx>
                          <w:txbxContent>
                            <w:p>
                              <w:pPr>
                                <w:spacing w:line="240" w:lineRule="auto"/>
                                <w:ind w:left="0" w:leftChars="0" w:firstLine="0" w:firstLineChars="0"/>
                                <w:rPr>
                                  <w:rFonts w:hint="eastAsia"/>
                                  <w:sz w:val="21"/>
                                  <w:szCs w:val="21"/>
                                  <w:lang w:val="en-US" w:eastAsia="zh-CN"/>
                                </w:rPr>
                              </w:pPr>
                              <w:r>
                                <w:rPr>
                                  <w:rFonts w:hint="eastAsia"/>
                                  <w:sz w:val="21"/>
                                  <w:szCs w:val="21"/>
                                  <w:lang w:val="en-US" w:eastAsia="zh-CN"/>
                                </w:rPr>
                                <w:t>图例：</w:t>
                              </w:r>
                            </w:p>
                            <w:p>
                              <w:pPr>
                                <w:spacing w:line="360" w:lineRule="auto"/>
                                <w:ind w:left="626" w:leftChars="261" w:firstLine="210" w:firstLineChars="100"/>
                                <w:rPr>
                                  <w:rFonts w:hint="eastAsia"/>
                                  <w:sz w:val="21"/>
                                  <w:szCs w:val="21"/>
                                  <w:lang w:val="en-US" w:eastAsia="zh-CN"/>
                                </w:rPr>
                              </w:pPr>
                              <w:r>
                                <w:rPr>
                                  <w:rFonts w:hint="eastAsia"/>
                                  <w:sz w:val="21"/>
                                  <w:szCs w:val="21"/>
                                  <w:lang w:val="en-US" w:eastAsia="zh-CN"/>
                                </w:rPr>
                                <w:t>：本加油站</w:t>
                              </w:r>
                            </w:p>
                            <w:p>
                              <w:pPr>
                                <w:spacing w:line="360" w:lineRule="auto"/>
                                <w:ind w:left="626" w:leftChars="261" w:firstLine="210" w:firstLineChars="100"/>
                                <w:rPr>
                                  <w:rFonts w:hint="eastAsia" w:eastAsia="仿宋"/>
                                  <w:sz w:val="21"/>
                                  <w:szCs w:val="21"/>
                                  <w:lang w:val="en-US" w:eastAsia="zh-CN"/>
                                </w:rPr>
                              </w:pPr>
                              <w:r>
                                <w:rPr>
                                  <w:rFonts w:hint="eastAsia"/>
                                  <w:sz w:val="21"/>
                                  <w:szCs w:val="21"/>
                                  <w:lang w:val="en-US" w:eastAsia="zh-CN"/>
                                </w:rPr>
                                <w:t>：县污水处理厂</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cNvPr id="81" name="组合 91"/>
                        <wpg:cNvGrpSpPr/>
                        <wpg:grpSpPr>
                          <a:xfrm>
                            <a:off x="5366" y="87081"/>
                            <a:ext cx="480" cy="979"/>
                            <a:chOff x="5366" y="87081"/>
                            <a:chExt cx="480" cy="979"/>
                          </a:xfrm>
                        </wpg:grpSpPr>
                        <pic:pic xmlns:pic="http://schemas.openxmlformats.org/drawingml/2006/picture">
                          <pic:nvPicPr>
                            <pic:cNvPr id="83" name="图片 85" descr="1653281905(1)"/>
                            <pic:cNvPicPr>
                              <a:picLocks noChangeAspect="1"/>
                            </pic:cNvPicPr>
                          </pic:nvPicPr>
                          <pic:blipFill>
                            <a:blip r:embed="rId50"/>
                            <a:srcRect b="17500"/>
                            <a:stretch>
                              <a:fillRect/>
                            </a:stretch>
                          </pic:blipFill>
                          <pic:spPr>
                            <a:xfrm>
                              <a:off x="5366" y="87081"/>
                              <a:ext cx="455" cy="397"/>
                            </a:xfrm>
                            <a:prstGeom prst="rect">
                              <a:avLst/>
                            </a:prstGeom>
                            <a:ln w="12700">
                              <a:solidFill>
                                <a:schemeClr val="tx1"/>
                              </a:solidFill>
                            </a:ln>
                          </pic:spPr>
                        </pic:pic>
                        <pic:pic xmlns:pic="http://schemas.openxmlformats.org/drawingml/2006/picture">
                          <pic:nvPicPr>
                            <pic:cNvPr id="89" name="图片 89" descr="1653374552(1)"/>
                            <pic:cNvPicPr>
                              <a:picLocks noChangeAspect="1"/>
                            </pic:cNvPicPr>
                          </pic:nvPicPr>
                          <pic:blipFill>
                            <a:blip r:embed="rId51"/>
                            <a:stretch>
                              <a:fillRect/>
                            </a:stretch>
                          </pic:blipFill>
                          <pic:spPr>
                            <a:xfrm>
                              <a:off x="5403" y="87571"/>
                              <a:ext cx="443" cy="489"/>
                            </a:xfrm>
                            <a:prstGeom prst="rect">
                              <a:avLst/>
                            </a:prstGeom>
                            <a:ln w="12700">
                              <a:solidFill>
                                <a:schemeClr val="tx1"/>
                              </a:solidFill>
                            </a:ln>
                          </pic:spPr>
                        </pic:pic>
                      </wpg:grpSp>
                    </wpg:wgp>
                  </a:graphicData>
                </a:graphic>
              </wp:anchor>
            </w:drawing>
          </mc:Choice>
          <mc:Fallback>
            <w:pict>
              <v:group id="_x0000_s1026" o:spid="_x0000_s1026" o:spt="203" style="position:absolute;left:0pt;margin-left:5.55pt;margin-top:292.1pt;height:77.65pt;width:144.55pt;z-index:251710464;mso-width-relative:page;mso-height-relative:page;" coordorigin="5167,86638" coordsize="2891,1612" o:gfxdata="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">
                <o:lock v:ext="edit" aspectratio="f"/>
                <v:shape id="_x0000_s1026" o:spid="_x0000_s1026" o:spt="202" type="#_x0000_t202" style="position:absolute;left:5167;top:86638;height:1612;width:2891;" fillcolor="#FFFFFF [3212]" filled="t" stroked="t" coordsize="21600,21600" o:gfxdata="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LYCxNtwAAANsAAAAP&#10;AAAAAAAAAAEAIAAAACIAAABkcnMvZG93bnJldi54bWxQSwECFAAUAAAACACHTuJAMy8FnjsAAAA5&#10;AAAAEAAAAAAAAAABACAAAAAGAQAAZHJzL3NoYXBleG1sLnhtbFBLBQYAAAAABgAGAFsBAACwAwAA&#10;AAA=&#10;">
                  <v:fill on="t" focussize="0,0"/>
                  <v:stroke weight="0.5pt" color="#000000 [3213]" joinstyle="round"/>
                  <v:imagedata o:title=""/>
                  <o:lock v:ext="edit" aspectratio="f"/>
                  <v:textbox>
                    <w:txbxContent>
                      <w:p>
                        <w:pPr>
                          <w:spacing w:line="240" w:lineRule="auto"/>
                          <w:ind w:left="0" w:leftChars="0" w:firstLine="0" w:firstLineChars="0"/>
                          <w:rPr>
                            <w:rFonts w:hint="eastAsia"/>
                            <w:sz w:val="21"/>
                            <w:szCs w:val="21"/>
                            <w:lang w:val="en-US" w:eastAsia="zh-CN"/>
                          </w:rPr>
                        </w:pPr>
                        <w:r>
                          <w:rPr>
                            <w:rFonts w:hint="eastAsia"/>
                            <w:sz w:val="21"/>
                            <w:szCs w:val="21"/>
                            <w:lang w:val="en-US" w:eastAsia="zh-CN"/>
                          </w:rPr>
                          <w:t>图例：</w:t>
                        </w:r>
                      </w:p>
                      <w:p>
                        <w:pPr>
                          <w:spacing w:line="360" w:lineRule="auto"/>
                          <w:ind w:left="626" w:leftChars="261" w:firstLine="210" w:firstLineChars="100"/>
                          <w:rPr>
                            <w:rFonts w:hint="eastAsia"/>
                            <w:sz w:val="21"/>
                            <w:szCs w:val="21"/>
                            <w:lang w:val="en-US" w:eastAsia="zh-CN"/>
                          </w:rPr>
                        </w:pPr>
                        <w:r>
                          <w:rPr>
                            <w:rFonts w:hint="eastAsia"/>
                            <w:sz w:val="21"/>
                            <w:szCs w:val="21"/>
                            <w:lang w:val="en-US" w:eastAsia="zh-CN"/>
                          </w:rPr>
                          <w:t>：本加油站</w:t>
                        </w:r>
                      </w:p>
                      <w:p>
                        <w:pPr>
                          <w:spacing w:line="360" w:lineRule="auto"/>
                          <w:ind w:left="626" w:leftChars="261" w:firstLine="210" w:firstLineChars="100"/>
                          <w:rPr>
                            <w:rFonts w:hint="eastAsia" w:eastAsia="仿宋"/>
                            <w:sz w:val="21"/>
                            <w:szCs w:val="21"/>
                            <w:lang w:val="en-US" w:eastAsia="zh-CN"/>
                          </w:rPr>
                        </w:pPr>
                        <w:r>
                          <w:rPr>
                            <w:rFonts w:hint="eastAsia"/>
                            <w:sz w:val="21"/>
                            <w:szCs w:val="21"/>
                            <w:lang w:val="en-US" w:eastAsia="zh-CN"/>
                          </w:rPr>
                          <w:t>：县污水处理厂</w:t>
                        </w:r>
                      </w:p>
                    </w:txbxContent>
                  </v:textbox>
                </v:shape>
                <v:group id="组合 91" o:spid="_x0000_s1026" o:spt="203" style="position:absolute;left:5366;top:87081;height:979;width:480;" coordorigin="5366,87081" coordsize="480,979" o:gfxdata="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HVIoQm+AAAA2wAAAA8AAAAAAAAAAQAgAAAAIgAAAGRycy9kb3ducmV2Lnht&#10;bFBLAQIUABQAAAAIAIdO4kAzLwWeOwAAADkAAAAVAAAAAAAAAAEAIAAAAA0BAABkcnMvZ3JvdXBz&#10;aGFwZXhtbC54bWxQSwUGAAAAAAYABgBgAQAAygMAAAAA&#10;">
                  <o:lock v:ext="edit" aspectratio="f"/>
                  <v:shape id="图片 85" o:spid="_x0000_s1026" o:spt="75" alt="1653281905(1)" type="#_x0000_t75" style="position:absolute;left:5366;top:87081;height:397;width:455;" filled="f" o:preferrelative="t" stroked="t" coordsize="21600,21600" o:gfxdata="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pKJJu/&#10;AAAA2wAAAA8AAAAAAAAAAQAgAAAAIgAAAGRycy9kb3ducmV2LnhtbFBLAQIUABQAAAAIAIdO4kAz&#10;LwWeOwAAADkAAAAQAAAAAAAAAAEAIAAAAA4BAABkcnMvc2hhcGV4bWwueG1sUEsFBgAAAAAGAAYA&#10;WwEAALgDAAAAAA==&#10;">
                    <v:fill on="f" focussize="0,0"/>
                    <v:stroke weight="1pt" color="#000000 [3213]" joinstyle="round"/>
                    <v:imagedata r:id="rId50" cropbottom="11469f" o:title=""/>
                    <o:lock v:ext="edit" aspectratio="t"/>
                  </v:shape>
                  <v:shape id="_x0000_s1026" o:spid="_x0000_s1026" o:spt="75" alt="1653374552(1)" type="#_x0000_t75" style="position:absolute;left:5403;top:87571;height:489;width:443;" filled="f" o:preferrelative="t" stroked="t" coordsize="21600,21600" o:gfxdata="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a6rNbsAAADb&#10;AAAADwAAAAAAAAABACAAAAAiAAAAZHJzL2Rvd25yZXYueG1sUEsBAhQAFAAAAAgAh07iQDMvBZ47&#10;AAAAOQAAABAAAAAAAAAAAQAgAAAACgEAAGRycy9zaGFwZXhtbC54bWxQSwUGAAAAAAYABgBbAQAA&#10;tAMAAAAA&#10;">
                    <v:fill on="f" focussize="0,0"/>
                    <v:stroke weight="1pt" color="#000000 [3213]" joinstyle="round"/>
                    <v:imagedata r:id="rId51" o:title=""/>
                    <o:lock v:ext="edit" aspectratio="t"/>
                  </v:shape>
                </v:group>
              </v:group>
            </w:pict>
          </mc:Fallback>
        </mc:AlternateContent>
      </w:r>
      <w:r>
        <w:rPr>
          <w:rFonts w:hint="default" w:ascii="Times New Roman" w:hAnsi="Times New Roman" w:eastAsia="宋体" w:cs="Times New Roman"/>
          <w:sz w:val="24"/>
        </w:rPr>
        <mc:AlternateContent>
          <mc:Choice Requires="wps">
            <w:drawing>
              <wp:anchor distT="0" distB="0" distL="114300" distR="114300" simplePos="0" relativeHeight="251709440" behindDoc="0" locked="0" layoutInCell="1" allowOverlap="1">
                <wp:simplePos x="0" y="0"/>
                <wp:positionH relativeFrom="column">
                  <wp:posOffset>4371975</wp:posOffset>
                </wp:positionH>
                <wp:positionV relativeFrom="paragraph">
                  <wp:posOffset>1339850</wp:posOffset>
                </wp:positionV>
                <wp:extent cx="76200" cy="504825"/>
                <wp:effectExtent l="10795" t="1905" r="27305" b="7620"/>
                <wp:wrapNone/>
                <wp:docPr id="80" name="直接箭头连接符 80"/>
                <wp:cNvGraphicFramePr/>
                <a:graphic xmlns:a="http://schemas.openxmlformats.org/drawingml/2006/main">
                  <a:graphicData uri="http://schemas.microsoft.com/office/word/2010/wordprocessingShape">
                    <wps:wsp>
                      <wps:cNvCnPr/>
                      <wps:spPr>
                        <a:xfrm>
                          <a:off x="0" y="0"/>
                          <a:ext cx="76200" cy="504825"/>
                        </a:xfrm>
                        <a:prstGeom prst="straightConnector1">
                          <a:avLst/>
                        </a:prstGeom>
                        <a:ln w="222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344.25pt;margin-top:105.5pt;height:39.75pt;width:6pt;z-index:251709440;mso-width-relative:page;mso-height-relative:page;" filled="f" stroked="t" coordsize="21600,21600" o:gfxdata="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DaOTSC2gAAAAsBAAAPAAAAAAAAAAEAIAAAACIA&#10;AABkcnMvZG93bnJldi54bWxQSwECFAAUAAAACACHTuJAkkA5ewcCAADnAwAADgAAAAAAAAABACAA&#10;AAApAQAAZHJzL2Uyb0RvYy54bWxQSwUGAAAAAAYABgBZAQAAogUAAAAA&#10;">
                <v:fill on="f" focussize="0,0"/>
                <v:stroke weight="1.75pt" color="#000000 [3213]" miterlimit="8" joinstyle="miter" endarrow="block"/>
                <v:imagedata o:title=""/>
                <o:lock v:ext="edit" aspectratio="f"/>
              </v:shape>
            </w:pict>
          </mc:Fallback>
        </mc:AlternateContent>
      </w:r>
      <w:r>
        <w:rPr>
          <w:rFonts w:hint="default" w:ascii="Times New Roman" w:hAnsi="Times New Roman" w:eastAsia="宋体" w:cs="Times New Roman"/>
          <w:sz w:val="24"/>
        </w:rPr>
        <mc:AlternateContent>
          <mc:Choice Requires="wps">
            <w:drawing>
              <wp:anchor distT="0" distB="0" distL="114300" distR="114300" simplePos="0" relativeHeight="251708416" behindDoc="0" locked="0" layoutInCell="1" allowOverlap="1">
                <wp:simplePos x="0" y="0"/>
                <wp:positionH relativeFrom="column">
                  <wp:posOffset>4513580</wp:posOffset>
                </wp:positionH>
                <wp:positionV relativeFrom="paragraph">
                  <wp:posOffset>3089910</wp:posOffset>
                </wp:positionV>
                <wp:extent cx="306070" cy="440690"/>
                <wp:effectExtent l="8890" t="6350" r="8890" b="10160"/>
                <wp:wrapNone/>
                <wp:docPr id="79" name="直接箭头连接符 79"/>
                <wp:cNvGraphicFramePr/>
                <a:graphic xmlns:a="http://schemas.openxmlformats.org/drawingml/2006/main">
                  <a:graphicData uri="http://schemas.microsoft.com/office/word/2010/wordprocessingShape">
                    <wps:wsp>
                      <wps:cNvCnPr/>
                      <wps:spPr>
                        <a:xfrm>
                          <a:off x="0" y="0"/>
                          <a:ext cx="306070" cy="440690"/>
                        </a:xfrm>
                        <a:prstGeom prst="straightConnector1">
                          <a:avLst/>
                        </a:prstGeom>
                        <a:ln w="222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355.4pt;margin-top:243.3pt;height:34.7pt;width:24.1pt;z-index:251708416;mso-width-relative:page;mso-height-relative:page;" filled="f" stroked="t" coordsize="21600,21600" o:gfxdata="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hCamn3AAAAAsBAAAPAAAAAAAAAAEA&#10;IAAAACIAAABkcnMvZG93bnJldi54bWxQSwECFAAUAAAACACHTuJAqD7KBgsCAADoAwAADgAAAAAA&#10;AAABACAAAAArAQAAZHJzL2Uyb0RvYy54bWxQSwUGAAAAAAYABgBZAQAAqAUAAAAA&#10;">
                <v:fill on="f" focussize="0,0"/>
                <v:stroke weight="1.75pt" color="#000000 [3213]" miterlimit="8" joinstyle="miter" endarrow="block"/>
                <v:imagedata o:title=""/>
                <o:lock v:ext="edit" aspectratio="f"/>
              </v:shape>
            </w:pict>
          </mc:Fallback>
        </mc:AlternateContent>
      </w:r>
      <w:r>
        <w:rPr>
          <w:rFonts w:hint="default" w:ascii="Times New Roman" w:hAnsi="Times New Roman" w:eastAsia="宋体" w:cs="Times New Roman"/>
          <w:sz w:val="24"/>
        </w:rPr>
        <mc:AlternateContent>
          <mc:Choice Requires="wps">
            <w:drawing>
              <wp:anchor distT="0" distB="0" distL="114300" distR="114300" simplePos="0" relativeHeight="251707392" behindDoc="0" locked="0" layoutInCell="1" allowOverlap="1">
                <wp:simplePos x="0" y="0"/>
                <wp:positionH relativeFrom="column">
                  <wp:posOffset>779780</wp:posOffset>
                </wp:positionH>
                <wp:positionV relativeFrom="paragraph">
                  <wp:posOffset>2470785</wp:posOffset>
                </wp:positionV>
                <wp:extent cx="409575" cy="371475"/>
                <wp:effectExtent l="7620" t="8255" r="1905" b="1270"/>
                <wp:wrapNone/>
                <wp:docPr id="95" name="直接箭头连接符 95"/>
                <wp:cNvGraphicFramePr/>
                <a:graphic xmlns:a="http://schemas.openxmlformats.org/drawingml/2006/main">
                  <a:graphicData uri="http://schemas.microsoft.com/office/word/2010/wordprocessingShape">
                    <wps:wsp>
                      <wps:cNvCnPr/>
                      <wps:spPr>
                        <a:xfrm>
                          <a:off x="0" y="0"/>
                          <a:ext cx="409575" cy="371475"/>
                        </a:xfrm>
                        <a:prstGeom prst="straightConnector1">
                          <a:avLst/>
                        </a:prstGeom>
                        <a:ln w="222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61.4pt;margin-top:194.55pt;height:29.25pt;width:32.25pt;z-index:251707392;mso-width-relative:page;mso-height-relative:page;" filled="f" stroked="t" coordsize="21600,21600" o:gfxdata="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zZ9iV9wAAAALAQAADwAAAAAAAAABACAA&#10;AAAiAAAAZHJzL2Rvd25yZXYueG1sUEsBAhQAFAAAAAgAh07iQPTqRO4JAgAA6AMAAA4AAAAAAAAA&#10;AQAgAAAAKwEAAGRycy9lMm9Eb2MueG1sUEsFBgAAAAAGAAYAWQEAAKYFAAAAAA==&#10;">
                <v:fill on="f" focussize="0,0"/>
                <v:stroke weight="1.75pt" color="#000000 [3213]" miterlimit="8" joinstyle="miter" endarrow="block"/>
                <v:imagedata o:title=""/>
                <o:lock v:ext="edit" aspectratio="f"/>
              </v:shape>
            </w:pict>
          </mc:Fallback>
        </mc:AlternateContent>
      </w:r>
      <w:r>
        <w:rPr>
          <w:rFonts w:hint="default" w:ascii="Times New Roman" w:hAnsi="Times New Roman" w:eastAsia="宋体" w:cs="Times New Roman"/>
          <w:sz w:val="24"/>
        </w:rPr>
        <mc:AlternateContent>
          <mc:Choice Requires="wps">
            <w:drawing>
              <wp:anchor distT="0" distB="0" distL="114300" distR="114300" simplePos="0" relativeHeight="251706368" behindDoc="0" locked="0" layoutInCell="1" allowOverlap="1">
                <wp:simplePos x="0" y="0"/>
                <wp:positionH relativeFrom="column">
                  <wp:posOffset>1103630</wp:posOffset>
                </wp:positionH>
                <wp:positionV relativeFrom="paragraph">
                  <wp:posOffset>2518410</wp:posOffset>
                </wp:positionV>
                <wp:extent cx="762000" cy="295275"/>
                <wp:effectExtent l="0" t="0" r="0" b="0"/>
                <wp:wrapNone/>
                <wp:docPr id="78" name="文本框 78"/>
                <wp:cNvGraphicFramePr/>
                <a:graphic xmlns:a="http://schemas.openxmlformats.org/drawingml/2006/main">
                  <a:graphicData uri="http://schemas.microsoft.com/office/word/2010/wordprocessingShape">
                    <wps:wsp>
                      <wps:cNvSpPr txBox="1"/>
                      <wps:spPr>
                        <a:xfrm>
                          <a:off x="0" y="0"/>
                          <a:ext cx="762000" cy="2952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eastAsia" w:eastAsia="仿宋"/>
                                <w:b/>
                                <w:bCs/>
                                <w:color w:val="auto"/>
                                <w:lang w:val="en-US" w:eastAsia="zh-CN"/>
                              </w:rPr>
                            </w:pPr>
                            <w:r>
                              <w:rPr>
                                <w:rFonts w:hint="eastAsia"/>
                                <w:b/>
                                <w:bCs/>
                                <w:color w:val="auto"/>
                                <w:lang w:val="en-US" w:eastAsia="zh-CN"/>
                              </w:rPr>
                              <w:t>白河</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6.9pt;margin-top:198.3pt;height:23.25pt;width:60pt;z-index:251706368;mso-width-relative:page;mso-height-relative:page;" filled="f" stroked="f" coordsize="21600,21600" o:gfxdata="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&#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IR3v7DbAAAACwEAAA8AAAAAAAAAAQAgAAAAIgAAAGRy&#10;cy9kb3ducmV2LnhtbFBLAQIUABQAAAAIAIdO4kDWc4OLOwIAAGcEAAAOAAAAAAAAAAEAIAAAACoB&#10;AABkcnMvZTJvRG9jLnhtbFBLBQYAAAAABgAGAFkBAADXBQAAAAA=&#10;">
                <v:fill on="f" focussize="0,0"/>
                <v:stroke on="f" weight="0.5pt"/>
                <v:imagedata o:title=""/>
                <o:lock v:ext="edit" aspectratio="f"/>
                <v:textbox>
                  <w:txbxContent>
                    <w:p>
                      <w:pPr>
                        <w:ind w:left="0" w:leftChars="0" w:firstLine="0" w:firstLineChars="0"/>
                        <w:rPr>
                          <w:rFonts w:hint="eastAsia" w:eastAsia="仿宋"/>
                          <w:b/>
                          <w:bCs/>
                          <w:color w:val="auto"/>
                          <w:lang w:val="en-US" w:eastAsia="zh-CN"/>
                        </w:rPr>
                      </w:pPr>
                      <w:r>
                        <w:rPr>
                          <w:rFonts w:hint="eastAsia"/>
                          <w:b/>
                          <w:bCs/>
                          <w:color w:val="auto"/>
                          <w:lang w:val="en-US" w:eastAsia="zh-CN"/>
                        </w:rPr>
                        <w:t>白河</w:t>
                      </w:r>
                    </w:p>
                  </w:txbxContent>
                </v:textbox>
              </v:shape>
            </w:pict>
          </mc:Fallback>
        </mc:AlternateContent>
      </w:r>
      <w:r>
        <w:rPr>
          <w:rFonts w:hint="default" w:ascii="Times New Roman" w:hAnsi="Times New Roman" w:eastAsia="宋体" w:cs="Times New Roman"/>
          <w:sz w:val="28"/>
        </w:rPr>
        <mc:AlternateContent>
          <mc:Choice Requires="wps">
            <w:drawing>
              <wp:anchor distT="0" distB="0" distL="114300" distR="114300" simplePos="0" relativeHeight="251703296" behindDoc="0" locked="0" layoutInCell="1" allowOverlap="1">
                <wp:simplePos x="0" y="0"/>
                <wp:positionH relativeFrom="column">
                  <wp:posOffset>4975860</wp:posOffset>
                </wp:positionH>
                <wp:positionV relativeFrom="paragraph">
                  <wp:posOffset>212725</wp:posOffset>
                </wp:positionV>
                <wp:extent cx="885825" cy="342900"/>
                <wp:effectExtent l="0" t="0" r="0" b="0"/>
                <wp:wrapNone/>
                <wp:docPr id="77" name="文本框 77"/>
                <wp:cNvGraphicFramePr/>
                <a:graphic xmlns:a="http://schemas.openxmlformats.org/drawingml/2006/main">
                  <a:graphicData uri="http://schemas.microsoft.com/office/word/2010/wordprocessingShape">
                    <wps:wsp>
                      <wps:cNvSpPr txBox="1"/>
                      <wps:spPr>
                        <a:xfrm>
                          <a:off x="0" y="0"/>
                          <a:ext cx="885825" cy="342900"/>
                        </a:xfrm>
                        <a:prstGeom prst="wedgeRectCallout">
                          <a:avLst>
                            <a:gd name="adj1" fmla="val -64982"/>
                            <a:gd name="adj2" fmla="val -29074"/>
                          </a:avLst>
                        </a:prstGeom>
                        <a:noFill/>
                        <a:ln w="190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eastAsia" w:eastAsia="仿宋"/>
                                <w:b/>
                                <w:bCs/>
                                <w:color w:val="auto"/>
                                <w:sz w:val="20"/>
                                <w:szCs w:val="20"/>
                                <w:lang w:eastAsia="zh-CN"/>
                              </w:rPr>
                            </w:pPr>
                            <w:r>
                              <w:rPr>
                                <w:rFonts w:hint="eastAsia" w:cs="Times New Roman" w:eastAsiaTheme="minorEastAsia"/>
                                <w:b/>
                                <w:bCs/>
                                <w:sz w:val="21"/>
                                <w:szCs w:val="21"/>
                                <w:vertAlign w:val="baseline"/>
                                <w:lang w:val="en-US" w:eastAsia="zh-CN"/>
                              </w:rPr>
                              <w:t>红旗水库</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61" type="#_x0000_t61" style="position:absolute;left:0pt;margin-left:391.8pt;margin-top:16.75pt;height:27pt;width:69.75pt;z-index:251703296;mso-width-relative:page;mso-height-relative:page;" filled="f" stroked="f" coordsize="21600,21600" o:gfxdata="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EbJU0toAAAAJAQAADwAAAAAAAAABACAAAAAiAAAAZHJzL2Rvd25yZXYu&#10;eG1sUEsBAhQAFAAAAAgAh07iQJlNvDFrAgAAxwQAAA4AAAAAAAAAAQAgAAAAKQEAAGRycy9lMm9E&#10;b2MueG1sUEsFBgAAAAAGAAYAWQEAAAYGAAAAAA==&#10;" adj="-3236,4520">
                <v:fill on="f" focussize="0,0"/>
                <v:stroke on="f" weight="1.5pt"/>
                <v:imagedata o:title=""/>
                <o:lock v:ext="edit" aspectratio="f"/>
                <v:textbox>
                  <w:txbxContent>
                    <w:p>
                      <w:pPr>
                        <w:ind w:left="0" w:leftChars="0" w:firstLine="0" w:firstLineChars="0"/>
                        <w:rPr>
                          <w:rFonts w:hint="eastAsia" w:eastAsia="仿宋"/>
                          <w:b/>
                          <w:bCs/>
                          <w:color w:val="auto"/>
                          <w:sz w:val="20"/>
                          <w:szCs w:val="20"/>
                          <w:lang w:eastAsia="zh-CN"/>
                        </w:rPr>
                      </w:pPr>
                      <w:r>
                        <w:rPr>
                          <w:rFonts w:hint="eastAsia" w:cs="Times New Roman" w:eastAsiaTheme="minorEastAsia"/>
                          <w:b/>
                          <w:bCs/>
                          <w:sz w:val="21"/>
                          <w:szCs w:val="21"/>
                          <w:vertAlign w:val="baseline"/>
                          <w:lang w:val="en-US" w:eastAsia="zh-CN"/>
                        </w:rPr>
                        <w:t>红旗水库</w:t>
                      </w:r>
                    </w:p>
                  </w:txbxContent>
                </v:textbox>
              </v:shape>
            </w:pict>
          </mc:Fallback>
        </mc:AlternateContent>
      </w:r>
      <w:r>
        <w:rPr>
          <w:rFonts w:hint="default" w:ascii="Times New Roman" w:hAnsi="Times New Roman" w:eastAsia="宋体" w:cs="Times New Roman"/>
          <w:sz w:val="24"/>
        </w:rPr>
        <mc:AlternateContent>
          <mc:Choice Requires="wps">
            <w:drawing>
              <wp:anchor distT="0" distB="0" distL="114300" distR="114300" simplePos="0" relativeHeight="251702272" behindDoc="0" locked="0" layoutInCell="1" allowOverlap="1">
                <wp:simplePos x="0" y="0"/>
                <wp:positionH relativeFrom="column">
                  <wp:posOffset>4597400</wp:posOffset>
                </wp:positionH>
                <wp:positionV relativeFrom="paragraph">
                  <wp:posOffset>2779395</wp:posOffset>
                </wp:positionV>
                <wp:extent cx="1684655" cy="275590"/>
                <wp:effectExtent l="353695" t="456565" r="19050" b="10795"/>
                <wp:wrapNone/>
                <wp:docPr id="108" name="文本框 108"/>
                <wp:cNvGraphicFramePr/>
                <a:graphic xmlns:a="http://schemas.openxmlformats.org/drawingml/2006/main">
                  <a:graphicData uri="http://schemas.microsoft.com/office/word/2010/wordprocessingShape">
                    <wps:wsp>
                      <wps:cNvSpPr txBox="1"/>
                      <wps:spPr>
                        <a:xfrm>
                          <a:off x="0" y="0"/>
                          <a:ext cx="1684655" cy="275590"/>
                        </a:xfrm>
                        <a:prstGeom prst="wedgeRectCallout">
                          <a:avLst>
                            <a:gd name="adj1" fmla="val -70697"/>
                            <a:gd name="adj2" fmla="val -214055"/>
                          </a:avLst>
                        </a:prstGeom>
                        <a:noFill/>
                        <a:ln w="6350">
                          <a:solidFill>
                            <a:schemeClr val="tx1"/>
                          </a:solid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eastAsia"/>
                                <w:b/>
                                <w:bCs/>
                                <w:color w:val="auto"/>
                                <w:sz w:val="21"/>
                                <w:szCs w:val="21"/>
                                <w:lang w:val="en-US" w:eastAsia="zh-CN"/>
                              </w:rPr>
                            </w:pPr>
                            <w:r>
                              <w:rPr>
                                <w:rFonts w:hint="eastAsia"/>
                                <w:b/>
                                <w:bCs/>
                                <w:color w:val="auto"/>
                                <w:sz w:val="21"/>
                                <w:szCs w:val="21"/>
                                <w:lang w:val="en-US" w:eastAsia="zh-CN"/>
                              </w:rPr>
                              <w:t>祁东县渔陂污水处理厂</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61" type="#_x0000_t61" style="position:absolute;left:0pt;margin-left:362pt;margin-top:218.85pt;height:21.7pt;width:132.65pt;z-index:251702272;mso-width-relative:page;mso-height-relative:page;" filled="f" stroked="t" coordsize="21600,21600" o:gfxdata="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AAAAAZHJzL1BLAQIUABQAAAAIAIdO4kAuQUHR2wAAAAsBAAAPAAAAAAAA&#10;AAEAIAAAACIAAABkcnMvZG93bnJldi54bWxQSwECFAAUAAAACACHTuJA+s9E8IECAADzBAAADgAA&#10;AAAAAAABACAAAAAqAQAAZHJzL2Uyb0RvYy54bWxQSwUGAAAAAAYABgBZAQAAHQYAAAAA&#10;" adj="-4471,-35436">
                <v:fill on="f" focussize="0,0"/>
                <v:stroke weight="0.5pt" color="#000000 [3213]" joinstyle="round"/>
                <v:imagedata o:title=""/>
                <o:lock v:ext="edit" aspectratio="f"/>
                <v:textbox>
                  <w:txbxContent>
                    <w:p>
                      <w:pPr>
                        <w:ind w:left="0" w:leftChars="0" w:firstLine="0" w:firstLineChars="0"/>
                        <w:rPr>
                          <w:rFonts w:hint="eastAsia"/>
                          <w:b/>
                          <w:bCs/>
                          <w:color w:val="auto"/>
                          <w:sz w:val="21"/>
                          <w:szCs w:val="21"/>
                          <w:lang w:val="en-US" w:eastAsia="zh-CN"/>
                        </w:rPr>
                      </w:pPr>
                      <w:r>
                        <w:rPr>
                          <w:rFonts w:hint="eastAsia"/>
                          <w:b/>
                          <w:bCs/>
                          <w:color w:val="auto"/>
                          <w:sz w:val="21"/>
                          <w:szCs w:val="21"/>
                          <w:lang w:val="en-US" w:eastAsia="zh-CN"/>
                        </w:rPr>
                        <w:t>祁东县渔陂污水处理厂</w:t>
                      </w:r>
                    </w:p>
                  </w:txbxContent>
                </v:textbox>
              </v:shape>
            </w:pict>
          </mc:Fallback>
        </mc:AlternateContent>
      </w:r>
      <w:r>
        <w:rPr>
          <w:rFonts w:hint="default" w:ascii="Times New Roman" w:hAnsi="Times New Roman" w:eastAsia="宋体" w:cs="Times New Roman"/>
          <w:sz w:val="24"/>
        </w:rPr>
        <mc:AlternateContent>
          <mc:Choice Requires="wps">
            <w:drawing>
              <wp:anchor distT="0" distB="0" distL="114300" distR="114300" simplePos="0" relativeHeight="251701248" behindDoc="0" locked="0" layoutInCell="1" allowOverlap="1">
                <wp:simplePos x="0" y="0"/>
                <wp:positionH relativeFrom="column">
                  <wp:posOffset>6310630</wp:posOffset>
                </wp:positionH>
                <wp:positionV relativeFrom="paragraph">
                  <wp:posOffset>2042160</wp:posOffset>
                </wp:positionV>
                <wp:extent cx="1009650" cy="236855"/>
                <wp:effectExtent l="1567815" t="144780" r="13335" b="18415"/>
                <wp:wrapNone/>
                <wp:docPr id="117" name="文本框 117"/>
                <wp:cNvGraphicFramePr/>
                <a:graphic xmlns:a="http://schemas.openxmlformats.org/drawingml/2006/main">
                  <a:graphicData uri="http://schemas.microsoft.com/office/word/2010/wordprocessingShape">
                    <wps:wsp>
                      <wps:cNvSpPr txBox="1"/>
                      <wps:spPr>
                        <a:xfrm>
                          <a:off x="0" y="0"/>
                          <a:ext cx="1009650" cy="236855"/>
                        </a:xfrm>
                        <a:prstGeom prst="wedgeRectCallout">
                          <a:avLst>
                            <a:gd name="adj1" fmla="val -204803"/>
                            <a:gd name="adj2" fmla="val -109216"/>
                          </a:avLst>
                        </a:prstGeom>
                        <a:noFill/>
                        <a:ln w="6350">
                          <a:solidFill>
                            <a:schemeClr val="tx1"/>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val="0"/>
                              <w:spacing w:line="240" w:lineRule="exact"/>
                              <w:ind w:left="0" w:leftChars="0" w:firstLine="0" w:firstLineChars="0"/>
                              <w:textAlignment w:val="auto"/>
                              <w:rPr>
                                <w:rFonts w:hint="eastAsia" w:eastAsia="仿宋"/>
                                <w:b/>
                                <w:bCs/>
                                <w:color w:val="auto"/>
                                <w:sz w:val="21"/>
                                <w:szCs w:val="21"/>
                                <w:lang w:val="en-US" w:eastAsia="zh-CN"/>
                              </w:rPr>
                            </w:pPr>
                            <w:r>
                              <w:rPr>
                                <w:rFonts w:hint="eastAsia"/>
                                <w:b/>
                                <w:bCs/>
                                <w:color w:val="auto"/>
                                <w:sz w:val="21"/>
                                <w:szCs w:val="21"/>
                                <w:lang w:val="en-US" w:eastAsia="zh-CN"/>
                              </w:rPr>
                              <w:t>市政污水管网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61" type="#_x0000_t61" style="position:absolute;left:0pt;margin-left:496.9pt;margin-top:160.8pt;height:18.65pt;width:79.5pt;z-index:251701248;mso-width-relative:page;mso-height-relative:page;" filled="f" stroked="t" coordsize="21600,21600" o:gfxdata="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fwFhXNoAAAAMAQAADwAAAAAAAAAB&#10;ACAAAAAiAAAAZHJzL2Rvd25yZXYueG1sUEsBAhQAFAAAAAgAh07iQEIspGOAAgAA9AQAAA4AAAAA&#10;AAAAAQAgAAAAKQEAAGRycy9lMm9Eb2MueG1sUEsFBgAAAAAGAAYAWQEAABsGAAAAAA==&#10;" adj="-33437,-12791">
                <v:fill on="f" focussize="0,0"/>
                <v:stroke weight="0.5pt" color="#000000 [3213]" joinstyle="round"/>
                <v:imagedata o:title=""/>
                <o:lock v:ext="edit" aspectratio="f"/>
                <v:textbox>
                  <w:txbxContent>
                    <w:p>
                      <w:pPr>
                        <w:keepNext w:val="0"/>
                        <w:keepLines w:val="0"/>
                        <w:pageBreakBefore w:val="0"/>
                        <w:widowControl w:val="0"/>
                        <w:kinsoku/>
                        <w:wordWrap/>
                        <w:overflowPunct/>
                        <w:topLinePunct w:val="0"/>
                        <w:autoSpaceDE/>
                        <w:autoSpaceDN/>
                        <w:bidi w:val="0"/>
                        <w:adjustRightInd/>
                        <w:snapToGrid w:val="0"/>
                        <w:spacing w:line="240" w:lineRule="exact"/>
                        <w:ind w:left="0" w:leftChars="0" w:firstLine="0" w:firstLineChars="0"/>
                        <w:textAlignment w:val="auto"/>
                        <w:rPr>
                          <w:rFonts w:hint="eastAsia" w:eastAsia="仿宋"/>
                          <w:b/>
                          <w:bCs/>
                          <w:color w:val="auto"/>
                          <w:sz w:val="21"/>
                          <w:szCs w:val="21"/>
                          <w:lang w:val="en-US" w:eastAsia="zh-CN"/>
                        </w:rPr>
                      </w:pPr>
                      <w:r>
                        <w:rPr>
                          <w:rFonts w:hint="eastAsia"/>
                          <w:b/>
                          <w:bCs/>
                          <w:color w:val="auto"/>
                          <w:sz w:val="21"/>
                          <w:szCs w:val="21"/>
                          <w:lang w:val="en-US" w:eastAsia="zh-CN"/>
                        </w:rPr>
                        <w:t>市政污水管网</w:t>
                      </w:r>
                    </w:p>
                  </w:txbxContent>
                </v:textbox>
              </v:shape>
            </w:pict>
          </mc:Fallback>
        </mc:AlternateContent>
      </w:r>
      <w:r>
        <w:drawing>
          <wp:anchor distT="0" distB="0" distL="114300" distR="114300" simplePos="0" relativeHeight="251700224" behindDoc="0" locked="0" layoutInCell="1" allowOverlap="1">
            <wp:simplePos x="0" y="0"/>
            <wp:positionH relativeFrom="column">
              <wp:posOffset>3244850</wp:posOffset>
            </wp:positionH>
            <wp:positionV relativeFrom="paragraph">
              <wp:posOffset>770255</wp:posOffset>
            </wp:positionV>
            <wp:extent cx="288925" cy="242570"/>
            <wp:effectExtent l="12700" t="12700" r="22225" b="30480"/>
            <wp:wrapNone/>
            <wp:docPr id="85" name="图片 85" descr="16532819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1653281905(1)"/>
                    <pic:cNvPicPr>
                      <a:picLocks noChangeAspect="1"/>
                    </pic:cNvPicPr>
                  </pic:nvPicPr>
                  <pic:blipFill>
                    <a:blip r:embed="rId50"/>
                    <a:srcRect b="17500"/>
                    <a:stretch>
                      <a:fillRect/>
                    </a:stretch>
                  </pic:blipFill>
                  <pic:spPr>
                    <a:xfrm>
                      <a:off x="0" y="0"/>
                      <a:ext cx="288925" cy="242868"/>
                    </a:xfrm>
                    <a:prstGeom prst="rect">
                      <a:avLst/>
                    </a:prstGeom>
                    <a:ln w="12700">
                      <a:solidFill>
                        <a:schemeClr val="tx1"/>
                      </a:solidFill>
                    </a:ln>
                  </pic:spPr>
                </pic:pic>
              </a:graphicData>
            </a:graphic>
          </wp:anchor>
        </w:drawing>
      </w:r>
      <w:r>
        <w:rPr>
          <w:sz w:val="24"/>
        </w:rPr>
        <mc:AlternateContent>
          <mc:Choice Requires="wps">
            <w:drawing>
              <wp:anchor distT="0" distB="0" distL="114300" distR="114300" simplePos="0" relativeHeight="251699200" behindDoc="0" locked="0" layoutInCell="1" allowOverlap="1">
                <wp:simplePos x="0" y="0"/>
                <wp:positionH relativeFrom="column">
                  <wp:posOffset>3371850</wp:posOffset>
                </wp:positionH>
                <wp:positionV relativeFrom="paragraph">
                  <wp:posOffset>834390</wp:posOffset>
                </wp:positionV>
                <wp:extent cx="1421130" cy="1476375"/>
                <wp:effectExtent l="1905" t="9525" r="24765" b="19050"/>
                <wp:wrapNone/>
                <wp:docPr id="76" name="任意多边形 76"/>
                <wp:cNvGraphicFramePr/>
                <a:graphic xmlns:a="http://schemas.openxmlformats.org/drawingml/2006/main">
                  <a:graphicData uri="http://schemas.microsoft.com/office/word/2010/wordprocessingShape">
                    <wps:wsp>
                      <wps:cNvSpPr/>
                      <wps:spPr>
                        <a:xfrm>
                          <a:off x="4257675" y="2351405"/>
                          <a:ext cx="1421130" cy="1476375"/>
                        </a:xfrm>
                        <a:custGeom>
                          <a:avLst/>
                          <a:gdLst>
                            <a:gd name="connisteX0" fmla="*/ 0 w 1420952"/>
                            <a:gd name="connsiteY0" fmla="*/ 0 h 1476375"/>
                            <a:gd name="connisteX1" fmla="*/ 485775 w 1420952"/>
                            <a:gd name="connsiteY1" fmla="*/ 95250 h 1476375"/>
                            <a:gd name="connisteX2" fmla="*/ 1076325 w 1420952"/>
                            <a:gd name="connsiteY2" fmla="*/ 123825 h 1476375"/>
                            <a:gd name="connisteX3" fmla="*/ 1238250 w 1420952"/>
                            <a:gd name="connsiteY3" fmla="*/ 133350 h 1476375"/>
                            <a:gd name="connisteX4" fmla="*/ 1228725 w 1420952"/>
                            <a:gd name="connsiteY4" fmla="*/ 295275 h 1476375"/>
                            <a:gd name="connisteX5" fmla="*/ 1247775 w 1420952"/>
                            <a:gd name="connsiteY5" fmla="*/ 523875 h 1476375"/>
                            <a:gd name="connisteX6" fmla="*/ 1276350 w 1420952"/>
                            <a:gd name="connsiteY6" fmla="*/ 600075 h 1476375"/>
                            <a:gd name="connisteX7" fmla="*/ 1257300 w 1420952"/>
                            <a:gd name="connsiteY7" fmla="*/ 676275 h 1476375"/>
                            <a:gd name="connisteX8" fmla="*/ 1276350 w 1420952"/>
                            <a:gd name="connsiteY8" fmla="*/ 838200 h 1476375"/>
                            <a:gd name="connisteX9" fmla="*/ 1333500 w 1420952"/>
                            <a:gd name="connsiteY9" fmla="*/ 981075 h 1476375"/>
                            <a:gd name="connisteX10" fmla="*/ 1390650 w 1420952"/>
                            <a:gd name="connsiteY10" fmla="*/ 1190625 h 1476375"/>
                            <a:gd name="connisteX11" fmla="*/ 1419225 w 1420952"/>
                            <a:gd name="connsiteY11" fmla="*/ 1285875 h 1476375"/>
                            <a:gd name="connisteX12" fmla="*/ 1352550 w 1420952"/>
                            <a:gd name="connsiteY12" fmla="*/ 1323975 h 1476375"/>
                            <a:gd name="connisteX13" fmla="*/ 1295400 w 1420952"/>
                            <a:gd name="connsiteY13" fmla="*/ 1276350 h 1476375"/>
                            <a:gd name="connisteX14" fmla="*/ 1190625 w 1420952"/>
                            <a:gd name="connsiteY14" fmla="*/ 1276350 h 1476375"/>
                            <a:gd name="connisteX15" fmla="*/ 1047750 w 1420952"/>
                            <a:gd name="connsiteY15" fmla="*/ 1362075 h 1476375"/>
                            <a:gd name="connisteX16" fmla="*/ 942975 w 1420952"/>
                            <a:gd name="connsiteY16" fmla="*/ 1438275 h 1476375"/>
                            <a:gd name="connisteX17" fmla="*/ 904875 w 1420952"/>
                            <a:gd name="connsiteY17" fmla="*/ 1476375 h 147637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Lst>
                          <a:rect l="l" t="t" r="r" b="b"/>
                          <a:pathLst>
                            <a:path w="1420953" h="1476375">
                              <a:moveTo>
                                <a:pt x="0" y="0"/>
                              </a:moveTo>
                              <a:cubicBezTo>
                                <a:pt x="85090" y="18415"/>
                                <a:pt x="270510" y="70485"/>
                                <a:pt x="485775" y="95250"/>
                              </a:cubicBezTo>
                              <a:cubicBezTo>
                                <a:pt x="701040" y="120015"/>
                                <a:pt x="925830" y="116205"/>
                                <a:pt x="1076325" y="123825"/>
                              </a:cubicBezTo>
                              <a:cubicBezTo>
                                <a:pt x="1226820" y="131445"/>
                                <a:pt x="1207770" y="99060"/>
                                <a:pt x="1238250" y="133350"/>
                              </a:cubicBezTo>
                              <a:cubicBezTo>
                                <a:pt x="1268730" y="167640"/>
                                <a:pt x="1226820" y="217170"/>
                                <a:pt x="1228725" y="295275"/>
                              </a:cubicBezTo>
                              <a:cubicBezTo>
                                <a:pt x="1230630" y="373380"/>
                                <a:pt x="1238250" y="462915"/>
                                <a:pt x="1247775" y="523875"/>
                              </a:cubicBezTo>
                              <a:cubicBezTo>
                                <a:pt x="1257300" y="584835"/>
                                <a:pt x="1274445" y="569595"/>
                                <a:pt x="1276350" y="600075"/>
                              </a:cubicBezTo>
                              <a:cubicBezTo>
                                <a:pt x="1278255" y="630555"/>
                                <a:pt x="1257300" y="628650"/>
                                <a:pt x="1257300" y="676275"/>
                              </a:cubicBezTo>
                              <a:cubicBezTo>
                                <a:pt x="1257300" y="723900"/>
                                <a:pt x="1261110" y="777240"/>
                                <a:pt x="1276350" y="838200"/>
                              </a:cubicBezTo>
                              <a:cubicBezTo>
                                <a:pt x="1291590" y="899160"/>
                                <a:pt x="1310640" y="910590"/>
                                <a:pt x="1333500" y="981075"/>
                              </a:cubicBezTo>
                              <a:cubicBezTo>
                                <a:pt x="1356360" y="1051560"/>
                                <a:pt x="1373505" y="1129665"/>
                                <a:pt x="1390650" y="1190625"/>
                              </a:cubicBezTo>
                              <a:cubicBezTo>
                                <a:pt x="1407795" y="1251585"/>
                                <a:pt x="1426845" y="1259205"/>
                                <a:pt x="1419225" y="1285875"/>
                              </a:cubicBezTo>
                              <a:cubicBezTo>
                                <a:pt x="1411605" y="1312545"/>
                                <a:pt x="1377315" y="1325880"/>
                                <a:pt x="1352550" y="1323975"/>
                              </a:cubicBezTo>
                              <a:cubicBezTo>
                                <a:pt x="1327785" y="1322070"/>
                                <a:pt x="1327785" y="1285875"/>
                                <a:pt x="1295400" y="1276350"/>
                              </a:cubicBezTo>
                              <a:cubicBezTo>
                                <a:pt x="1263015" y="1266825"/>
                                <a:pt x="1240155" y="1259205"/>
                                <a:pt x="1190625" y="1276350"/>
                              </a:cubicBezTo>
                              <a:cubicBezTo>
                                <a:pt x="1141095" y="1293495"/>
                                <a:pt x="1097280" y="1329690"/>
                                <a:pt x="1047750" y="1362075"/>
                              </a:cubicBezTo>
                              <a:cubicBezTo>
                                <a:pt x="998220" y="1394460"/>
                                <a:pt x="971550" y="1415415"/>
                                <a:pt x="942975" y="1438275"/>
                              </a:cubicBezTo>
                              <a:cubicBezTo>
                                <a:pt x="914400" y="1461135"/>
                                <a:pt x="910590" y="1470025"/>
                                <a:pt x="904875" y="1476375"/>
                              </a:cubicBezTo>
                            </a:path>
                          </a:pathLst>
                        </a:custGeom>
                        <a:noFill/>
                        <a:ln w="190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265.5pt;margin-top:65.7pt;height:116.25pt;width:111.9pt;z-index:251699200;mso-width-relative:page;mso-height-relative:page;" filled="f" stroked="t" coordsize="1420953,1476375" o:gfxdata="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" path="m0,0c85090,18415,270510,70485,485775,95250c701040,120015,925830,116205,1076325,123825c1226820,131445,1207770,99060,1238250,133350c1268730,167640,1226820,217170,1228725,295275c1230630,373380,1238250,462915,1247775,523875c1257300,584835,1274445,569595,1276350,600075c1278255,630555,1257300,628650,1257300,676275c1257300,723900,1261110,777240,1276350,838200c1291590,899160,1310640,910590,1333500,981075c1356360,1051560,1373505,1129665,1390650,1190625c1407795,1251585,1426845,1259205,1419225,1285875c1411605,1312545,1377315,1325880,1352550,1323975c1327785,1322070,1327785,1285875,1295400,1276350c1263015,1266825,1240155,1259205,1190625,1276350c1141095,1293495,1097280,1329690,1047750,1362075c998220,1394460,971550,1415415,942975,1438275c914400,1461135,910590,1470025,904875,1476375e">
                <v:path o:connectlocs="0,0;485835,95250;1076459,123825;1238405,133350;1228878,295275;1247931,523875;1276509,600075;1257457,676275;1276509,838200;1333667,981075;1390824,1190625;1419402,1285875;1352719,1323975;1295562,1276350;1190774,1276350;1047881,1362075;943093,1438275;904988,1476375" o:connectangles="0,0,0,0,0,0,0,0,0,0,0,0,0,0,0,0,0,0"/>
                <v:fill on="f" focussize="0,0"/>
                <v:stroke weight="1.5pt" color="#FFFF00 [3204]" miterlimit="8" joinstyle="miter"/>
                <v:imagedata o:title=""/>
                <o:lock v:ext="edit" aspectratio="f"/>
              </v:shape>
            </w:pict>
          </mc:Fallback>
        </mc:AlternateContent>
      </w:r>
      <w:r>
        <w:rPr>
          <w:sz w:val="24"/>
        </w:rPr>
        <mc:AlternateContent>
          <mc:Choice Requires="wps">
            <w:drawing>
              <wp:anchor distT="0" distB="0" distL="114300" distR="114300" simplePos="0" relativeHeight="251697152" behindDoc="0" locked="0" layoutInCell="1" allowOverlap="1">
                <wp:simplePos x="0" y="0"/>
                <wp:positionH relativeFrom="column">
                  <wp:posOffset>4625975</wp:posOffset>
                </wp:positionH>
                <wp:positionV relativeFrom="paragraph">
                  <wp:posOffset>824865</wp:posOffset>
                </wp:positionV>
                <wp:extent cx="486410" cy="328930"/>
                <wp:effectExtent l="8255" t="12700" r="19685" b="20320"/>
                <wp:wrapNone/>
                <wp:docPr id="74" name="矩形 74"/>
                <wp:cNvGraphicFramePr/>
                <a:graphic xmlns:a="http://schemas.openxmlformats.org/drawingml/2006/main">
                  <a:graphicData uri="http://schemas.microsoft.com/office/word/2010/wordprocessingShape">
                    <wps:wsp>
                      <wps:cNvSpPr/>
                      <wps:spPr>
                        <a:xfrm rot="180000">
                          <a:off x="5715000" y="2390140"/>
                          <a:ext cx="486410" cy="328930"/>
                        </a:xfrm>
                        <a:prstGeom prst="rect">
                          <a:avLst/>
                        </a:prstGeom>
                        <a:solidFill>
                          <a:srgbClr val="3F564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64.25pt;margin-top:64.95pt;height:25.9pt;width:38.3pt;rotation:196608f;z-index:251697152;v-text-anchor:middle;mso-width-relative:page;mso-height-relative:page;" fillcolor="#3F5643" filled="t" stroked="f" coordsize="21600,21600" o:gfxdata="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KkMACTZAAAACwEAAA8AAAAAAAAAAQAg&#10;AAAAIgAAAGRycy9kb3ducmV2LnhtbFBLAQIUABQAAAAIAIdO4kCZxeixfwIAAOUEAAAOAAAAAAAA&#10;AAEAIAAAACgBAABkcnMvZTJvRG9jLnhtbFBLBQYAAAAABgAGAFkBAAAZBgAAAAA=&#10;">
                <v:fill on="t" focussize="0,0"/>
                <v:stroke on="f" weight="1pt" miterlimit="8" joinstyle="miter"/>
                <v:imagedata o:title=""/>
                <o:lock v:ext="edit" aspectratio="f"/>
              </v:rect>
            </w:pict>
          </mc:Fallback>
        </mc:AlternateContent>
      </w:r>
      <w:r>
        <w:rPr>
          <w:sz w:val="24"/>
        </w:rPr>
        <mc:AlternateContent>
          <mc:Choice Requires="wps">
            <w:drawing>
              <wp:anchor distT="0" distB="0" distL="114300" distR="114300" simplePos="0" relativeHeight="251698176" behindDoc="0" locked="0" layoutInCell="1" allowOverlap="1">
                <wp:simplePos x="0" y="0"/>
                <wp:positionH relativeFrom="column">
                  <wp:posOffset>5101590</wp:posOffset>
                </wp:positionH>
                <wp:positionV relativeFrom="paragraph">
                  <wp:posOffset>1570990</wp:posOffset>
                </wp:positionV>
                <wp:extent cx="123190" cy="76200"/>
                <wp:effectExtent l="1905" t="3175" r="8255" b="15875"/>
                <wp:wrapNone/>
                <wp:docPr id="75" name="矩形 75"/>
                <wp:cNvGraphicFramePr/>
                <a:graphic xmlns:a="http://schemas.openxmlformats.org/drawingml/2006/main">
                  <a:graphicData uri="http://schemas.microsoft.com/office/word/2010/wordprocessingShape">
                    <wps:wsp>
                      <wps:cNvSpPr/>
                      <wps:spPr>
                        <a:xfrm rot="180000">
                          <a:off x="0" y="0"/>
                          <a:ext cx="123190" cy="76200"/>
                        </a:xfrm>
                        <a:prstGeom prst="rect">
                          <a:avLst/>
                        </a:prstGeom>
                        <a:solidFill>
                          <a:srgbClr val="3F564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01.7pt;margin-top:123.7pt;height:6pt;width:9.7pt;rotation:196608f;z-index:251698176;v-text-anchor:middle;mso-width-relative:page;mso-height-relative:page;" fillcolor="#3F5643" filled="t" stroked="f" coordsize="21600,21600" o:gfxdata="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CLmFC82gAAAAsBAAAPAAAAAAAAAAEAIAAAACIAAABkcnMvZG93&#10;bnJldi54bWxQSwECFAAUAAAACACHTuJA7OdRrHACAADYBAAADgAAAAAAAAABACAAAAApAQAAZHJz&#10;L2Uyb0RvYy54bWxQSwUGAAAAAAYABgBZAQAACwYAAAAA&#10;">
                <v:fill on="t" focussize="0,0"/>
                <v:stroke on="f" weight="1pt" miterlimit="8" joinstyle="miter"/>
                <v:imagedata o:title=""/>
                <o:lock v:ext="edit" aspectratio="f"/>
              </v:rect>
            </w:pict>
          </mc:Fallback>
        </mc:AlternateContent>
      </w:r>
      <w:r>
        <w:rPr>
          <w:rFonts w:hint="default" w:ascii="Times New Roman" w:hAnsi="Times New Roman" w:eastAsia="宋体" w:cs="Times New Roman"/>
          <w:sz w:val="24"/>
        </w:rPr>
        <mc:AlternateContent>
          <mc:Choice Requires="wps">
            <w:drawing>
              <wp:anchor distT="0" distB="0" distL="114300" distR="114300" simplePos="0" relativeHeight="251704320" behindDoc="0" locked="0" layoutInCell="1" allowOverlap="1">
                <wp:simplePos x="0" y="0"/>
                <wp:positionH relativeFrom="column">
                  <wp:posOffset>4332605</wp:posOffset>
                </wp:positionH>
                <wp:positionV relativeFrom="paragraph">
                  <wp:posOffset>1022985</wp:posOffset>
                </wp:positionV>
                <wp:extent cx="314325" cy="1008380"/>
                <wp:effectExtent l="0" t="0" r="0" b="0"/>
                <wp:wrapNone/>
                <wp:docPr id="98" name="文本框 98"/>
                <wp:cNvGraphicFramePr/>
                <a:graphic xmlns:a="http://schemas.openxmlformats.org/drawingml/2006/main">
                  <a:graphicData uri="http://schemas.microsoft.com/office/word/2010/wordprocessingShape">
                    <wps:wsp>
                      <wps:cNvSpPr txBox="1"/>
                      <wps:spPr>
                        <a:xfrm>
                          <a:off x="0" y="0"/>
                          <a:ext cx="314325" cy="10083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val="0"/>
                              <w:spacing w:line="240" w:lineRule="exact"/>
                              <w:ind w:left="0" w:leftChars="0" w:firstLine="0" w:firstLineChars="0"/>
                              <w:textAlignment w:val="auto"/>
                              <w:rPr>
                                <w:rFonts w:hint="eastAsia" w:eastAsia="仿宋"/>
                                <w:b/>
                                <w:bCs/>
                                <w:color w:val="auto"/>
                                <w:sz w:val="21"/>
                                <w:szCs w:val="21"/>
                                <w:lang w:val="en-US" w:eastAsia="zh-CN"/>
                              </w:rPr>
                            </w:pPr>
                            <w:r>
                              <w:rPr>
                                <w:rFonts w:hint="eastAsia"/>
                                <w:b/>
                                <w:bCs/>
                                <w:color w:val="auto"/>
                                <w:sz w:val="21"/>
                                <w:szCs w:val="21"/>
                                <w:lang w:val="en-US" w:eastAsia="zh-CN"/>
                              </w:rPr>
                              <w:t>洪桥小溪</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1.15pt;margin-top:80.55pt;height:79.4pt;width:24.75pt;z-index:251704320;mso-width-relative:page;mso-height-relative:page;" filled="f" stroked="f" coordsize="21600,21600" o:gfxdata="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C717oE2wAAAAsBAAAPAAAAAAAAAAEAIAAAACIA&#10;AABkcnMvZG93bnJldi54bWxQSwECFAAUAAAACACHTuJAL4Lepj8CAABoBAAADgAAAAAAAAABACAA&#10;AAAqAQAAZHJzL2Uyb0RvYy54bWxQSwUGAAAAAAYABgBZAQAA2wU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val="0"/>
                        <w:spacing w:line="240" w:lineRule="exact"/>
                        <w:ind w:left="0" w:leftChars="0" w:firstLine="0" w:firstLineChars="0"/>
                        <w:textAlignment w:val="auto"/>
                        <w:rPr>
                          <w:rFonts w:hint="eastAsia" w:eastAsia="仿宋"/>
                          <w:b/>
                          <w:bCs/>
                          <w:color w:val="auto"/>
                          <w:sz w:val="21"/>
                          <w:szCs w:val="21"/>
                          <w:lang w:val="en-US" w:eastAsia="zh-CN"/>
                        </w:rPr>
                      </w:pPr>
                      <w:r>
                        <w:rPr>
                          <w:rFonts w:hint="eastAsia"/>
                          <w:b/>
                          <w:bCs/>
                          <w:color w:val="auto"/>
                          <w:sz w:val="21"/>
                          <w:szCs w:val="21"/>
                          <w:lang w:val="en-US" w:eastAsia="zh-CN"/>
                        </w:rPr>
                        <w:t>洪桥小溪</w:t>
                      </w:r>
                    </w:p>
                  </w:txbxContent>
                </v:textbox>
              </v:shape>
            </w:pict>
          </mc:Fallback>
        </mc:AlternateContent>
      </w:r>
      <w:r>
        <w:rPr>
          <w:rFonts w:hint="default" w:ascii="Times New Roman" w:hAnsi="Times New Roman" w:eastAsia="宋体" w:cs="Times New Roman"/>
          <w:sz w:val="24"/>
        </w:rPr>
        <mc:AlternateContent>
          <mc:Choice Requires="wps">
            <w:drawing>
              <wp:anchor distT="0" distB="0" distL="114300" distR="114300" simplePos="0" relativeHeight="251705344" behindDoc="0" locked="0" layoutInCell="1" allowOverlap="1">
                <wp:simplePos x="0" y="0"/>
                <wp:positionH relativeFrom="column">
                  <wp:posOffset>4770755</wp:posOffset>
                </wp:positionH>
                <wp:positionV relativeFrom="paragraph">
                  <wp:posOffset>3585210</wp:posOffset>
                </wp:positionV>
                <wp:extent cx="762000" cy="295275"/>
                <wp:effectExtent l="0" t="0" r="0" b="0"/>
                <wp:wrapNone/>
                <wp:docPr id="94" name="文本框 94"/>
                <wp:cNvGraphicFramePr/>
                <a:graphic xmlns:a="http://schemas.openxmlformats.org/drawingml/2006/main">
                  <a:graphicData uri="http://schemas.microsoft.com/office/word/2010/wordprocessingShape">
                    <wps:wsp>
                      <wps:cNvSpPr txBox="1"/>
                      <wps:spPr>
                        <a:xfrm>
                          <a:off x="0" y="0"/>
                          <a:ext cx="762000" cy="2952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eastAsia" w:eastAsia="仿宋"/>
                                <w:b/>
                                <w:bCs/>
                                <w:color w:val="auto"/>
                                <w:lang w:val="en-US" w:eastAsia="zh-CN"/>
                              </w:rPr>
                            </w:pPr>
                            <w:r>
                              <w:rPr>
                                <w:rFonts w:hint="eastAsia"/>
                                <w:b/>
                                <w:bCs/>
                                <w:color w:val="auto"/>
                                <w:lang w:val="en-US" w:eastAsia="zh-CN"/>
                              </w:rPr>
                              <w:t>白河</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75.65pt;margin-top:282.3pt;height:23.25pt;width:60pt;z-index:251705344;mso-width-relative:page;mso-height-relative:page;" filled="f" stroked="f" coordsize="21600,21600" o:gfxdata="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Ec+OB3AAAAAsBAAAPAAAAAAAAAAEAIAAAACIAAABk&#10;cnMvZG93bnJldi54bWxQSwECFAAUAAAACACHTuJAOr0xuTsCAABnBAAADgAAAAAAAAABACAAAAAr&#10;AQAAZHJzL2Uyb0RvYy54bWxQSwUGAAAAAAYABgBZAQAA2AUAAAAA&#10;">
                <v:fill on="f" focussize="0,0"/>
                <v:stroke on="f" weight="0.5pt"/>
                <v:imagedata o:title=""/>
                <o:lock v:ext="edit" aspectratio="f"/>
                <v:textbox>
                  <w:txbxContent>
                    <w:p>
                      <w:pPr>
                        <w:ind w:left="0" w:leftChars="0" w:firstLine="0" w:firstLineChars="0"/>
                        <w:rPr>
                          <w:rFonts w:hint="eastAsia" w:eastAsia="仿宋"/>
                          <w:b/>
                          <w:bCs/>
                          <w:color w:val="auto"/>
                          <w:lang w:val="en-US" w:eastAsia="zh-CN"/>
                        </w:rPr>
                      </w:pPr>
                      <w:r>
                        <w:rPr>
                          <w:rFonts w:hint="eastAsia"/>
                          <w:b/>
                          <w:bCs/>
                          <w:color w:val="auto"/>
                          <w:lang w:val="en-US" w:eastAsia="zh-CN"/>
                        </w:rPr>
                        <w:t>白河</w:t>
                      </w:r>
                    </w:p>
                  </w:txbxContent>
                </v:textbox>
              </v:shape>
            </w:pict>
          </mc:Fallback>
        </mc:AlternateContent>
      </w:r>
      <w:r>
        <w:rPr>
          <w:rFonts w:hint="default" w:ascii="Times New Roman" w:hAnsi="Times New Roman" w:eastAsia="宋体" w:cs="Times New Roman"/>
          <w:lang w:val="en-US" w:eastAsia="zh-CN"/>
        </w:rPr>
        <w:drawing>
          <wp:inline distT="0" distB="0" distL="114300" distR="114300">
            <wp:extent cx="8863330" cy="4725670"/>
            <wp:effectExtent l="0" t="0" r="13970" b="17780"/>
            <wp:docPr id="104" name="图片 104" descr="屏幕截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屏幕截图"/>
                    <pic:cNvPicPr>
                      <a:picLocks noChangeAspect="1"/>
                    </pic:cNvPicPr>
                  </pic:nvPicPr>
                  <pic:blipFill>
                    <a:blip r:embed="rId52"/>
                    <a:srcRect t="3640"/>
                    <a:stretch>
                      <a:fillRect/>
                    </a:stretch>
                  </pic:blipFill>
                  <pic:spPr>
                    <a:xfrm>
                      <a:off x="0" y="0"/>
                      <a:ext cx="8863330" cy="4725670"/>
                    </a:xfrm>
                    <a:prstGeom prst="rect">
                      <a:avLst/>
                    </a:prstGeom>
                  </pic:spPr>
                </pic:pic>
              </a:graphicData>
            </a:graphic>
          </wp:inline>
        </w:drawing>
      </w:r>
    </w:p>
    <w:p>
      <w:pPr>
        <w:pStyle w:val="8"/>
        <w:bidi w:val="0"/>
        <w:rPr>
          <w:rFonts w:hint="default"/>
        </w:rPr>
      </w:pPr>
      <w:bookmarkStart w:id="272" w:name="_Toc16123"/>
      <w:bookmarkStart w:id="273" w:name="_Toc6276"/>
      <w:bookmarkStart w:id="274" w:name="_Toc27551"/>
      <w:bookmarkStart w:id="275" w:name="_Toc21027"/>
      <w:r>
        <w:rPr>
          <w:rFonts w:hint="default" w:ascii="Times New Roman" w:hAnsi="Times New Roman" w:eastAsia="宋体" w:cs="Times New Roman"/>
          <w:color w:val="000000"/>
          <w:kern w:val="0"/>
          <w:sz w:val="24"/>
          <w:szCs w:val="24"/>
        </w:rPr>
        <w:drawing>
          <wp:anchor distT="0" distB="0" distL="114300" distR="114300" simplePos="0" relativeHeight="251712512" behindDoc="0" locked="0" layoutInCell="1" allowOverlap="1">
            <wp:simplePos x="0" y="0"/>
            <wp:positionH relativeFrom="column">
              <wp:posOffset>31115</wp:posOffset>
            </wp:positionH>
            <wp:positionV relativeFrom="paragraph">
              <wp:posOffset>7260590</wp:posOffset>
            </wp:positionV>
            <wp:extent cx="636270" cy="347980"/>
            <wp:effectExtent l="0" t="0" r="11430" b="13970"/>
            <wp:wrapNone/>
            <wp:docPr id="8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9"/>
                    <pic:cNvPicPr>
                      <a:picLocks noChangeAspect="1"/>
                    </pic:cNvPicPr>
                  </pic:nvPicPr>
                  <pic:blipFill>
                    <a:blip r:embed="rId53"/>
                    <a:stretch>
                      <a:fillRect/>
                    </a:stretch>
                  </pic:blipFill>
                  <pic:spPr>
                    <a:xfrm>
                      <a:off x="0" y="0"/>
                      <a:ext cx="636270" cy="347980"/>
                    </a:xfrm>
                    <a:prstGeom prst="rect">
                      <a:avLst/>
                    </a:prstGeom>
                    <a:noFill/>
                    <a:ln w="9525">
                      <a:noFill/>
                    </a:ln>
                  </pic:spPr>
                </pic:pic>
              </a:graphicData>
            </a:graphic>
          </wp:anchor>
        </w:drawing>
      </w:r>
      <w:r>
        <w:rPr>
          <w:rFonts w:hint="default" w:ascii="Times New Roman" w:hAnsi="Times New Roman" w:eastAsia="宋体" w:cs="Times New Roman"/>
          <w:color w:val="000000"/>
          <w:kern w:val="0"/>
          <w:sz w:val="24"/>
          <w:szCs w:val="24"/>
        </w:rPr>
        <mc:AlternateContent>
          <mc:Choice Requires="wps">
            <w:drawing>
              <wp:anchor distT="0" distB="0" distL="114300" distR="114300" simplePos="0" relativeHeight="251711488" behindDoc="0" locked="0" layoutInCell="1" allowOverlap="1">
                <wp:simplePos x="0" y="0"/>
                <wp:positionH relativeFrom="column">
                  <wp:posOffset>4718050</wp:posOffset>
                </wp:positionH>
                <wp:positionV relativeFrom="paragraph">
                  <wp:posOffset>6878320</wp:posOffset>
                </wp:positionV>
                <wp:extent cx="130810" cy="326390"/>
                <wp:effectExtent l="13335" t="0" r="8255" b="16510"/>
                <wp:wrapNone/>
                <wp:docPr id="86" name="直接箭头连接符 86"/>
                <wp:cNvGraphicFramePr/>
                <a:graphic xmlns:a="http://schemas.openxmlformats.org/drawingml/2006/main">
                  <a:graphicData uri="http://schemas.microsoft.com/office/word/2010/wordprocessingShape">
                    <wps:wsp>
                      <wps:cNvCnPr/>
                      <wps:spPr>
                        <a:xfrm flipV="1">
                          <a:off x="0" y="0"/>
                          <a:ext cx="130810" cy="326390"/>
                        </a:xfrm>
                        <a:prstGeom prst="straightConnector1">
                          <a:avLst/>
                        </a:prstGeom>
                        <a:ln w="28575" cap="flat" cmpd="sng">
                          <a:solidFill>
                            <a:srgbClr val="FF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flip:y;margin-left:371.5pt;margin-top:541.6pt;height:25.7pt;width:10.3pt;z-index:251711488;mso-width-relative:page;mso-height-relative:page;" filled="f" stroked="t" coordsize="21600,21600" o:gfxdata="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BhtsxvcAAAADQEA&#10;AA8AAAAAAAAAAQAgAAAAIgAAAGRycy9kb3ducmV2LnhtbFBLAQIUABQAAAAIAIdO4kBkFtTtFgIA&#10;AAEEAAAOAAAAAAAAAAEAIAAAACsBAABkcnMvZTJvRG9jLnhtbFBLBQYAAAAABgAGAFkBAACzBQAA&#10;AAA=&#10;">
                <v:fill on="f" focussize="0,0"/>
                <v:stroke weight="2.25pt" color="#FF0000" joinstyle="round" endarrow="block"/>
                <v:imagedata o:title=""/>
                <o:lock v:ext="edit" aspectratio="f"/>
              </v:shape>
            </w:pict>
          </mc:Fallback>
        </mc:AlternateContent>
      </w:r>
      <w:r>
        <w:rPr>
          <w:rFonts w:hint="default"/>
          <w:lang w:val="en-US" w:eastAsia="zh-CN"/>
        </w:rPr>
        <w:t>附图</w:t>
      </w:r>
      <w:r>
        <w:rPr>
          <w:rFonts w:hint="eastAsia"/>
          <w:lang w:val="en-US" w:eastAsia="zh-CN"/>
        </w:rPr>
        <w:t>8</w:t>
      </w:r>
      <w:r>
        <w:rPr>
          <w:rFonts w:hint="default"/>
        </w:rPr>
        <w:t>衡阳市环境管控单元图</w:t>
      </w:r>
      <w:bookmarkEnd w:id="272"/>
      <w:bookmarkEnd w:id="273"/>
      <w:bookmarkEnd w:id="274"/>
      <w:bookmarkEnd w:id="275"/>
    </w:p>
    <w:p>
      <w:pPr>
        <w:pStyle w:val="2"/>
        <w:rPr>
          <w:rFonts w:hint="eastAsia"/>
          <w:lang w:val="en-US" w:eastAsia="zh-CN"/>
        </w:rPr>
        <w:sectPr>
          <w:pgSz w:w="16838" w:h="11906" w:orient="landscape"/>
          <w:pgMar w:top="1800" w:right="1440" w:bottom="1800" w:left="1440" w:header="851" w:footer="851" w:gutter="0"/>
          <w:pgNumType w:fmt="decimal"/>
          <w:cols w:space="720" w:num="1"/>
          <w:docGrid w:linePitch="312" w:charSpace="0"/>
        </w:sectPr>
      </w:pPr>
      <w:r>
        <w:drawing>
          <wp:anchor distT="0" distB="0" distL="114300" distR="114300" simplePos="0" relativeHeight="251718656" behindDoc="0" locked="0" layoutInCell="1" allowOverlap="1">
            <wp:simplePos x="0" y="0"/>
            <wp:positionH relativeFrom="column">
              <wp:posOffset>7648575</wp:posOffset>
            </wp:positionH>
            <wp:positionV relativeFrom="paragraph">
              <wp:posOffset>59055</wp:posOffset>
            </wp:positionV>
            <wp:extent cx="904875" cy="923925"/>
            <wp:effectExtent l="0" t="0" r="9525" b="9525"/>
            <wp:wrapNone/>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pic:cNvPicPr>
                  </pic:nvPicPr>
                  <pic:blipFill>
                    <a:blip r:embed="rId40"/>
                    <a:stretch>
                      <a:fillRect/>
                    </a:stretch>
                  </pic:blipFill>
                  <pic:spPr>
                    <a:xfrm>
                      <a:off x="0" y="0"/>
                      <a:ext cx="904875" cy="923925"/>
                    </a:xfrm>
                    <a:prstGeom prst="rect">
                      <a:avLst/>
                    </a:prstGeom>
                    <a:noFill/>
                    <a:ln>
                      <a:noFill/>
                    </a:ln>
                  </pic:spPr>
                </pic:pic>
              </a:graphicData>
            </a:graphic>
          </wp:anchor>
        </w:drawing>
      </w:r>
      <w:r>
        <w:rPr>
          <w:rFonts w:hint="default" w:ascii="Times New Roman" w:hAnsi="Times New Roman" w:eastAsia="宋体" w:cs="Times New Roman"/>
          <w:sz w:val="28"/>
        </w:rPr>
        <mc:AlternateContent>
          <mc:Choice Requires="wps">
            <w:drawing>
              <wp:anchor distT="0" distB="0" distL="114300" distR="114300" simplePos="0" relativeHeight="251715584" behindDoc="0" locked="0" layoutInCell="1" allowOverlap="1">
                <wp:simplePos x="0" y="0"/>
                <wp:positionH relativeFrom="column">
                  <wp:posOffset>2815590</wp:posOffset>
                </wp:positionH>
                <wp:positionV relativeFrom="paragraph">
                  <wp:posOffset>983615</wp:posOffset>
                </wp:positionV>
                <wp:extent cx="885825" cy="342900"/>
                <wp:effectExtent l="9525" t="9525" r="19050" b="1076325"/>
                <wp:wrapNone/>
                <wp:docPr id="93" name="文本框 93"/>
                <wp:cNvGraphicFramePr/>
                <a:graphic xmlns:a="http://schemas.openxmlformats.org/drawingml/2006/main">
                  <a:graphicData uri="http://schemas.microsoft.com/office/word/2010/wordprocessingShape">
                    <wps:wsp>
                      <wps:cNvSpPr txBox="1"/>
                      <wps:spPr>
                        <a:xfrm>
                          <a:off x="0" y="0"/>
                          <a:ext cx="885825" cy="342900"/>
                        </a:xfrm>
                        <a:prstGeom prst="wedgeRectCallout">
                          <a:avLst>
                            <a:gd name="adj1" fmla="val -25412"/>
                            <a:gd name="adj2" fmla="val 356851"/>
                          </a:avLst>
                        </a:prstGeom>
                        <a:noFill/>
                        <a:ln w="19050">
                          <a:solidFill>
                            <a:srgbClr val="FF0000"/>
                          </a:solid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eastAsia" w:eastAsia="仿宋"/>
                                <w:b/>
                                <w:bCs/>
                                <w:color w:val="FF0000"/>
                                <w:sz w:val="20"/>
                                <w:szCs w:val="20"/>
                                <w:lang w:val="en-US" w:eastAsia="zh-CN"/>
                              </w:rPr>
                            </w:pPr>
                            <w:r>
                              <w:rPr>
                                <w:rFonts w:hint="eastAsia" w:cs="Times New Roman" w:eastAsiaTheme="minorEastAsia"/>
                                <w:b/>
                                <w:bCs/>
                                <w:color w:val="FF0000"/>
                                <w:sz w:val="21"/>
                                <w:szCs w:val="21"/>
                                <w:vertAlign w:val="baseline"/>
                                <w:lang w:val="en-US" w:eastAsia="zh-CN"/>
                              </w:rPr>
                              <w:t>项目拟建地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61" type="#_x0000_t61" style="position:absolute;left:0pt;margin-left:221.7pt;margin-top:77.45pt;height:27pt;width:69.75pt;z-index:251715584;mso-width-relative:page;mso-height-relative:page;" filled="f" stroked="t" coordsize="21600,21600" o:gfxdata="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" adj="5311,87880">
                <v:fill on="f" focussize="0,0"/>
                <v:stroke weight="1.5pt" color="#FF0000 [3204]" joinstyle="round"/>
                <v:imagedata o:title=""/>
                <o:lock v:ext="edit" aspectratio="f"/>
                <v:textbox>
                  <w:txbxContent>
                    <w:p>
                      <w:pPr>
                        <w:ind w:left="0" w:leftChars="0" w:firstLine="0" w:firstLineChars="0"/>
                        <w:rPr>
                          <w:rFonts w:hint="eastAsia" w:eastAsia="仿宋"/>
                          <w:b/>
                          <w:bCs/>
                          <w:color w:val="FF0000"/>
                          <w:sz w:val="20"/>
                          <w:szCs w:val="20"/>
                          <w:lang w:val="en-US" w:eastAsia="zh-CN"/>
                        </w:rPr>
                      </w:pPr>
                      <w:r>
                        <w:rPr>
                          <w:rFonts w:hint="eastAsia" w:cs="Times New Roman" w:eastAsiaTheme="minorEastAsia"/>
                          <w:b/>
                          <w:bCs/>
                          <w:color w:val="FF0000"/>
                          <w:sz w:val="21"/>
                          <w:szCs w:val="21"/>
                          <w:vertAlign w:val="baseline"/>
                          <w:lang w:val="en-US" w:eastAsia="zh-CN"/>
                        </w:rPr>
                        <w:t>项目拟建地</w:t>
                      </w:r>
                    </w:p>
                  </w:txbxContent>
                </v:textbox>
              </v:shape>
            </w:pict>
          </mc:Fallback>
        </mc:AlternateContent>
      </w:r>
      <w:r>
        <w:rPr>
          <w:rFonts w:hint="default" w:ascii="Times New Roman" w:hAnsi="Times New Roman" w:eastAsia="宋体" w:cs="Times New Roman"/>
          <w:sz w:val="28"/>
        </w:rPr>
        <mc:AlternateContent>
          <mc:Choice Requires="wps">
            <w:drawing>
              <wp:anchor distT="0" distB="0" distL="114300" distR="114300" simplePos="0" relativeHeight="251714560" behindDoc="0" locked="0" layoutInCell="1" allowOverlap="1">
                <wp:simplePos x="0" y="0"/>
                <wp:positionH relativeFrom="column">
                  <wp:posOffset>1432560</wp:posOffset>
                </wp:positionH>
                <wp:positionV relativeFrom="paragraph">
                  <wp:posOffset>146050</wp:posOffset>
                </wp:positionV>
                <wp:extent cx="885825" cy="342900"/>
                <wp:effectExtent l="784225" t="9525" r="25400" b="390525"/>
                <wp:wrapNone/>
                <wp:docPr id="90" name="文本框 90"/>
                <wp:cNvGraphicFramePr/>
                <a:graphic xmlns:a="http://schemas.openxmlformats.org/drawingml/2006/main">
                  <a:graphicData uri="http://schemas.microsoft.com/office/word/2010/wordprocessingShape">
                    <wps:wsp>
                      <wps:cNvSpPr txBox="1"/>
                      <wps:spPr>
                        <a:xfrm>
                          <a:off x="0" y="0"/>
                          <a:ext cx="885825" cy="342900"/>
                        </a:xfrm>
                        <a:prstGeom prst="wedgeRectCallout">
                          <a:avLst>
                            <a:gd name="adj1" fmla="val -137455"/>
                            <a:gd name="adj2" fmla="val 156851"/>
                          </a:avLst>
                        </a:prstGeom>
                        <a:noFill/>
                        <a:ln w="19050">
                          <a:solidFill>
                            <a:srgbClr val="FF0000"/>
                          </a:solid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eastAsia" w:eastAsia="仿宋"/>
                                <w:b/>
                                <w:bCs/>
                                <w:color w:val="FF0000"/>
                                <w:sz w:val="20"/>
                                <w:szCs w:val="20"/>
                                <w:lang w:val="en-US" w:eastAsia="zh-CN"/>
                              </w:rPr>
                            </w:pPr>
                            <w:r>
                              <w:rPr>
                                <w:rFonts w:hint="eastAsia" w:cs="Times New Roman" w:eastAsiaTheme="minorEastAsia"/>
                                <w:b/>
                                <w:bCs/>
                                <w:color w:val="FF0000"/>
                                <w:sz w:val="21"/>
                                <w:szCs w:val="21"/>
                                <w:vertAlign w:val="baseline"/>
                                <w:lang w:val="en-US" w:eastAsia="zh-CN"/>
                              </w:rPr>
                              <w:t>项目拟建地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61" type="#_x0000_t61" style="position:absolute;left:0pt;margin-left:112.8pt;margin-top:11.5pt;height:27pt;width:69.75pt;z-index:251714560;mso-width-relative:page;mso-height-relative:page;" filled="f" stroked="t" coordsize="21600,21600" o:gfxdata="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" adj="-18890,44680">
                <v:fill on="f" focussize="0,0"/>
                <v:stroke weight="1.5pt" color="#FF0000 [3204]" joinstyle="round"/>
                <v:imagedata o:title=""/>
                <o:lock v:ext="edit" aspectratio="f"/>
                <v:textbox>
                  <w:txbxContent>
                    <w:p>
                      <w:pPr>
                        <w:ind w:left="0" w:leftChars="0" w:firstLine="0" w:firstLineChars="0"/>
                        <w:rPr>
                          <w:rFonts w:hint="eastAsia" w:eastAsia="仿宋"/>
                          <w:b/>
                          <w:bCs/>
                          <w:color w:val="FF0000"/>
                          <w:sz w:val="20"/>
                          <w:szCs w:val="20"/>
                          <w:lang w:val="en-US" w:eastAsia="zh-CN"/>
                        </w:rPr>
                      </w:pPr>
                      <w:r>
                        <w:rPr>
                          <w:rFonts w:hint="eastAsia" w:cs="Times New Roman" w:eastAsiaTheme="minorEastAsia"/>
                          <w:b/>
                          <w:bCs/>
                          <w:color w:val="FF0000"/>
                          <w:sz w:val="21"/>
                          <w:szCs w:val="21"/>
                          <w:vertAlign w:val="baseline"/>
                          <w:lang w:val="en-US" w:eastAsia="zh-CN"/>
                        </w:rPr>
                        <w:t>项目拟建地</w:t>
                      </w:r>
                    </w:p>
                  </w:txbxContent>
                </v:textbox>
              </v:shape>
            </w:pict>
          </mc:Fallback>
        </mc:AlternateContent>
      </w:r>
      <w:r>
        <w:rPr>
          <w:rFonts w:hint="default" w:ascii="Times New Roman" w:hAnsi="Times New Roman" w:eastAsia="宋体" w:cs="Times New Roman"/>
          <w:lang w:eastAsia="zh-CN"/>
        </w:rPr>
        <w:drawing>
          <wp:inline distT="0" distB="0" distL="114300" distR="114300">
            <wp:extent cx="8655050" cy="4632960"/>
            <wp:effectExtent l="0" t="0" r="12700" b="15240"/>
            <wp:docPr id="87" name="图片 87" descr="20210104100346530vrq79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20210104100346530vrq79v"/>
                    <pic:cNvPicPr>
                      <a:picLocks noChangeAspect="1"/>
                    </pic:cNvPicPr>
                  </pic:nvPicPr>
                  <pic:blipFill>
                    <a:blip r:embed="rId54"/>
                    <a:stretch>
                      <a:fillRect/>
                    </a:stretch>
                  </pic:blipFill>
                  <pic:spPr>
                    <a:xfrm>
                      <a:off x="0" y="0"/>
                      <a:ext cx="8655050" cy="4632960"/>
                    </a:xfrm>
                    <a:prstGeom prst="rect">
                      <a:avLst/>
                    </a:prstGeom>
                  </pic:spPr>
                </pic:pic>
              </a:graphicData>
            </a:graphic>
          </wp:inline>
        </w:drawing>
      </w:r>
      <w:r>
        <w:rPr>
          <w:rFonts w:hint="default" w:ascii="Times New Roman" w:hAnsi="Times New Roman" w:eastAsia="宋体" w:cs="Times New Roman"/>
          <w:lang w:val="en-US" w:eastAsia="zh-CN"/>
        </w:rPr>
        <w:drawing>
          <wp:anchor distT="0" distB="0" distL="114935" distR="114935" simplePos="0" relativeHeight="251713536" behindDoc="0" locked="0" layoutInCell="1" allowOverlap="1">
            <wp:simplePos x="0" y="0"/>
            <wp:positionH relativeFrom="column">
              <wp:posOffset>123825</wp:posOffset>
            </wp:positionH>
            <wp:positionV relativeFrom="paragraph">
              <wp:posOffset>21590</wp:posOffset>
            </wp:positionV>
            <wp:extent cx="1242060" cy="1228090"/>
            <wp:effectExtent l="19050" t="19050" r="34290" b="29210"/>
            <wp:wrapNone/>
            <wp:docPr id="88" name="图片 88" descr="16530187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1653018732(1)"/>
                    <pic:cNvPicPr>
                      <a:picLocks noChangeAspect="1"/>
                    </pic:cNvPicPr>
                  </pic:nvPicPr>
                  <pic:blipFill>
                    <a:blip r:embed="rId55"/>
                    <a:stretch>
                      <a:fillRect/>
                    </a:stretch>
                  </pic:blipFill>
                  <pic:spPr>
                    <a:xfrm>
                      <a:off x="0" y="0"/>
                      <a:ext cx="1242060" cy="1228090"/>
                    </a:xfrm>
                    <a:prstGeom prst="rect">
                      <a:avLst/>
                    </a:prstGeom>
                    <a:ln w="19050">
                      <a:solidFill>
                        <a:schemeClr val="tx1"/>
                      </a:solidFill>
                    </a:ln>
                  </pic:spPr>
                </pic:pic>
              </a:graphicData>
            </a:graphic>
          </wp:anchor>
        </w:drawing>
      </w:r>
    </w:p>
    <w:p>
      <w:pPr>
        <w:pStyle w:val="8"/>
        <w:rPr>
          <w:rFonts w:hint="default" w:ascii="Times New Roman" w:hAnsi="Times New Roman" w:eastAsia="宋体" w:cs="Times New Roman"/>
          <w:lang w:val="en-US" w:eastAsia="zh-CN"/>
        </w:rPr>
      </w:pPr>
      <w:bookmarkStart w:id="276" w:name="_Toc16717"/>
      <w:bookmarkStart w:id="277" w:name="_Toc25026"/>
      <w:bookmarkStart w:id="278" w:name="_Toc22607"/>
      <w:bookmarkStart w:id="279" w:name="_Toc23793"/>
      <w:r>
        <w:rPr>
          <w:rFonts w:hint="default" w:ascii="Times New Roman" w:hAnsi="Times New Roman" w:eastAsia="宋体" w:cs="Times New Roman"/>
          <w:lang w:val="en-US" w:eastAsia="zh-CN"/>
        </w:rPr>
        <w:t>附图</w:t>
      </w:r>
      <w:r>
        <w:rPr>
          <w:rFonts w:hint="eastAsia" w:cs="Times New Roman"/>
          <w:lang w:val="en-US" w:eastAsia="zh-CN"/>
        </w:rPr>
        <w:t>9</w:t>
      </w:r>
      <w:r>
        <w:rPr>
          <w:rFonts w:hint="default" w:ascii="Times New Roman" w:hAnsi="Times New Roman" w:eastAsia="宋体" w:cs="Times New Roman"/>
          <w:lang w:val="en-US" w:eastAsia="zh-CN"/>
        </w:rPr>
        <w:t>项目与祁东县生态保护红线位置关系图</w:t>
      </w:r>
      <w:bookmarkEnd w:id="276"/>
      <w:bookmarkEnd w:id="277"/>
      <w:bookmarkEnd w:id="278"/>
      <w:bookmarkEnd w:id="279"/>
    </w:p>
    <w:p>
      <w:pPr>
        <w:bidi w:val="0"/>
        <w:rPr>
          <w:rFonts w:hint="eastAsia"/>
          <w:lang w:val="en-US" w:eastAsia="zh-CN"/>
        </w:rPr>
        <w:sectPr>
          <w:pgSz w:w="16838" w:h="11906" w:orient="landscape"/>
          <w:pgMar w:top="1800" w:right="1440" w:bottom="1800" w:left="1440" w:header="851" w:footer="851" w:gutter="0"/>
          <w:pgNumType w:fmt="decimal"/>
          <w:cols w:space="720" w:num="1"/>
          <w:docGrid w:linePitch="312" w:charSpace="0"/>
        </w:sectPr>
      </w:pPr>
      <w:r>
        <w:rPr>
          <w:rFonts w:hint="default" w:ascii="Times New Roman" w:hAnsi="Times New Roman" w:eastAsia="宋体" w:cs="Times New Roman"/>
          <w:sz w:val="28"/>
        </w:rPr>
        <mc:AlternateContent>
          <mc:Choice Requires="wps">
            <w:drawing>
              <wp:anchor distT="0" distB="0" distL="114300" distR="114300" simplePos="0" relativeHeight="251720704" behindDoc="0" locked="0" layoutInCell="1" allowOverlap="1">
                <wp:simplePos x="0" y="0"/>
                <wp:positionH relativeFrom="column">
                  <wp:posOffset>5700395</wp:posOffset>
                </wp:positionH>
                <wp:positionV relativeFrom="paragraph">
                  <wp:posOffset>681990</wp:posOffset>
                </wp:positionV>
                <wp:extent cx="885825" cy="342900"/>
                <wp:effectExtent l="29845" t="6350" r="17780" b="927100"/>
                <wp:wrapNone/>
                <wp:docPr id="102" name="文本框 102"/>
                <wp:cNvGraphicFramePr/>
                <a:graphic xmlns:a="http://schemas.openxmlformats.org/drawingml/2006/main">
                  <a:graphicData uri="http://schemas.microsoft.com/office/word/2010/wordprocessingShape">
                    <wps:wsp>
                      <wps:cNvSpPr txBox="1"/>
                      <wps:spPr>
                        <a:xfrm>
                          <a:off x="0" y="0"/>
                          <a:ext cx="885825" cy="342900"/>
                        </a:xfrm>
                        <a:prstGeom prst="wedgeRectCallout">
                          <a:avLst>
                            <a:gd name="adj1" fmla="val -52652"/>
                            <a:gd name="adj2" fmla="val 314629"/>
                          </a:avLst>
                        </a:prstGeom>
                        <a:noFill/>
                        <a:ln w="12700">
                          <a:solidFill>
                            <a:schemeClr val="tx1"/>
                          </a:solid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eastAsia" w:eastAsia="仿宋"/>
                                <w:b/>
                                <w:bCs/>
                                <w:color w:val="FF0000"/>
                                <w:sz w:val="20"/>
                                <w:szCs w:val="20"/>
                                <w:lang w:val="en-US" w:eastAsia="zh-CN"/>
                              </w:rPr>
                            </w:pPr>
                            <w:r>
                              <w:rPr>
                                <w:rFonts w:hint="eastAsia" w:cs="Times New Roman" w:eastAsiaTheme="minorEastAsia"/>
                                <w:b/>
                                <w:bCs/>
                                <w:color w:val="FF0000"/>
                                <w:sz w:val="21"/>
                                <w:szCs w:val="21"/>
                                <w:vertAlign w:val="baseline"/>
                                <w:lang w:val="en-US" w:eastAsia="zh-CN"/>
                              </w:rPr>
                              <w:t>项目拟建地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61" type="#_x0000_t61" style="position:absolute;left:0pt;margin-left:448.85pt;margin-top:53.7pt;height:27pt;width:69.75pt;z-index:251720704;mso-width-relative:page;mso-height-relative:page;" filled="f" stroked="t" coordsize="21600,21600" o:gfxdata="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FqaYT9oAAAAMAQAADwAAAAAAAAAB&#10;ACAAAAAiAAAAZHJzL2Rvd25yZXYueG1sUEsBAhQAFAAAAAgAh07iQFcwg9eAAgAA8gQAAA4AAAAA&#10;AAAAAQAgAAAAKQEAAGRycy9lMm9Eb2MueG1sUEsFBgAAAAAGAAYAWQEAABsGAAAAAA==&#10;" adj="-573,78760">
                <v:fill on="f" focussize="0,0"/>
                <v:stroke weight="1pt" color="#000000 [3213]" joinstyle="round"/>
                <v:imagedata o:title=""/>
                <o:lock v:ext="edit" aspectratio="f"/>
                <v:textbox>
                  <w:txbxContent>
                    <w:p>
                      <w:pPr>
                        <w:ind w:left="0" w:leftChars="0" w:firstLine="0" w:firstLineChars="0"/>
                        <w:rPr>
                          <w:rFonts w:hint="eastAsia" w:eastAsia="仿宋"/>
                          <w:b/>
                          <w:bCs/>
                          <w:color w:val="FF0000"/>
                          <w:sz w:val="20"/>
                          <w:szCs w:val="20"/>
                          <w:lang w:val="en-US" w:eastAsia="zh-CN"/>
                        </w:rPr>
                      </w:pPr>
                      <w:r>
                        <w:rPr>
                          <w:rFonts w:hint="eastAsia" w:cs="Times New Roman" w:eastAsiaTheme="minorEastAsia"/>
                          <w:b/>
                          <w:bCs/>
                          <w:color w:val="FF0000"/>
                          <w:sz w:val="21"/>
                          <w:szCs w:val="21"/>
                          <w:vertAlign w:val="baseline"/>
                          <w:lang w:val="en-US" w:eastAsia="zh-CN"/>
                        </w:rPr>
                        <w:t>项目拟建地</w:t>
                      </w:r>
                    </w:p>
                  </w:txbxContent>
                </v:textbox>
              </v:shape>
            </w:pict>
          </mc:Fallback>
        </mc:AlternateContent>
      </w:r>
      <w:r>
        <w:drawing>
          <wp:anchor distT="0" distB="0" distL="114300" distR="114300" simplePos="0" relativeHeight="251719680" behindDoc="0" locked="0" layoutInCell="1" allowOverlap="1">
            <wp:simplePos x="0" y="0"/>
            <wp:positionH relativeFrom="column">
              <wp:posOffset>7610475</wp:posOffset>
            </wp:positionH>
            <wp:positionV relativeFrom="paragraph">
              <wp:posOffset>49530</wp:posOffset>
            </wp:positionV>
            <wp:extent cx="904875" cy="923925"/>
            <wp:effectExtent l="0" t="0" r="9525" b="9525"/>
            <wp:wrapNone/>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pic:cNvPicPr>
                      <a:picLocks noChangeAspect="1"/>
                    </pic:cNvPicPr>
                  </pic:nvPicPr>
                  <pic:blipFill>
                    <a:blip r:embed="rId40"/>
                    <a:stretch>
                      <a:fillRect/>
                    </a:stretch>
                  </pic:blipFill>
                  <pic:spPr>
                    <a:xfrm>
                      <a:off x="0" y="0"/>
                      <a:ext cx="904875" cy="923925"/>
                    </a:xfrm>
                    <a:prstGeom prst="rect">
                      <a:avLst/>
                    </a:prstGeom>
                    <a:noFill/>
                    <a:ln>
                      <a:noFill/>
                    </a:ln>
                  </pic:spPr>
                </pic:pic>
              </a:graphicData>
            </a:graphic>
          </wp:anchor>
        </w:drawing>
      </w:r>
      <w:r>
        <w:rPr>
          <w:rFonts w:hint="default" w:ascii="Times New Roman" w:hAnsi="Times New Roman" w:eastAsia="宋体" w:cs="Times New Roman"/>
          <w:color w:val="000000"/>
        </w:rPr>
        <w:drawing>
          <wp:inline distT="0" distB="0" distL="114300" distR="114300">
            <wp:extent cx="9004300" cy="4629785"/>
            <wp:effectExtent l="0" t="0" r="6350" b="18415"/>
            <wp:docPr id="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1"/>
                    <pic:cNvPicPr>
                      <a:picLocks noChangeAspect="1"/>
                    </pic:cNvPicPr>
                  </pic:nvPicPr>
                  <pic:blipFill>
                    <a:blip r:embed="rId56"/>
                    <a:stretch>
                      <a:fillRect/>
                    </a:stretch>
                  </pic:blipFill>
                  <pic:spPr>
                    <a:xfrm>
                      <a:off x="0" y="0"/>
                      <a:ext cx="9004300" cy="4629785"/>
                    </a:xfrm>
                    <a:prstGeom prst="rect">
                      <a:avLst/>
                    </a:prstGeom>
                    <a:noFill/>
                    <a:ln w="9525">
                      <a:noFill/>
                    </a:ln>
                  </pic:spPr>
                </pic:pic>
              </a:graphicData>
            </a:graphic>
          </wp:inline>
        </w:drawing>
      </w:r>
    </w:p>
    <w:p>
      <w:pPr>
        <w:widowControl/>
        <w:adjustRightInd w:val="0"/>
        <w:snapToGrid w:val="0"/>
        <w:spacing w:after="200" w:line="220" w:lineRule="atLeast"/>
        <w:jc w:val="center"/>
        <w:rPr>
          <w:rFonts w:ascii="Times New Roman" w:hAnsi="Times New Roman" w:cs="Times New Roman"/>
          <w:b/>
          <w:kern w:val="0"/>
          <w:sz w:val="36"/>
          <w:szCs w:val="36"/>
        </w:rPr>
      </w:pPr>
      <w:r>
        <w:rPr>
          <w:rFonts w:ascii="Times New Roman" w:cs="Times New Roman" w:hAnsiTheme="minorEastAsia"/>
          <w:b/>
          <w:kern w:val="0"/>
          <w:sz w:val="36"/>
          <w:szCs w:val="36"/>
        </w:rPr>
        <w:t>可公开情况的说明</w:t>
      </w:r>
    </w:p>
    <w:p>
      <w:pPr>
        <w:widowControl/>
        <w:adjustRightInd w:val="0"/>
        <w:snapToGrid w:val="0"/>
        <w:spacing w:after="200" w:line="360" w:lineRule="auto"/>
        <w:jc w:val="left"/>
        <w:rPr>
          <w:rFonts w:ascii="Times New Roman" w:cs="Times New Roman" w:hAnsiTheme="minorEastAsia"/>
          <w:kern w:val="0"/>
          <w:sz w:val="28"/>
          <w:szCs w:val="28"/>
        </w:rPr>
      </w:pPr>
    </w:p>
    <w:p>
      <w:pPr>
        <w:spacing w:line="640" w:lineRule="exact"/>
        <w:rPr>
          <w:rFonts w:ascii="仿宋_GB2312" w:hAnsi="Times New Roman" w:eastAsia="仿宋_GB2312" w:cs="Times New Roman"/>
          <w:sz w:val="32"/>
          <w:szCs w:val="32"/>
        </w:rPr>
      </w:pPr>
      <w:r>
        <w:rPr>
          <w:rFonts w:hint="eastAsia" w:ascii="仿宋_GB2312" w:eastAsia="仿宋_GB2312" w:cs="Times New Roman"/>
          <w:sz w:val="32"/>
          <w:szCs w:val="32"/>
          <w:lang w:eastAsia="zh-CN"/>
        </w:rPr>
        <w:t>衡阳市</w:t>
      </w:r>
      <w:r>
        <w:rPr>
          <w:rFonts w:ascii="仿宋_GB2312" w:hAnsi="Times New Roman" w:eastAsia="仿宋_GB2312" w:cs="Times New Roman"/>
          <w:sz w:val="32"/>
          <w:szCs w:val="32"/>
        </w:rPr>
        <w:t>生态环境局</w:t>
      </w:r>
      <w:r>
        <w:rPr>
          <w:rFonts w:hint="eastAsia" w:ascii="仿宋_GB2312" w:eastAsia="仿宋_GB2312" w:cs="Times New Roman"/>
          <w:sz w:val="32"/>
          <w:szCs w:val="32"/>
          <w:lang w:eastAsia="zh-CN"/>
        </w:rPr>
        <w:t>祁东分局</w:t>
      </w:r>
      <w:r>
        <w:rPr>
          <w:rFonts w:ascii="仿宋_GB2312" w:hAnsi="Times New Roman" w:eastAsia="仿宋_GB2312" w:cs="Times New Roman"/>
          <w:sz w:val="32"/>
          <w:szCs w:val="32"/>
        </w:rPr>
        <w:t>：</w:t>
      </w:r>
    </w:p>
    <w:p>
      <w:pPr>
        <w:spacing w:line="640" w:lineRule="exact"/>
        <w:ind w:firstLine="627" w:firstLineChars="196"/>
        <w:rPr>
          <w:rFonts w:ascii="仿宋_GB2312" w:hAnsi="Times New Roman" w:eastAsia="仿宋_GB2312" w:cs="Times New Roman"/>
          <w:sz w:val="32"/>
          <w:szCs w:val="32"/>
        </w:rPr>
      </w:pPr>
      <w:r>
        <w:rPr>
          <w:rFonts w:hint="eastAsia" w:ascii="仿宋_GB2312" w:hAnsi="Times New Roman" w:eastAsia="仿宋_GB2312" w:cs="Times New Roman"/>
          <w:sz w:val="32"/>
          <w:szCs w:val="32"/>
        </w:rPr>
        <w:t>根据《建设项目环境影响评价政府信息公开指南（试行）》，我公司委托编写的《</w:t>
      </w:r>
      <w:r>
        <w:rPr>
          <w:rFonts w:hint="eastAsia" w:ascii="仿宋_GB2312" w:eastAsia="仿宋_GB2312" w:cs="Times New Roman"/>
          <w:sz w:val="32"/>
          <w:szCs w:val="32"/>
          <w:lang w:eastAsia="zh-CN"/>
        </w:rPr>
        <w:t>衡阳汐甄新能源有限公司南山加油站建设项目</w:t>
      </w:r>
      <w:r>
        <w:rPr>
          <w:rFonts w:hint="eastAsia" w:ascii="仿宋_GB2312" w:hAnsi="Times New Roman" w:eastAsia="仿宋_GB2312" w:cs="Times New Roman"/>
          <w:sz w:val="32"/>
          <w:szCs w:val="32"/>
          <w:lang w:eastAsia="zh-CN"/>
        </w:rPr>
        <w:t>环境影响报告表</w:t>
      </w:r>
      <w:r>
        <w:rPr>
          <w:rFonts w:hint="eastAsia" w:ascii="仿宋_GB2312" w:hAnsi="Times New Roman" w:eastAsia="仿宋_GB2312" w:cs="Times New Roman"/>
          <w:sz w:val="32"/>
          <w:szCs w:val="32"/>
        </w:rPr>
        <w:t>》不含涉及国家秘密、商业秘密、个人隐私以及涉及国家安全、公共安全、经济安全和社会稳定的内容，可以依法予以公开。</w:t>
      </w:r>
    </w:p>
    <w:p>
      <w:pPr>
        <w:spacing w:line="640" w:lineRule="exact"/>
        <w:ind w:firstLine="627" w:firstLineChars="196"/>
        <w:rPr>
          <w:rFonts w:ascii="仿宋_GB2312" w:hAnsi="Times New Roman" w:eastAsia="仿宋_GB2312" w:cs="Times New Roman"/>
          <w:sz w:val="32"/>
          <w:szCs w:val="32"/>
        </w:rPr>
      </w:pPr>
    </w:p>
    <w:p>
      <w:pPr>
        <w:spacing w:line="640" w:lineRule="exact"/>
        <w:ind w:firstLine="627" w:firstLineChars="196"/>
        <w:rPr>
          <w:rFonts w:ascii="仿宋_GB2312" w:hAnsi="Times New Roman" w:eastAsia="仿宋_GB2312" w:cs="Times New Roman"/>
          <w:sz w:val="32"/>
          <w:szCs w:val="32"/>
        </w:rPr>
      </w:pPr>
    </w:p>
    <w:p>
      <w:pPr>
        <w:spacing w:line="640" w:lineRule="exact"/>
        <w:ind w:firstLine="627" w:firstLineChars="196"/>
        <w:rPr>
          <w:rFonts w:ascii="仿宋_GB2312" w:hAnsi="Times New Roman" w:eastAsia="仿宋_GB2312" w:cs="Times New Roman"/>
          <w:sz w:val="32"/>
          <w:szCs w:val="32"/>
        </w:rPr>
      </w:pPr>
    </w:p>
    <w:p>
      <w:pPr>
        <w:spacing w:line="640" w:lineRule="exact"/>
        <w:jc w:val="right"/>
        <w:rPr>
          <w:rFonts w:hint="eastAsia" w:ascii="仿宋_GB2312" w:eastAsia="仿宋_GB2312"/>
          <w:sz w:val="32"/>
          <w:szCs w:val="32"/>
          <w:lang w:val="en-US" w:eastAsia="zh-CN"/>
        </w:rPr>
      </w:pPr>
      <w:r>
        <w:rPr>
          <w:rFonts w:hint="eastAsia" w:ascii="仿宋_GB2312" w:eastAsia="仿宋_GB2312"/>
          <w:sz w:val="32"/>
          <w:szCs w:val="32"/>
          <w:lang w:val="en-US" w:eastAsia="zh-CN"/>
        </w:rPr>
        <w:t>衡阳汐甄新能源有限公司</w:t>
      </w:r>
    </w:p>
    <w:p>
      <w:pPr>
        <w:spacing w:line="640" w:lineRule="exact"/>
        <w:jc w:val="right"/>
        <w:rPr>
          <w:rFonts w:hint="eastAsia" w:ascii="仿宋_GB2312" w:eastAsia="仿宋_GB2312"/>
          <w:sz w:val="32"/>
          <w:szCs w:val="32"/>
        </w:rPr>
      </w:pPr>
      <w:r>
        <w:rPr>
          <w:rFonts w:hint="eastAsia" w:ascii="仿宋_GB2312" w:hAnsi="仿宋_GB2312" w:eastAsia="仿宋_GB2312" w:cs="仿宋_GB2312"/>
          <w:sz w:val="32"/>
          <w:szCs w:val="32"/>
        </w:rPr>
        <w:t>202</w:t>
      </w:r>
      <w:r>
        <w:rPr>
          <w:rFonts w:hint="eastAsia" w:ascii="仿宋_GB2312" w:hAnsi="仿宋_GB2312" w:eastAsia="仿宋_GB2312" w:cs="仿宋_GB2312"/>
          <w:sz w:val="32"/>
          <w:szCs w:val="32"/>
          <w:lang w:val="en-US" w:eastAsia="zh-CN"/>
        </w:rPr>
        <w:t>3</w:t>
      </w:r>
      <w:r>
        <w:rPr>
          <w:rFonts w:hint="eastAsia" w:ascii="仿宋_GB2312" w:hAnsi="仿宋_GB2312" w:eastAsia="仿宋_GB2312" w:cs="仿宋_GB2312"/>
          <w:sz w:val="32"/>
          <w:szCs w:val="32"/>
        </w:rPr>
        <w:t>年</w:t>
      </w:r>
      <w:r>
        <w:rPr>
          <w:rFonts w:hint="eastAsia" w:ascii="仿宋_GB2312" w:hAnsi="仿宋_GB2312" w:eastAsia="仿宋_GB2312" w:cs="仿宋_GB2312"/>
          <w:sz w:val="32"/>
          <w:szCs w:val="32"/>
          <w:lang w:val="en-US" w:eastAsia="zh-CN"/>
        </w:rPr>
        <w:t>4</w:t>
      </w:r>
      <w:r>
        <w:rPr>
          <w:rFonts w:hint="eastAsia" w:ascii="仿宋_GB2312" w:hAnsi="仿宋_GB2312" w:eastAsia="仿宋_GB2312" w:cs="仿宋_GB2312"/>
          <w:sz w:val="32"/>
          <w:szCs w:val="32"/>
        </w:rPr>
        <w:t>月</w:t>
      </w:r>
      <w:r>
        <w:rPr>
          <w:rFonts w:hint="eastAsia" w:ascii="仿宋_GB2312" w:hAnsi="仿宋_GB2312" w:eastAsia="仿宋_GB2312" w:cs="仿宋_GB2312"/>
          <w:sz w:val="32"/>
          <w:szCs w:val="32"/>
          <w:lang w:val="en-US" w:eastAsia="zh-CN"/>
        </w:rPr>
        <w:t>30</w:t>
      </w:r>
      <w:r>
        <w:rPr>
          <w:rFonts w:hint="eastAsia" w:ascii="仿宋_GB2312" w:hAnsi="仿宋_GB2312" w:eastAsia="仿宋_GB2312" w:cs="仿宋_GB2312"/>
          <w:sz w:val="32"/>
          <w:szCs w:val="32"/>
        </w:rPr>
        <w:t>日</w:t>
      </w:r>
    </w:p>
    <w:p/>
    <w:p>
      <w:pPr>
        <w:pStyle w:val="18"/>
        <w:rPr>
          <w:rFonts w:hint="default"/>
          <w:lang w:val="en-US" w:eastAsia="zh-CN"/>
        </w:rPr>
        <w:sectPr>
          <w:pgSz w:w="11906" w:h="16838"/>
          <w:pgMar w:top="1440" w:right="1800" w:bottom="1440" w:left="1800" w:header="851" w:footer="992" w:gutter="0"/>
          <w:cols w:space="720" w:num="1"/>
          <w:docGrid w:type="lines" w:linePitch="312" w:charSpace="0"/>
        </w:sectPr>
      </w:pPr>
    </w:p>
    <w:p>
      <w:pPr>
        <w:spacing w:line="640" w:lineRule="exact"/>
        <w:jc w:val="center"/>
        <w:rPr>
          <w:rFonts w:hint="eastAsia" w:ascii="黑体" w:hAnsi="仿宋_GB2312" w:eastAsia="黑体"/>
          <w:sz w:val="36"/>
          <w:szCs w:val="36"/>
        </w:rPr>
      </w:pPr>
      <w:r>
        <w:rPr>
          <w:rFonts w:hint="eastAsia" w:ascii="黑体" w:hAnsi="仿宋_GB2312" w:eastAsia="黑体"/>
          <w:sz w:val="36"/>
          <w:szCs w:val="36"/>
          <w:lang w:val="en-US" w:eastAsia="zh-CN"/>
        </w:rPr>
        <w:t>衡阳汐甄新能源有限公司南山加油站建设项目</w:t>
      </w:r>
      <w:r>
        <w:rPr>
          <w:rFonts w:hint="eastAsia" w:ascii="黑体" w:hAnsi="仿宋_GB2312" w:eastAsia="黑体"/>
          <w:sz w:val="36"/>
          <w:szCs w:val="36"/>
        </w:rPr>
        <w:t>环境影响报告</w:t>
      </w:r>
      <w:r>
        <w:rPr>
          <w:rFonts w:hint="eastAsia" w:ascii="黑体" w:hAnsi="仿宋_GB2312" w:eastAsia="黑体"/>
          <w:sz w:val="36"/>
          <w:szCs w:val="36"/>
          <w:lang w:eastAsia="zh-CN"/>
        </w:rPr>
        <w:t>表</w:t>
      </w:r>
      <w:r>
        <w:rPr>
          <w:rFonts w:hint="eastAsia" w:ascii="黑体" w:hAnsi="仿宋_GB2312" w:eastAsia="黑体"/>
          <w:sz w:val="36"/>
          <w:szCs w:val="36"/>
        </w:rPr>
        <w:t>审批申请报告</w:t>
      </w:r>
    </w:p>
    <w:p>
      <w:pPr>
        <w:spacing w:line="640" w:lineRule="exact"/>
        <w:jc w:val="center"/>
        <w:rPr>
          <w:rFonts w:hint="eastAsia" w:ascii="黑体" w:hAnsi="仿宋_GB2312" w:eastAsia="黑体"/>
          <w:sz w:val="36"/>
          <w:szCs w:val="36"/>
        </w:rPr>
      </w:pPr>
    </w:p>
    <w:p>
      <w:pPr>
        <w:spacing w:line="640" w:lineRule="exact"/>
        <w:rPr>
          <w:rFonts w:hint="eastAsia" w:ascii="仿宋_GB2312" w:eastAsia="仿宋_GB2312"/>
          <w:sz w:val="32"/>
          <w:szCs w:val="32"/>
        </w:rPr>
      </w:pPr>
      <w:r>
        <w:rPr>
          <w:rFonts w:hint="eastAsia" w:ascii="仿宋_GB2312" w:eastAsia="仿宋_GB2312"/>
          <w:sz w:val="32"/>
          <w:szCs w:val="32"/>
          <w:lang w:eastAsia="zh-CN"/>
        </w:rPr>
        <w:t>衡阳市</w:t>
      </w:r>
      <w:r>
        <w:rPr>
          <w:rFonts w:hint="eastAsia" w:ascii="仿宋_GB2312" w:eastAsia="仿宋_GB2312"/>
          <w:sz w:val="32"/>
          <w:szCs w:val="32"/>
        </w:rPr>
        <w:t>生态环境局</w:t>
      </w:r>
      <w:r>
        <w:rPr>
          <w:rFonts w:hint="eastAsia" w:ascii="仿宋_GB2312" w:eastAsia="仿宋_GB2312"/>
          <w:sz w:val="32"/>
          <w:szCs w:val="32"/>
          <w:lang w:eastAsia="zh-CN"/>
        </w:rPr>
        <w:t>祁东分局</w:t>
      </w:r>
      <w:r>
        <w:rPr>
          <w:rFonts w:hint="eastAsia" w:ascii="仿宋_GB2312" w:eastAsia="仿宋_GB2312"/>
          <w:sz w:val="32"/>
          <w:szCs w:val="32"/>
        </w:rPr>
        <w:t>：</w:t>
      </w:r>
    </w:p>
    <w:p>
      <w:pPr>
        <w:spacing w:line="640" w:lineRule="exact"/>
        <w:ind w:firstLine="627" w:firstLineChars="196"/>
        <w:rPr>
          <w:rFonts w:hint="eastAsia" w:ascii="仿宋_GB2312" w:eastAsia="仿宋_GB2312"/>
          <w:sz w:val="32"/>
          <w:szCs w:val="32"/>
        </w:rPr>
      </w:pPr>
      <w:r>
        <w:rPr>
          <w:rFonts w:hint="eastAsia" w:ascii="仿宋_GB2312" w:eastAsia="仿宋_GB2312"/>
          <w:sz w:val="32"/>
          <w:szCs w:val="32"/>
        </w:rPr>
        <w:t>根据《中华人民共和国环境影响评价法》、《中华人民共和国行政许可法》等相关法律法规、政策和文件要求，</w:t>
      </w:r>
      <w:r>
        <w:rPr>
          <w:rFonts w:hint="eastAsia" w:ascii="仿宋_GB2312" w:eastAsia="仿宋_GB2312"/>
          <w:sz w:val="32"/>
          <w:szCs w:val="32"/>
          <w:lang w:val="en-US" w:eastAsia="zh-CN"/>
        </w:rPr>
        <w:t>衡阳汐甄新能源有限公司</w:t>
      </w:r>
      <w:r>
        <w:rPr>
          <w:rFonts w:hint="eastAsia" w:ascii="仿宋_GB2312" w:eastAsia="仿宋_GB2312"/>
          <w:sz w:val="32"/>
          <w:szCs w:val="32"/>
        </w:rPr>
        <w:t>已委托</w:t>
      </w:r>
      <w:r>
        <w:rPr>
          <w:rFonts w:hint="eastAsia" w:ascii="仿宋_GB2312" w:eastAsia="仿宋_GB2312"/>
          <w:sz w:val="32"/>
          <w:szCs w:val="32"/>
          <w:lang w:eastAsia="zh-CN"/>
        </w:rPr>
        <w:t>长沙博均环保科技有限公司</w:t>
      </w:r>
      <w:r>
        <w:rPr>
          <w:rFonts w:hint="eastAsia" w:ascii="仿宋_GB2312" w:eastAsia="仿宋_GB2312"/>
          <w:sz w:val="32"/>
          <w:szCs w:val="32"/>
        </w:rPr>
        <w:t>编写《</w:t>
      </w:r>
      <w:r>
        <w:rPr>
          <w:rFonts w:hint="eastAsia" w:ascii="仿宋_GB2312" w:eastAsia="仿宋_GB2312"/>
          <w:sz w:val="32"/>
          <w:szCs w:val="32"/>
          <w:lang w:val="en-US" w:eastAsia="zh-CN"/>
        </w:rPr>
        <w:t>衡阳汐甄新能源有限公司南山加油站建设项目</w:t>
      </w:r>
      <w:r>
        <w:rPr>
          <w:rFonts w:hint="eastAsia" w:ascii="仿宋_GB2312" w:eastAsia="仿宋_GB2312"/>
          <w:sz w:val="32"/>
          <w:szCs w:val="32"/>
        </w:rPr>
        <w:t>环境影响</w:t>
      </w:r>
      <w:r>
        <w:rPr>
          <w:rFonts w:hint="eastAsia" w:ascii="仿宋_GB2312" w:eastAsia="仿宋_GB2312"/>
          <w:sz w:val="32"/>
          <w:szCs w:val="32"/>
          <w:lang w:eastAsia="zh-CN"/>
        </w:rPr>
        <w:t>报告表</w:t>
      </w:r>
      <w:r>
        <w:rPr>
          <w:rFonts w:hint="eastAsia" w:ascii="仿宋_GB2312" w:eastAsia="仿宋_GB2312"/>
          <w:sz w:val="32"/>
          <w:szCs w:val="32"/>
        </w:rPr>
        <w:t>》，现报送贵局，请予批复为盼。</w:t>
      </w:r>
    </w:p>
    <w:p>
      <w:pPr>
        <w:spacing w:line="640" w:lineRule="exact"/>
        <w:ind w:firstLine="627" w:firstLineChars="196"/>
        <w:rPr>
          <w:rFonts w:hint="eastAsia" w:ascii="仿宋_GB2312" w:eastAsia="仿宋_GB2312"/>
          <w:sz w:val="32"/>
          <w:szCs w:val="32"/>
        </w:rPr>
      </w:pPr>
      <w:r>
        <w:rPr>
          <w:rFonts w:hint="eastAsia" w:ascii="仿宋_GB2312" w:eastAsia="仿宋_GB2312"/>
          <w:sz w:val="32"/>
          <w:szCs w:val="32"/>
        </w:rPr>
        <w:t>根据《建设项目环境影响评价政府信息公开指南（试行）》，我公司委托编写的《</w:t>
      </w:r>
      <w:r>
        <w:rPr>
          <w:rFonts w:hint="eastAsia" w:ascii="仿宋_GB2312" w:eastAsia="仿宋_GB2312"/>
          <w:sz w:val="32"/>
          <w:szCs w:val="32"/>
          <w:lang w:val="en-US" w:eastAsia="zh-CN"/>
        </w:rPr>
        <w:t>衡阳汐甄新能源有限公司南山加油站建设项目</w:t>
      </w:r>
      <w:r>
        <w:rPr>
          <w:rFonts w:hint="eastAsia" w:ascii="仿宋_GB2312" w:eastAsia="仿宋_GB2312"/>
          <w:sz w:val="32"/>
          <w:szCs w:val="32"/>
        </w:rPr>
        <w:t>环境影响</w:t>
      </w:r>
      <w:r>
        <w:rPr>
          <w:rFonts w:hint="eastAsia" w:ascii="仿宋_GB2312" w:eastAsia="仿宋_GB2312"/>
          <w:sz w:val="32"/>
          <w:szCs w:val="32"/>
          <w:lang w:eastAsia="zh-CN"/>
        </w:rPr>
        <w:t>报告表</w:t>
      </w:r>
      <w:r>
        <w:rPr>
          <w:rFonts w:hint="eastAsia" w:ascii="仿宋_GB2312" w:eastAsia="仿宋_GB2312"/>
          <w:sz w:val="32"/>
          <w:szCs w:val="32"/>
        </w:rPr>
        <w:t>》不含涉及国家秘密、商业秘密、个人隐私以及涉及国家安全、公共安全、经济安全和社会稳定的内容，可以依法予以公开。</w:t>
      </w:r>
    </w:p>
    <w:p>
      <w:pPr>
        <w:spacing w:line="640" w:lineRule="exact"/>
        <w:ind w:firstLine="784" w:firstLineChars="245"/>
        <w:rPr>
          <w:rFonts w:hint="eastAsia" w:ascii="仿宋_GB2312" w:eastAsia="仿宋_GB2312"/>
          <w:sz w:val="32"/>
          <w:szCs w:val="32"/>
          <w:u w:val="single"/>
        </w:rPr>
      </w:pPr>
    </w:p>
    <w:p>
      <w:pPr>
        <w:spacing w:line="640" w:lineRule="exact"/>
        <w:ind w:firstLine="787" w:firstLineChars="245"/>
        <w:rPr>
          <w:rFonts w:hint="eastAsia" w:ascii="仿宋_GB2312" w:eastAsia="仿宋_GB2312"/>
          <w:b/>
          <w:sz w:val="32"/>
          <w:szCs w:val="32"/>
        </w:rPr>
      </w:pPr>
    </w:p>
    <w:p>
      <w:pPr>
        <w:spacing w:line="640" w:lineRule="exact"/>
        <w:jc w:val="right"/>
        <w:rPr>
          <w:rFonts w:hint="eastAsia" w:ascii="仿宋_GB2312" w:eastAsia="仿宋_GB2312"/>
          <w:sz w:val="32"/>
          <w:szCs w:val="32"/>
          <w:lang w:val="en-US" w:eastAsia="zh-CN"/>
        </w:rPr>
      </w:pPr>
      <w:r>
        <w:rPr>
          <w:rFonts w:hint="eastAsia" w:ascii="仿宋_GB2312" w:eastAsia="仿宋_GB2312"/>
          <w:sz w:val="32"/>
          <w:szCs w:val="32"/>
          <w:lang w:val="en-US" w:eastAsia="zh-CN"/>
        </w:rPr>
        <w:t>衡阳汐甄新能源有限公司</w:t>
      </w:r>
    </w:p>
    <w:p>
      <w:pPr>
        <w:spacing w:line="640" w:lineRule="exact"/>
        <w:jc w:val="right"/>
        <w:rPr>
          <w:rFonts w:hint="eastAsia" w:ascii="仿宋_GB2312" w:eastAsia="仿宋_GB2312"/>
          <w:sz w:val="32"/>
          <w:szCs w:val="32"/>
        </w:rPr>
      </w:pPr>
      <w:r>
        <w:rPr>
          <w:rFonts w:hint="eastAsia" w:ascii="仿宋_GB2312" w:hAnsi="仿宋_GB2312" w:eastAsia="仿宋_GB2312" w:cs="仿宋_GB2312"/>
          <w:sz w:val="32"/>
          <w:szCs w:val="32"/>
        </w:rPr>
        <w:t>202</w:t>
      </w:r>
      <w:r>
        <w:rPr>
          <w:rFonts w:hint="eastAsia" w:ascii="仿宋_GB2312" w:hAnsi="仿宋_GB2312" w:eastAsia="仿宋_GB2312" w:cs="仿宋_GB2312"/>
          <w:sz w:val="32"/>
          <w:szCs w:val="32"/>
          <w:lang w:val="en-US" w:eastAsia="zh-CN"/>
        </w:rPr>
        <w:t>3</w:t>
      </w:r>
      <w:r>
        <w:rPr>
          <w:rFonts w:hint="eastAsia" w:ascii="仿宋_GB2312" w:hAnsi="仿宋_GB2312" w:eastAsia="仿宋_GB2312" w:cs="仿宋_GB2312"/>
          <w:sz w:val="32"/>
          <w:szCs w:val="32"/>
        </w:rPr>
        <w:t>年</w:t>
      </w:r>
      <w:r>
        <w:rPr>
          <w:rFonts w:hint="eastAsia" w:ascii="仿宋_GB2312" w:hAnsi="仿宋_GB2312" w:eastAsia="仿宋_GB2312" w:cs="仿宋_GB2312"/>
          <w:sz w:val="32"/>
          <w:szCs w:val="32"/>
          <w:lang w:val="en-US" w:eastAsia="zh-CN"/>
        </w:rPr>
        <w:t>4</w:t>
      </w:r>
      <w:r>
        <w:rPr>
          <w:rFonts w:hint="eastAsia" w:ascii="仿宋_GB2312" w:hAnsi="仿宋_GB2312" w:eastAsia="仿宋_GB2312" w:cs="仿宋_GB2312"/>
          <w:sz w:val="32"/>
          <w:szCs w:val="32"/>
        </w:rPr>
        <w:t>月</w:t>
      </w:r>
      <w:r>
        <w:rPr>
          <w:rFonts w:hint="eastAsia" w:ascii="仿宋_GB2312" w:hAnsi="仿宋_GB2312" w:eastAsia="仿宋_GB2312" w:cs="仿宋_GB2312"/>
          <w:sz w:val="32"/>
          <w:szCs w:val="32"/>
          <w:lang w:val="en-US" w:eastAsia="zh-CN"/>
        </w:rPr>
        <w:t>30</w:t>
      </w:r>
      <w:r>
        <w:rPr>
          <w:rFonts w:hint="eastAsia" w:ascii="仿宋_GB2312" w:hAnsi="仿宋_GB2312" w:eastAsia="仿宋_GB2312" w:cs="仿宋_GB2312"/>
          <w:sz w:val="32"/>
          <w:szCs w:val="32"/>
        </w:rPr>
        <w:t>日</w:t>
      </w:r>
    </w:p>
    <w:p>
      <w:pPr>
        <w:bidi w:val="0"/>
        <w:rPr>
          <w:rFonts w:hint="eastAsia"/>
          <w:lang w:val="en-US" w:eastAsia="zh-CN"/>
        </w:rPr>
      </w:pPr>
    </w:p>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swiss"/>
    <w:pitch w:val="default"/>
    <w:sig w:usb0="E0002AFF" w:usb1="C0007841" w:usb2="00000009" w:usb3="00000000" w:csb0="400001FF" w:csb1="FFFF0000"/>
  </w:font>
  <w:font w:name="宋体">
    <w:panose1 w:val="02010600030101010101"/>
    <w:charset w:val="88"/>
    <w:family w:val="moder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_GB2312">
    <w:altName w:val="仿宋"/>
    <w:panose1 w:val="02010609030101010101"/>
    <w:charset w:val="86"/>
    <w:family w:val="modern"/>
    <w:pitch w:val="default"/>
    <w:sig w:usb0="00000000" w:usb1="00000000" w:usb2="00000010" w:usb3="00000000" w:csb0="00040000" w:csb1="00000000"/>
  </w:font>
  <w:font w:name="仿宋">
    <w:panose1 w:val="02010609060101010101"/>
    <w:charset w:val="86"/>
    <w:family w:val="modern"/>
    <w:pitch w:val="default"/>
    <w:sig w:usb0="800002BF" w:usb1="38CF7CFA" w:usb2="00000016" w:usb3="00000000" w:csb0="00040001" w:csb1="00000000"/>
  </w:font>
  <w:font w:name="楷体_GB2312">
    <w:altName w:val="楷体"/>
    <w:panose1 w:val="02010609030101010101"/>
    <w:charset w:val="86"/>
    <w:family w:val="modern"/>
    <w:pitch w:val="default"/>
    <w:sig w:usb0="00000000" w:usb1="00000000" w:usb2="00000010" w:usb3="00000000" w:csb0="00040000" w:csb1="00000000"/>
  </w:font>
  <w:font w:name="微软雅黑">
    <w:panose1 w:val="020B0503020204020204"/>
    <w:charset w:val="86"/>
    <w:family w:val="auto"/>
    <w:pitch w:val="default"/>
    <w:sig w:usb0="80000287" w:usb1="280F3C52" w:usb2="00000016" w:usb3="00000000" w:csb0="0004001F" w:csb1="00000000"/>
  </w:font>
  <w:font w:name="楷体">
    <w:panose1 w:val="02010609060101010101"/>
    <w:charset w:val="86"/>
    <w:family w:val="auto"/>
    <w:pitch w:val="default"/>
    <w:sig w:usb0="800002BF" w:usb1="38CF7CFA" w:usb2="00000016" w:usb3="00000000" w:csb0="00040001"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framePr w:wrap="around" w:vAnchor="text" w:hAnchor="margin" w:xAlign="center" w:y="1"/>
      <w:rPr>
        <w:rStyle w:val="34"/>
      </w:rPr>
    </w:pPr>
    <w:r>
      <w:fldChar w:fldCharType="begin"/>
    </w:r>
    <w:r>
      <w:rPr>
        <w:rStyle w:val="34"/>
      </w:rPr>
      <w:instrText xml:space="preserve">PAGE  </w:instrText>
    </w:r>
    <w:r>
      <w:fldChar w:fldCharType="end"/>
    </w:r>
  </w:p>
  <w:p>
    <w:pPr>
      <w:pStyle w:val="22"/>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ind w:right="360" w:firstLine="360"/>
      <w:jc w:val="cente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2"/>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WLh2QyAgAAY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XtrWt2dX8BfWdZ&#10;2OgHy2OaKKS3y32AmEnjKFCvylk3dF6q0nlKYmv/uU9Rj3+G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9YuHZDICAABhBAAADgAAAAAAAAABACAAAAAfAQAAZHJzL2Uyb0RvYy54bWxQSwUG&#10;AAAAAAYABgBZAQAAwwUAAAAA&#10;">
              <v:fill on="f" focussize="0,0"/>
              <v:stroke on="f" weight="0.5pt"/>
              <v:imagedata o:title=""/>
              <o:lock v:ext="edit" aspectratio="f"/>
              <v:textbox inset="0mm,0mm,0mm,0mm" style="mso-fit-shape-to-text:t;">
                <w:txbxContent>
                  <w:p>
                    <w:pPr>
                      <w:pStyle w:val="22"/>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pPr>
      <w:r>
        <w:separator/>
      </w:r>
    </w:p>
  </w:footnote>
  <w:footnote w:type="continuationSeparator" w:id="1">
    <w:p>
      <w:pPr>
        <w:spacing w:line="36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8BCB673"/>
    <w:multiLevelType w:val="singleLevel"/>
    <w:tmpl w:val="98BCB673"/>
    <w:lvl w:ilvl="0" w:tentative="0">
      <w:start w:val="7"/>
      <w:numFmt w:val="decimal"/>
      <w:suff w:val="nothing"/>
      <w:lvlText w:val="%1、"/>
      <w:lvlJc w:val="left"/>
    </w:lvl>
  </w:abstractNum>
  <w:abstractNum w:abstractNumId="1">
    <w:nsid w:val="9A6A00AE"/>
    <w:multiLevelType w:val="singleLevel"/>
    <w:tmpl w:val="9A6A00AE"/>
    <w:lvl w:ilvl="0" w:tentative="0">
      <w:start w:val="1"/>
      <w:numFmt w:val="decimal"/>
      <w:suff w:val="nothing"/>
      <w:lvlText w:val="%1、"/>
      <w:lvlJc w:val="left"/>
    </w:lvl>
  </w:abstractNum>
  <w:abstractNum w:abstractNumId="2">
    <w:nsid w:val="B10D20E4"/>
    <w:multiLevelType w:val="singleLevel"/>
    <w:tmpl w:val="B10D20E4"/>
    <w:lvl w:ilvl="0" w:tentative="0">
      <w:start w:val="1"/>
      <w:numFmt w:val="decimal"/>
      <w:suff w:val="nothing"/>
      <w:lvlText w:val="%1、"/>
      <w:lvlJc w:val="left"/>
    </w:lvl>
  </w:abstractNum>
  <w:abstractNum w:abstractNumId="3">
    <w:nsid w:val="B6D0797E"/>
    <w:multiLevelType w:val="singleLevel"/>
    <w:tmpl w:val="B6D0797E"/>
    <w:lvl w:ilvl="0" w:tentative="0">
      <w:start w:val="5"/>
      <w:numFmt w:val="chineseCounting"/>
      <w:suff w:val="nothing"/>
      <w:lvlText w:val="%1、"/>
      <w:lvlJc w:val="left"/>
      <w:rPr>
        <w:rFonts w:hint="eastAsia"/>
      </w:rPr>
    </w:lvl>
  </w:abstractNum>
  <w:abstractNum w:abstractNumId="4">
    <w:nsid w:val="1AF9852C"/>
    <w:multiLevelType w:val="singleLevel"/>
    <w:tmpl w:val="1AF9852C"/>
    <w:lvl w:ilvl="0" w:tentative="0">
      <w:start w:val="1"/>
      <w:numFmt w:val="bullet"/>
      <w:pStyle w:val="19"/>
      <w:lvlText w:val=""/>
      <w:lvlJc w:val="left"/>
      <w:pPr>
        <w:tabs>
          <w:tab w:val="left" w:pos="780"/>
        </w:tabs>
        <w:ind w:left="780" w:hanging="360"/>
      </w:pPr>
      <w:rPr>
        <w:rFonts w:hint="default" w:ascii="Wingdings" w:hAnsi="Wingdings"/>
      </w:rPr>
    </w:lvl>
  </w:abstractNum>
  <w:abstractNum w:abstractNumId="5">
    <w:nsid w:val="340EBADE"/>
    <w:multiLevelType w:val="singleLevel"/>
    <w:tmpl w:val="340EBADE"/>
    <w:lvl w:ilvl="0" w:tentative="0">
      <w:start w:val="1"/>
      <w:numFmt w:val="decimal"/>
      <w:suff w:val="nothing"/>
      <w:lvlText w:val="%1、"/>
      <w:lvlJc w:val="left"/>
    </w:lvl>
  </w:abstractNum>
  <w:abstractNum w:abstractNumId="6">
    <w:nsid w:val="36CB0EE4"/>
    <w:multiLevelType w:val="singleLevel"/>
    <w:tmpl w:val="36CB0EE4"/>
    <w:lvl w:ilvl="0" w:tentative="0">
      <w:start w:val="5"/>
      <w:numFmt w:val="decimal"/>
      <w:suff w:val="nothing"/>
      <w:lvlText w:val="（%1）"/>
      <w:lvlJc w:val="left"/>
    </w:lvl>
  </w:abstractNum>
  <w:abstractNum w:abstractNumId="7">
    <w:nsid w:val="474E2725"/>
    <w:multiLevelType w:val="singleLevel"/>
    <w:tmpl w:val="474E2725"/>
    <w:lvl w:ilvl="0" w:tentative="0">
      <w:start w:val="4"/>
      <w:numFmt w:val="decimal"/>
      <w:suff w:val="nothing"/>
      <w:lvlText w:val="%1、"/>
      <w:lvlJc w:val="left"/>
    </w:lvl>
  </w:abstractNum>
  <w:abstractNum w:abstractNumId="8">
    <w:nsid w:val="5506D4C8"/>
    <w:multiLevelType w:val="singleLevel"/>
    <w:tmpl w:val="5506D4C8"/>
    <w:lvl w:ilvl="0" w:tentative="0">
      <w:start w:val="4"/>
      <w:numFmt w:val="decimal"/>
      <w:suff w:val="nothing"/>
      <w:lvlText w:val="（%1）"/>
      <w:lvlJc w:val="left"/>
    </w:lvl>
  </w:abstractNum>
  <w:abstractNum w:abstractNumId="9">
    <w:nsid w:val="6E1C81C6"/>
    <w:multiLevelType w:val="singleLevel"/>
    <w:tmpl w:val="6E1C81C6"/>
    <w:lvl w:ilvl="0" w:tentative="0">
      <w:start w:val="4"/>
      <w:numFmt w:val="decimal"/>
      <w:suff w:val="nothing"/>
      <w:lvlText w:val="%1、"/>
      <w:lvlJc w:val="left"/>
    </w:lvl>
  </w:abstractNum>
  <w:abstractNum w:abstractNumId="10">
    <w:nsid w:val="6F625AA7"/>
    <w:multiLevelType w:val="multilevel"/>
    <w:tmpl w:val="6F625AA7"/>
    <w:lvl w:ilvl="0" w:tentative="0">
      <w:start w:val="1"/>
      <w:numFmt w:val="decimal"/>
      <w:lvlText w:val="%1"/>
      <w:lvlJc w:val="left"/>
      <w:pPr>
        <w:ind w:left="432" w:hanging="432"/>
      </w:pPr>
    </w:lvl>
    <w:lvl w:ilvl="1" w:tentative="0">
      <w:start w:val="1"/>
      <w:numFmt w:val="decimal"/>
      <w:lvlText w:val="%1.%2"/>
      <w:lvlJc w:val="left"/>
      <w:pPr>
        <w:ind w:left="576" w:hanging="576"/>
      </w:pPr>
    </w:lvl>
    <w:lvl w:ilvl="2" w:tentative="0">
      <w:start w:val="1"/>
      <w:numFmt w:val="decimal"/>
      <w:lvlText w:val="%1.%2.%3"/>
      <w:lvlJc w:val="left"/>
      <w:pPr>
        <w:ind w:left="720" w:hanging="720"/>
      </w:pPr>
    </w:lvl>
    <w:lvl w:ilvl="3" w:tentative="0">
      <w:start w:val="1"/>
      <w:numFmt w:val="decimal"/>
      <w:pStyle w:val="10"/>
      <w:lvlText w:val="%1.%2.%3.%4"/>
      <w:lvlJc w:val="left"/>
      <w:pPr>
        <w:ind w:left="864" w:hanging="864"/>
      </w:pPr>
    </w:lvl>
    <w:lvl w:ilvl="4" w:tentative="0">
      <w:start w:val="1"/>
      <w:numFmt w:val="decimal"/>
      <w:lvlText w:val="%1.%2.%3.%4.%5"/>
      <w:lvlJc w:val="left"/>
      <w:pPr>
        <w:ind w:left="1008" w:hanging="1008"/>
      </w:pPr>
    </w:lvl>
    <w:lvl w:ilvl="5" w:tentative="0">
      <w:start w:val="1"/>
      <w:numFmt w:val="decimal"/>
      <w:lvlText w:val="%1.%2.%3.%4.%5.%6"/>
      <w:lvlJc w:val="left"/>
      <w:pPr>
        <w:ind w:left="1152" w:hanging="1152"/>
      </w:pPr>
    </w:lvl>
    <w:lvl w:ilvl="6" w:tentative="0">
      <w:start w:val="1"/>
      <w:numFmt w:val="decimal"/>
      <w:lvlText w:val="%1.%2.%3.%4.%5.%6.%7"/>
      <w:lvlJc w:val="left"/>
      <w:pPr>
        <w:ind w:left="1296" w:hanging="1296"/>
      </w:pPr>
    </w:lvl>
    <w:lvl w:ilvl="7" w:tentative="0">
      <w:start w:val="1"/>
      <w:numFmt w:val="decimal"/>
      <w:lvlText w:val="%1.%2.%3.%4.%5.%6.%7.%8"/>
      <w:lvlJc w:val="left"/>
      <w:pPr>
        <w:ind w:left="1440" w:hanging="1440"/>
      </w:pPr>
    </w:lvl>
    <w:lvl w:ilvl="8" w:tentative="0">
      <w:start w:val="1"/>
      <w:numFmt w:val="decimal"/>
      <w:lvlText w:val="%1.%2.%3.%4.%5.%6.%7.%8.%9"/>
      <w:lvlJc w:val="left"/>
      <w:pPr>
        <w:ind w:left="1584" w:hanging="1584"/>
      </w:pPr>
    </w:lvl>
  </w:abstractNum>
  <w:num w:numId="1">
    <w:abstractNumId w:val="10"/>
  </w:num>
  <w:num w:numId="2">
    <w:abstractNumId w:val="4"/>
  </w:num>
  <w:num w:numId="3">
    <w:abstractNumId w:val="7"/>
  </w:num>
  <w:num w:numId="4">
    <w:abstractNumId w:val="6"/>
  </w:num>
  <w:num w:numId="5">
    <w:abstractNumId w:val="2"/>
  </w:num>
  <w:num w:numId="6">
    <w:abstractNumId w:val="1"/>
  </w:num>
  <w:num w:numId="7">
    <w:abstractNumId w:val="5"/>
  </w:num>
  <w:num w:numId="8">
    <w:abstractNumId w:val="8"/>
  </w:num>
  <w:num w:numId="9">
    <w:abstractNumId w:val="9"/>
  </w:num>
  <w:num w:numId="10">
    <w:abstractNumId w:val="0"/>
  </w:num>
  <w:num w:numId="11">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zNjYzg0NTdiZTI3Zjg5M2Q5MDAyYjMxZTRjNThhZjUifQ=="/>
  </w:docVars>
  <w:rsids>
    <w:rsidRoot w:val="00172A27"/>
    <w:rsid w:val="00417BD3"/>
    <w:rsid w:val="008A6F73"/>
    <w:rsid w:val="00BD5834"/>
    <w:rsid w:val="00EB3ABA"/>
    <w:rsid w:val="03113B51"/>
    <w:rsid w:val="04D372DB"/>
    <w:rsid w:val="05065269"/>
    <w:rsid w:val="054643BE"/>
    <w:rsid w:val="056B5C75"/>
    <w:rsid w:val="05C622B0"/>
    <w:rsid w:val="07753585"/>
    <w:rsid w:val="07A65AF6"/>
    <w:rsid w:val="08903B46"/>
    <w:rsid w:val="0A634F0B"/>
    <w:rsid w:val="0B312BA9"/>
    <w:rsid w:val="0BE103CC"/>
    <w:rsid w:val="0CB0183C"/>
    <w:rsid w:val="0CF602B9"/>
    <w:rsid w:val="0D1129FD"/>
    <w:rsid w:val="1060045A"/>
    <w:rsid w:val="107B4F98"/>
    <w:rsid w:val="10C9187D"/>
    <w:rsid w:val="12665599"/>
    <w:rsid w:val="13383E5A"/>
    <w:rsid w:val="13443EA5"/>
    <w:rsid w:val="137A3491"/>
    <w:rsid w:val="142D2C60"/>
    <w:rsid w:val="143F6A45"/>
    <w:rsid w:val="1499110D"/>
    <w:rsid w:val="15122F7E"/>
    <w:rsid w:val="158346B4"/>
    <w:rsid w:val="15E76F5D"/>
    <w:rsid w:val="1865196E"/>
    <w:rsid w:val="19010413"/>
    <w:rsid w:val="19D2595E"/>
    <w:rsid w:val="1C2C1601"/>
    <w:rsid w:val="1C6012AB"/>
    <w:rsid w:val="1D037327"/>
    <w:rsid w:val="1F495A63"/>
    <w:rsid w:val="2129494B"/>
    <w:rsid w:val="22AC3262"/>
    <w:rsid w:val="23161E2B"/>
    <w:rsid w:val="275F35AE"/>
    <w:rsid w:val="27C3427E"/>
    <w:rsid w:val="27F32F6D"/>
    <w:rsid w:val="283232D4"/>
    <w:rsid w:val="28F17B81"/>
    <w:rsid w:val="295F5AC6"/>
    <w:rsid w:val="298D31AE"/>
    <w:rsid w:val="2C346090"/>
    <w:rsid w:val="2D11647C"/>
    <w:rsid w:val="2EE8585B"/>
    <w:rsid w:val="2F700DEB"/>
    <w:rsid w:val="30A07FD4"/>
    <w:rsid w:val="31910237"/>
    <w:rsid w:val="319C57BD"/>
    <w:rsid w:val="320C1861"/>
    <w:rsid w:val="32196446"/>
    <w:rsid w:val="3277182F"/>
    <w:rsid w:val="32AC7DED"/>
    <w:rsid w:val="3451558C"/>
    <w:rsid w:val="34A82C7F"/>
    <w:rsid w:val="35CD2ADD"/>
    <w:rsid w:val="37130068"/>
    <w:rsid w:val="371B0DAF"/>
    <w:rsid w:val="372F2CAD"/>
    <w:rsid w:val="37D2727A"/>
    <w:rsid w:val="37FE1858"/>
    <w:rsid w:val="38CE3E46"/>
    <w:rsid w:val="39974106"/>
    <w:rsid w:val="3A1C2D3E"/>
    <w:rsid w:val="3A4A257D"/>
    <w:rsid w:val="3ABE5F92"/>
    <w:rsid w:val="3C4E0CC8"/>
    <w:rsid w:val="3C5F1580"/>
    <w:rsid w:val="3D08468D"/>
    <w:rsid w:val="3D1D0DC6"/>
    <w:rsid w:val="3D867D03"/>
    <w:rsid w:val="3E831516"/>
    <w:rsid w:val="3EB56288"/>
    <w:rsid w:val="3F390222"/>
    <w:rsid w:val="3F7D269C"/>
    <w:rsid w:val="40A0202D"/>
    <w:rsid w:val="40B957EF"/>
    <w:rsid w:val="41780811"/>
    <w:rsid w:val="42F74AB6"/>
    <w:rsid w:val="43B239F7"/>
    <w:rsid w:val="449035E0"/>
    <w:rsid w:val="4521476E"/>
    <w:rsid w:val="45AC3E09"/>
    <w:rsid w:val="47212803"/>
    <w:rsid w:val="480A57D7"/>
    <w:rsid w:val="485F2075"/>
    <w:rsid w:val="48FC471B"/>
    <w:rsid w:val="49252F24"/>
    <w:rsid w:val="4BD3406E"/>
    <w:rsid w:val="4BEC3F5C"/>
    <w:rsid w:val="4C594369"/>
    <w:rsid w:val="4D023B34"/>
    <w:rsid w:val="4D987C7C"/>
    <w:rsid w:val="4DA906B9"/>
    <w:rsid w:val="4F734D00"/>
    <w:rsid w:val="4FEE6CD8"/>
    <w:rsid w:val="525E1573"/>
    <w:rsid w:val="533C108C"/>
    <w:rsid w:val="54105603"/>
    <w:rsid w:val="54887441"/>
    <w:rsid w:val="55C66E38"/>
    <w:rsid w:val="57A87C2C"/>
    <w:rsid w:val="584C4CD1"/>
    <w:rsid w:val="596F60AE"/>
    <w:rsid w:val="5A625E1E"/>
    <w:rsid w:val="5B2F14BA"/>
    <w:rsid w:val="5CF65E8A"/>
    <w:rsid w:val="5E201A2B"/>
    <w:rsid w:val="5FD715D7"/>
    <w:rsid w:val="601A5689"/>
    <w:rsid w:val="606D0118"/>
    <w:rsid w:val="63554566"/>
    <w:rsid w:val="63964B6C"/>
    <w:rsid w:val="643624FF"/>
    <w:rsid w:val="64B153C7"/>
    <w:rsid w:val="64F20CB4"/>
    <w:rsid w:val="65555AC7"/>
    <w:rsid w:val="65BB6B6B"/>
    <w:rsid w:val="66FC3518"/>
    <w:rsid w:val="67803303"/>
    <w:rsid w:val="68D35070"/>
    <w:rsid w:val="69304835"/>
    <w:rsid w:val="69E41524"/>
    <w:rsid w:val="6BFE1F71"/>
    <w:rsid w:val="6D686A9E"/>
    <w:rsid w:val="6F87652A"/>
    <w:rsid w:val="6FE94CC0"/>
    <w:rsid w:val="707D35B5"/>
    <w:rsid w:val="717021FA"/>
    <w:rsid w:val="71C34D91"/>
    <w:rsid w:val="72C00209"/>
    <w:rsid w:val="72D33F8C"/>
    <w:rsid w:val="73130692"/>
    <w:rsid w:val="73C419DA"/>
    <w:rsid w:val="748710D1"/>
    <w:rsid w:val="78951CBC"/>
    <w:rsid w:val="78D77AC4"/>
    <w:rsid w:val="79EE447D"/>
    <w:rsid w:val="7A40582E"/>
    <w:rsid w:val="7A8A10BD"/>
    <w:rsid w:val="7AA67192"/>
    <w:rsid w:val="7AC6633E"/>
    <w:rsid w:val="7B663376"/>
    <w:rsid w:val="7C8E5772"/>
    <w:rsid w:val="7CBC0B3E"/>
    <w:rsid w:val="7D8D6A0C"/>
    <w:rsid w:val="7F423F89"/>
    <w:rsid w:val="7F5B19EB"/>
    <w:rsid w:val="7F925ED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iPriority="0"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qFormat="1"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99" w:semiHidden="0" w:name="footer"/>
    <w:lsdException w:qFormat="1" w:unhideWhenUsed="0" w:uiPriority="99" w:semiHidden="0" w:name="index heading"/>
    <w:lsdException w:qFormat="1" w:uiPriority="0" w:semiHidden="0" w:name="caption"/>
    <w:lsdException w:qFormat="1"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qFormat="1" w:unhideWhenUsed="0" w:uiPriority="0" w:semiHidden="0" w:name="List 3"/>
    <w:lsdException w:unhideWhenUsed="0" w:uiPriority="0" w:semiHidden="0" w:name="List 4"/>
    <w:lsdException w:unhideWhenUsed="0" w:uiPriority="0" w:semiHidden="0" w:name="List 5"/>
    <w:lsdException w:qFormat="1"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1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qFormat="1"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qFormat="1"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360" w:lineRule="auto"/>
      <w:jc w:val="left"/>
    </w:pPr>
    <w:rPr>
      <w:rFonts w:ascii="Times New Roman" w:hAnsi="Times New Roman" w:eastAsia="宋体" w:cs="Times New Roman"/>
      <w:kern w:val="2"/>
      <w:sz w:val="24"/>
      <w:szCs w:val="24"/>
      <w:lang w:val="en-US" w:eastAsia="zh-CN" w:bidi="ar-SA"/>
    </w:rPr>
  </w:style>
  <w:style w:type="paragraph" w:styleId="7">
    <w:name w:val="heading 1"/>
    <w:basedOn w:val="1"/>
    <w:next w:val="1"/>
    <w:link w:val="41"/>
    <w:qFormat/>
    <w:uiPriority w:val="0"/>
    <w:pPr>
      <w:keepNext/>
      <w:keepLines/>
      <w:spacing w:beforeLines="0" w:beforeAutospacing="0" w:afterLines="0" w:afterAutospacing="0" w:line="360" w:lineRule="auto"/>
      <w:outlineLvl w:val="0"/>
    </w:pPr>
    <w:rPr>
      <w:rFonts w:ascii="Times New Roman" w:hAnsi="Times New Roman" w:eastAsia="宋体"/>
      <w:b/>
      <w:kern w:val="44"/>
      <w:sz w:val="32"/>
      <w:szCs w:val="32"/>
    </w:rPr>
  </w:style>
  <w:style w:type="paragraph" w:styleId="8">
    <w:name w:val="heading 2"/>
    <w:basedOn w:val="1"/>
    <w:next w:val="1"/>
    <w:link w:val="40"/>
    <w:qFormat/>
    <w:uiPriority w:val="0"/>
    <w:pPr>
      <w:keepNext/>
      <w:keepLines/>
      <w:spacing w:line="360" w:lineRule="auto"/>
      <w:jc w:val="left"/>
      <w:outlineLvl w:val="1"/>
    </w:pPr>
    <w:rPr>
      <w:rFonts w:ascii="Times New Roman" w:hAnsi="Times New Roman" w:eastAsia="宋体"/>
      <w:b/>
      <w:bCs/>
      <w:sz w:val="28"/>
      <w:szCs w:val="28"/>
    </w:rPr>
  </w:style>
  <w:style w:type="paragraph" w:styleId="9">
    <w:name w:val="heading 3"/>
    <w:basedOn w:val="1"/>
    <w:next w:val="1"/>
    <w:unhideWhenUsed/>
    <w:qFormat/>
    <w:uiPriority w:val="0"/>
    <w:pPr>
      <w:keepNext/>
      <w:keepLines/>
      <w:spacing w:before="260" w:after="260" w:line="415" w:lineRule="auto"/>
      <w:outlineLvl w:val="2"/>
    </w:pPr>
    <w:rPr>
      <w:sz w:val="32"/>
      <w:szCs w:val="32"/>
    </w:rPr>
  </w:style>
  <w:style w:type="paragraph" w:styleId="10">
    <w:name w:val="heading 4"/>
    <w:basedOn w:val="1"/>
    <w:next w:val="1"/>
    <w:unhideWhenUsed/>
    <w:qFormat/>
    <w:uiPriority w:val="0"/>
    <w:pPr>
      <w:keepNext/>
      <w:keepLines/>
      <w:numPr>
        <w:ilvl w:val="3"/>
        <w:numId w:val="1"/>
      </w:numPr>
      <w:spacing w:before="280" w:after="290" w:line="372" w:lineRule="auto"/>
      <w:outlineLvl w:val="3"/>
    </w:pPr>
    <w:rPr>
      <w:rFonts w:ascii="Arial" w:hAnsi="Arial" w:eastAsia="黑体"/>
      <w:b/>
      <w:bCs/>
      <w:sz w:val="28"/>
      <w:szCs w:val="28"/>
    </w:rPr>
  </w:style>
  <w:style w:type="character" w:default="1" w:styleId="33">
    <w:name w:val="Default Paragraph Font"/>
    <w:semiHidden/>
    <w:qFormat/>
    <w:uiPriority w:val="0"/>
  </w:style>
  <w:style w:type="table" w:default="1" w:styleId="31">
    <w:name w:val="Normal Table"/>
    <w:semiHidden/>
    <w:qFormat/>
    <w:uiPriority w:val="0"/>
    <w:tblPr>
      <w:tblCellMar>
        <w:top w:w="0" w:type="dxa"/>
        <w:left w:w="108" w:type="dxa"/>
        <w:bottom w:w="0" w:type="dxa"/>
        <w:right w:w="108" w:type="dxa"/>
      </w:tblCellMar>
    </w:tblPr>
  </w:style>
  <w:style w:type="paragraph" w:customStyle="1" w:styleId="2">
    <w:name w:val="Default"/>
    <w:basedOn w:val="3"/>
    <w:next w:val="4"/>
    <w:qFormat/>
    <w:uiPriority w:val="99"/>
    <w:pPr>
      <w:widowControl w:val="0"/>
      <w:autoSpaceDE w:val="0"/>
      <w:autoSpaceDN w:val="0"/>
      <w:adjustRightInd w:val="0"/>
    </w:pPr>
    <w:rPr>
      <w:rFonts w:ascii="Calibri" w:hAnsi="Calibri" w:eastAsia="宋体" w:cs="Calibri"/>
      <w:color w:val="000000"/>
      <w:kern w:val="0"/>
      <w:sz w:val="24"/>
      <w:szCs w:val="24"/>
      <w:lang w:val="en-US" w:eastAsia="zh-CN" w:bidi="ar-SA"/>
    </w:rPr>
  </w:style>
  <w:style w:type="paragraph" w:customStyle="1" w:styleId="3">
    <w:name w:val="纯文本1"/>
    <w:basedOn w:val="1"/>
    <w:qFormat/>
    <w:uiPriority w:val="0"/>
    <w:rPr>
      <w:rFonts w:ascii="宋体" w:hAnsi="Courier New"/>
    </w:rPr>
  </w:style>
  <w:style w:type="paragraph" w:customStyle="1" w:styleId="4">
    <w:name w:val="样式1"/>
    <w:basedOn w:val="5"/>
    <w:next w:val="1"/>
    <w:qFormat/>
    <w:uiPriority w:val="0"/>
    <w:pPr>
      <w:spacing w:beforeLines="50" w:line="440" w:lineRule="exact"/>
      <w:ind w:left="100" w:leftChars="100"/>
    </w:pPr>
    <w:rPr>
      <w:rFonts w:ascii="宋体" w:hAnsi="宋体"/>
    </w:rPr>
  </w:style>
  <w:style w:type="paragraph" w:styleId="5">
    <w:name w:val="index heading"/>
    <w:basedOn w:val="1"/>
    <w:next w:val="6"/>
    <w:qFormat/>
    <w:uiPriority w:val="99"/>
    <w:rPr>
      <w:szCs w:val="20"/>
    </w:rPr>
  </w:style>
  <w:style w:type="paragraph" w:styleId="6">
    <w:name w:val="index 1"/>
    <w:basedOn w:val="1"/>
    <w:next w:val="1"/>
    <w:unhideWhenUsed/>
    <w:qFormat/>
    <w:uiPriority w:val="0"/>
  </w:style>
  <w:style w:type="paragraph" w:styleId="11">
    <w:name w:val="List 3"/>
    <w:basedOn w:val="1"/>
    <w:next w:val="1"/>
    <w:qFormat/>
    <w:uiPriority w:val="0"/>
    <w:pPr>
      <w:widowControl w:val="0"/>
      <w:autoSpaceDE w:val="0"/>
      <w:autoSpaceDN w:val="0"/>
      <w:spacing w:before="0" w:after="0" w:line="288" w:lineRule="auto"/>
      <w:ind w:left="1260" w:hanging="420"/>
    </w:pPr>
    <w:rPr>
      <w:rFonts w:ascii="Times New Roman" w:eastAsia="宋体"/>
      <w:sz w:val="24"/>
    </w:rPr>
  </w:style>
  <w:style w:type="paragraph" w:styleId="12">
    <w:name w:val="Note Heading"/>
    <w:basedOn w:val="1"/>
    <w:next w:val="1"/>
    <w:qFormat/>
    <w:uiPriority w:val="0"/>
    <w:pPr>
      <w:jc w:val="center"/>
    </w:pPr>
    <w:rPr>
      <w:kern w:val="0"/>
      <w:sz w:val="24"/>
    </w:rPr>
  </w:style>
  <w:style w:type="paragraph" w:styleId="13">
    <w:name w:val="E-mail Signature"/>
    <w:basedOn w:val="1"/>
    <w:qFormat/>
    <w:uiPriority w:val="0"/>
    <w:pPr>
      <w:spacing w:line="460" w:lineRule="exact"/>
      <w:ind w:firstLine="200"/>
    </w:pPr>
    <w:rPr>
      <w:rFonts w:ascii="Times New Roman" w:hAnsi="Times New Roman" w:eastAsia="宋体" w:cs="Times New Roman"/>
      <w:sz w:val="24"/>
    </w:rPr>
  </w:style>
  <w:style w:type="paragraph" w:styleId="14">
    <w:name w:val="Normal Indent"/>
    <w:basedOn w:val="1"/>
    <w:next w:val="15"/>
    <w:link w:val="37"/>
    <w:qFormat/>
    <w:uiPriority w:val="0"/>
    <w:pPr>
      <w:ind w:firstLine="420" w:firstLineChars="200"/>
    </w:pPr>
  </w:style>
  <w:style w:type="paragraph" w:styleId="15">
    <w:name w:val="Body Text First Indent 2"/>
    <w:basedOn w:val="16"/>
    <w:next w:val="1"/>
    <w:qFormat/>
    <w:uiPriority w:val="0"/>
    <w:pPr>
      <w:ind w:firstLine="420"/>
    </w:pPr>
  </w:style>
  <w:style w:type="paragraph" w:styleId="16">
    <w:name w:val="Body Text Indent"/>
    <w:basedOn w:val="1"/>
    <w:qFormat/>
    <w:uiPriority w:val="0"/>
    <w:pPr>
      <w:spacing w:after="120" w:afterLines="0"/>
      <w:ind w:left="420" w:leftChars="200"/>
    </w:pPr>
  </w:style>
  <w:style w:type="paragraph" w:styleId="17">
    <w:name w:val="caption"/>
    <w:basedOn w:val="1"/>
    <w:next w:val="1"/>
    <w:unhideWhenUsed/>
    <w:qFormat/>
    <w:uiPriority w:val="0"/>
    <w:pPr>
      <w:widowControl/>
      <w:adjustRightInd w:val="0"/>
      <w:snapToGrid w:val="0"/>
      <w:jc w:val="center"/>
    </w:pPr>
    <w:rPr>
      <w:rFonts w:cs="Arial"/>
    </w:rPr>
  </w:style>
  <w:style w:type="paragraph" w:styleId="18">
    <w:name w:val="Body Text"/>
    <w:basedOn w:val="1"/>
    <w:qFormat/>
    <w:uiPriority w:val="0"/>
    <w:pPr>
      <w:adjustRightInd w:val="0"/>
      <w:spacing w:line="312" w:lineRule="atLeast"/>
      <w:textAlignment w:val="baseline"/>
    </w:pPr>
    <w:rPr>
      <w:kern w:val="0"/>
      <w:sz w:val="24"/>
      <w:szCs w:val="20"/>
    </w:rPr>
  </w:style>
  <w:style w:type="paragraph" w:styleId="19">
    <w:name w:val="List Bullet 2"/>
    <w:basedOn w:val="1"/>
    <w:qFormat/>
    <w:uiPriority w:val="0"/>
    <w:pPr>
      <w:numPr>
        <w:ilvl w:val="0"/>
        <w:numId w:val="2"/>
      </w:numPr>
    </w:pPr>
  </w:style>
  <w:style w:type="paragraph" w:styleId="20">
    <w:name w:val="Plain Text"/>
    <w:basedOn w:val="1"/>
    <w:qFormat/>
    <w:uiPriority w:val="0"/>
    <w:pPr>
      <w:ind w:firstLine="562"/>
    </w:pPr>
    <w:rPr>
      <w:rFonts w:ascii="宋体" w:hAnsi="Courier New"/>
      <w:sz w:val="28"/>
      <w:szCs w:val="20"/>
    </w:rPr>
  </w:style>
  <w:style w:type="paragraph" w:styleId="21">
    <w:name w:val="Body Text Indent 2"/>
    <w:basedOn w:val="1"/>
    <w:next w:val="1"/>
    <w:qFormat/>
    <w:uiPriority w:val="0"/>
    <w:pPr>
      <w:spacing w:after="120" w:afterLines="0" w:line="480" w:lineRule="auto"/>
      <w:ind w:left="420" w:leftChars="200"/>
    </w:pPr>
  </w:style>
  <w:style w:type="paragraph" w:styleId="22">
    <w:name w:val="footer"/>
    <w:basedOn w:val="1"/>
    <w:qFormat/>
    <w:uiPriority w:val="99"/>
    <w:pPr>
      <w:tabs>
        <w:tab w:val="center" w:pos="4153"/>
        <w:tab w:val="right" w:pos="8306"/>
      </w:tabs>
      <w:snapToGrid w:val="0"/>
      <w:jc w:val="left"/>
    </w:pPr>
    <w:rPr>
      <w:kern w:val="0"/>
      <w:sz w:val="18"/>
      <w:szCs w:val="20"/>
    </w:rPr>
  </w:style>
  <w:style w:type="paragraph" w:styleId="23">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24">
    <w:name w:val="toc 1"/>
    <w:basedOn w:val="1"/>
    <w:next w:val="1"/>
    <w:qFormat/>
    <w:uiPriority w:val="0"/>
    <w:rPr>
      <w:rFonts w:ascii="Times New Roman" w:hAnsi="Times New Roman" w:eastAsia="宋体"/>
    </w:rPr>
  </w:style>
  <w:style w:type="paragraph" w:styleId="25">
    <w:name w:val="List"/>
    <w:basedOn w:val="1"/>
    <w:next w:val="19"/>
    <w:qFormat/>
    <w:uiPriority w:val="0"/>
    <w:pPr>
      <w:ind w:left="200" w:hanging="200" w:hangingChars="200"/>
      <w:contextualSpacing/>
    </w:pPr>
    <w:rPr>
      <w:rFonts w:ascii="Times New Roman" w:hAnsi="Times New Roman" w:eastAsia="宋体" w:cs="Times New Roman"/>
    </w:rPr>
  </w:style>
  <w:style w:type="paragraph" w:styleId="26">
    <w:name w:val="table of figures"/>
    <w:basedOn w:val="1"/>
    <w:next w:val="1"/>
    <w:qFormat/>
    <w:uiPriority w:val="0"/>
    <w:pPr>
      <w:ind w:left="200" w:leftChars="200" w:hanging="200" w:hangingChars="200"/>
    </w:pPr>
  </w:style>
  <w:style w:type="paragraph" w:styleId="27">
    <w:name w:val="toc 2"/>
    <w:basedOn w:val="1"/>
    <w:next w:val="13"/>
    <w:qFormat/>
    <w:uiPriority w:val="0"/>
    <w:pPr>
      <w:ind w:left="420" w:leftChars="200"/>
    </w:pPr>
  </w:style>
  <w:style w:type="paragraph" w:styleId="28">
    <w:name w:val="Normal (Web)"/>
    <w:basedOn w:val="1"/>
    <w:qFormat/>
    <w:uiPriority w:val="0"/>
    <w:pPr>
      <w:widowControl/>
      <w:spacing w:before="100" w:beforeAutospacing="1" w:after="100" w:afterAutospacing="1"/>
      <w:jc w:val="left"/>
    </w:pPr>
    <w:rPr>
      <w:rFonts w:ascii="宋体" w:hAnsi="宋体"/>
      <w:kern w:val="0"/>
      <w:sz w:val="24"/>
      <w:szCs w:val="20"/>
    </w:rPr>
  </w:style>
  <w:style w:type="paragraph" w:styleId="29">
    <w:name w:val="Title"/>
    <w:basedOn w:val="1"/>
    <w:qFormat/>
    <w:uiPriority w:val="10"/>
    <w:pPr>
      <w:spacing w:before="240" w:after="60"/>
      <w:jc w:val="center"/>
      <w:outlineLvl w:val="0"/>
    </w:pPr>
    <w:rPr>
      <w:rFonts w:ascii="Arial" w:hAnsi="Arial"/>
      <w:b/>
      <w:sz w:val="32"/>
    </w:rPr>
  </w:style>
  <w:style w:type="paragraph" w:styleId="30">
    <w:name w:val="Body Text First Indent"/>
    <w:basedOn w:val="1"/>
    <w:next w:val="15"/>
    <w:qFormat/>
    <w:uiPriority w:val="0"/>
    <w:pPr>
      <w:ind w:firstLine="420" w:firstLineChars="100"/>
    </w:pPr>
  </w:style>
  <w:style w:type="table" w:styleId="32">
    <w:name w:val="Table Grid"/>
    <w:basedOn w:val="31"/>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34">
    <w:name w:val="page number"/>
    <w:basedOn w:val="33"/>
    <w:qFormat/>
    <w:uiPriority w:val="0"/>
  </w:style>
  <w:style w:type="paragraph" w:customStyle="1" w:styleId="35">
    <w:name w:val="表文字"/>
    <w:basedOn w:val="18"/>
    <w:next w:val="1"/>
    <w:qFormat/>
    <w:uiPriority w:val="0"/>
    <w:pPr>
      <w:spacing w:line="240" w:lineRule="auto"/>
      <w:jc w:val="center"/>
    </w:pPr>
    <w:rPr>
      <w:sz w:val="21"/>
      <w:szCs w:val="21"/>
    </w:rPr>
  </w:style>
  <w:style w:type="paragraph" w:customStyle="1" w:styleId="36">
    <w:name w:val="表头"/>
    <w:basedOn w:val="30"/>
    <w:next w:val="1"/>
    <w:link w:val="39"/>
    <w:qFormat/>
    <w:uiPriority w:val="0"/>
    <w:pPr>
      <w:spacing w:line="240" w:lineRule="auto"/>
      <w:jc w:val="center"/>
    </w:pPr>
    <w:rPr>
      <w:rFonts w:ascii="Times New Roman" w:hAnsi="Times New Roman" w:eastAsia="宋体"/>
      <w:b/>
      <w:sz w:val="21"/>
    </w:rPr>
  </w:style>
  <w:style w:type="character" w:customStyle="1" w:styleId="37">
    <w:name w:val="正文缩进 Char1"/>
    <w:link w:val="14"/>
    <w:qFormat/>
    <w:locked/>
    <w:uiPriority w:val="99"/>
  </w:style>
  <w:style w:type="table" w:customStyle="1" w:styleId="38">
    <w:name w:val="Table Normal"/>
    <w:semiHidden/>
    <w:unhideWhenUsed/>
    <w:qFormat/>
    <w:uiPriority w:val="0"/>
    <w:tblPr>
      <w:tblCellMar>
        <w:top w:w="0" w:type="dxa"/>
        <w:left w:w="0" w:type="dxa"/>
        <w:bottom w:w="0" w:type="dxa"/>
        <w:right w:w="0" w:type="dxa"/>
      </w:tblCellMar>
    </w:tblPr>
  </w:style>
  <w:style w:type="character" w:customStyle="1" w:styleId="39">
    <w:name w:val="表头 Char"/>
    <w:link w:val="36"/>
    <w:qFormat/>
    <w:uiPriority w:val="0"/>
    <w:rPr>
      <w:rFonts w:ascii="Times New Roman" w:hAnsi="Times New Roman" w:eastAsia="宋体"/>
      <w:b/>
      <w:sz w:val="21"/>
    </w:rPr>
  </w:style>
  <w:style w:type="character" w:customStyle="1" w:styleId="40">
    <w:name w:val="标题 2 Char"/>
    <w:link w:val="8"/>
    <w:qFormat/>
    <w:uiPriority w:val="0"/>
    <w:rPr>
      <w:rFonts w:ascii="Times New Roman" w:hAnsi="Times New Roman" w:eastAsia="宋体"/>
      <w:b/>
      <w:bCs/>
      <w:sz w:val="28"/>
      <w:szCs w:val="28"/>
    </w:rPr>
  </w:style>
  <w:style w:type="character" w:customStyle="1" w:styleId="41">
    <w:name w:val="标题 1 Char"/>
    <w:link w:val="7"/>
    <w:qFormat/>
    <w:uiPriority w:val="0"/>
    <w:rPr>
      <w:rFonts w:ascii="Times New Roman" w:hAnsi="Times New Roman" w:eastAsia="宋体"/>
      <w:b/>
      <w:kern w:val="44"/>
      <w:sz w:val="32"/>
      <w:szCs w:val="32"/>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footer" Target="footer1.xml"/><Relationship Id="rId59" Type="http://schemas.openxmlformats.org/officeDocument/2006/relationships/fontTable" Target="fontTable.xml"/><Relationship Id="rId58" Type="http://schemas.openxmlformats.org/officeDocument/2006/relationships/numbering" Target="numbering.xml"/><Relationship Id="rId57" Type="http://schemas.openxmlformats.org/officeDocument/2006/relationships/customXml" Target="../customXml/item1.xml"/><Relationship Id="rId56" Type="http://schemas.openxmlformats.org/officeDocument/2006/relationships/image" Target="media/image46.png"/><Relationship Id="rId55" Type="http://schemas.openxmlformats.org/officeDocument/2006/relationships/image" Target="media/image45.png"/><Relationship Id="rId54" Type="http://schemas.openxmlformats.org/officeDocument/2006/relationships/image" Target="media/image44.png"/><Relationship Id="rId53" Type="http://schemas.openxmlformats.org/officeDocument/2006/relationships/image" Target="media/image43.png"/><Relationship Id="rId52" Type="http://schemas.openxmlformats.org/officeDocument/2006/relationships/image" Target="media/image42.png"/><Relationship Id="rId51" Type="http://schemas.openxmlformats.org/officeDocument/2006/relationships/image" Target="media/image41.png"/><Relationship Id="rId50" Type="http://schemas.openxmlformats.org/officeDocument/2006/relationships/image" Target="media/image40.png"/><Relationship Id="rId5" Type="http://schemas.openxmlformats.org/officeDocument/2006/relationships/header" Target="header1.xml"/><Relationship Id="rId49" Type="http://schemas.openxmlformats.org/officeDocument/2006/relationships/image" Target="media/image39.png"/><Relationship Id="rId48" Type="http://schemas.openxmlformats.org/officeDocument/2006/relationships/image" Target="media/image38.jpeg"/><Relationship Id="rId47" Type="http://schemas.openxmlformats.org/officeDocument/2006/relationships/image" Target="media/image37.jpeg"/><Relationship Id="rId46" Type="http://schemas.openxmlformats.org/officeDocument/2006/relationships/image" Target="media/image36.jpeg"/><Relationship Id="rId45" Type="http://schemas.openxmlformats.org/officeDocument/2006/relationships/image" Target="media/image35.jpeg"/><Relationship Id="rId44" Type="http://schemas.openxmlformats.org/officeDocument/2006/relationships/image" Target="media/image34.png"/><Relationship Id="rId43" Type="http://schemas.openxmlformats.org/officeDocument/2006/relationships/image" Target="media/image33.png"/><Relationship Id="rId42" Type="http://schemas.openxmlformats.org/officeDocument/2006/relationships/image" Target="media/image32.jpeg"/><Relationship Id="rId41" Type="http://schemas.openxmlformats.org/officeDocument/2006/relationships/image" Target="media/image31.png"/><Relationship Id="rId40" Type="http://schemas.openxmlformats.org/officeDocument/2006/relationships/image" Target="media/image30.png"/><Relationship Id="rId4" Type="http://schemas.openxmlformats.org/officeDocument/2006/relationships/endnotes" Target="endnotes.xml"/><Relationship Id="rId39" Type="http://schemas.openxmlformats.org/officeDocument/2006/relationships/image" Target="media/image29.jpeg"/><Relationship Id="rId38" Type="http://schemas.openxmlformats.org/officeDocument/2006/relationships/image" Target="media/image28.jpeg"/><Relationship Id="rId37" Type="http://schemas.openxmlformats.org/officeDocument/2006/relationships/image" Target="media/image27.jpeg"/><Relationship Id="rId36" Type="http://schemas.openxmlformats.org/officeDocument/2006/relationships/image" Target="media/image26.jpeg"/><Relationship Id="rId35" Type="http://schemas.openxmlformats.org/officeDocument/2006/relationships/image" Target="media/image25.jpeg"/><Relationship Id="rId34" Type="http://schemas.openxmlformats.org/officeDocument/2006/relationships/image" Target="media/image24.jpeg"/><Relationship Id="rId33" Type="http://schemas.openxmlformats.org/officeDocument/2006/relationships/image" Target="media/image23.jpeg"/><Relationship Id="rId32" Type="http://schemas.openxmlformats.org/officeDocument/2006/relationships/image" Target="media/image22.jpeg"/><Relationship Id="rId31" Type="http://schemas.openxmlformats.org/officeDocument/2006/relationships/image" Target="media/image21.jpeg"/><Relationship Id="rId30" Type="http://schemas.openxmlformats.org/officeDocument/2006/relationships/image" Target="media/image20.jpeg"/><Relationship Id="rId3" Type="http://schemas.openxmlformats.org/officeDocument/2006/relationships/footnotes" Target="footnotes.xml"/><Relationship Id="rId29" Type="http://schemas.openxmlformats.org/officeDocument/2006/relationships/image" Target="media/image19.jpeg"/><Relationship Id="rId28" Type="http://schemas.openxmlformats.org/officeDocument/2006/relationships/image" Target="media/image18.png"/><Relationship Id="rId27" Type="http://schemas.openxmlformats.org/officeDocument/2006/relationships/image" Target="media/image17.jpeg"/><Relationship Id="rId26" Type="http://schemas.openxmlformats.org/officeDocument/2006/relationships/image" Target="media/image16.jpeg"/><Relationship Id="rId25" Type="http://schemas.openxmlformats.org/officeDocument/2006/relationships/image" Target="media/image15.png"/><Relationship Id="rId24" Type="http://schemas.openxmlformats.org/officeDocument/2006/relationships/image" Target="media/image14.jpeg"/><Relationship Id="rId23" Type="http://schemas.openxmlformats.org/officeDocument/2006/relationships/image" Target="media/image13.png"/><Relationship Id="rId22" Type="http://schemas.openxmlformats.org/officeDocument/2006/relationships/image" Target="media/image12.wmf"/><Relationship Id="rId21" Type="http://schemas.openxmlformats.org/officeDocument/2006/relationships/image" Target="media/image11.wmf"/><Relationship Id="rId20" Type="http://schemas.openxmlformats.org/officeDocument/2006/relationships/image" Target="media/image10.png"/><Relationship Id="rId2" Type="http://schemas.openxmlformats.org/officeDocument/2006/relationships/settings" Target="settings.xml"/><Relationship Id="rId19" Type="http://schemas.openxmlformats.org/officeDocument/2006/relationships/image" Target="media/image9.png"/><Relationship Id="rId18" Type="http://schemas.openxmlformats.org/officeDocument/2006/relationships/image" Target="media/image8.png"/><Relationship Id="rId17" Type="http://schemas.openxmlformats.org/officeDocument/2006/relationships/image" Target="media/image7.png"/><Relationship Id="rId16" Type="http://schemas.openxmlformats.org/officeDocument/2006/relationships/image" Target="media/image6.png"/><Relationship Id="rId15" Type="http://schemas.openxmlformats.org/officeDocument/2006/relationships/image" Target="media/image5.emf"/><Relationship Id="rId14" Type="http://schemas.openxmlformats.org/officeDocument/2006/relationships/oleObject" Target="embeddings/oleObject1.bin"/><Relationship Id="rId13" Type="http://schemas.openxmlformats.org/officeDocument/2006/relationships/image" Target="media/image4.png"/><Relationship Id="rId12" Type="http://schemas.openxmlformats.org/officeDocument/2006/relationships/image" Target="media/image3.jpeg"/><Relationship Id="rId11" Type="http://schemas.openxmlformats.org/officeDocument/2006/relationships/image" Target="media/image2.jpeg"/><Relationship Id="rId10" Type="http://schemas.openxmlformats.org/officeDocument/2006/relationships/image" Target="media/image1.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95</Pages>
  <Words>38353</Words>
  <Characters>43380</Characters>
  <Lines>0</Lines>
  <Paragraphs>0</Paragraphs>
  <TotalTime>7</TotalTime>
  <ScaleCrop>false</ScaleCrop>
  <LinksUpToDate>false</LinksUpToDate>
  <CharactersWithSpaces>43767</CharactersWithSpaces>
  <Application>WPS Office_11.1.0.14309_F1E327BC-269C-435d-A152-05C5408002CA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2021-03-03T02:06:00Z</dcterms:created>
  <dc:creator>小袁</dc:creator>
  <cp:lastModifiedBy>pap</cp:lastModifiedBy>
  <dcterms:modified xsi:type="dcterms:W3CDTF">2023-05-18T06:38:03Z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323E1F6830CD4E118B1720181BADCFA6_13</vt:lpwstr>
  </property>
</Properties>
</file>