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p>
    <w:p>
      <w:pPr>
        <w:rPr>
          <w:rFonts w:ascii="黑体" w:eastAsia="黑体"/>
          <w:sz w:val="32"/>
          <w:szCs w:val="32"/>
        </w:rPr>
      </w:pPr>
    </w:p>
    <w:p>
      <w:pPr>
        <w:jc w:val="center"/>
        <w:rPr>
          <w:rFonts w:hint="eastAsia" w:ascii="方正小标宋_GBK" w:eastAsia="方正小标宋_GBK"/>
          <w:sz w:val="48"/>
          <w:szCs w:val="48"/>
        </w:rPr>
      </w:pPr>
      <w:r>
        <w:rPr>
          <w:rFonts w:hint="eastAsia" w:ascii="方正小标宋_GBK" w:eastAsia="方正小标宋_GBK"/>
          <w:sz w:val="48"/>
          <w:szCs w:val="48"/>
        </w:rPr>
        <w:t>2021年度部门整体支出</w:t>
      </w:r>
    </w:p>
    <w:p>
      <w:pPr>
        <w:jc w:val="center"/>
        <w:rPr>
          <w:rFonts w:ascii="方正小标宋_GBK" w:eastAsia="方正小标宋_GBK"/>
          <w:sz w:val="48"/>
          <w:szCs w:val="48"/>
        </w:rPr>
      </w:pPr>
      <w:r>
        <w:rPr>
          <w:rFonts w:hint="eastAsia" w:ascii="方正小标宋_GBK" w:eastAsia="方正小标宋_GBK"/>
          <w:sz w:val="48"/>
          <w:szCs w:val="48"/>
        </w:rPr>
        <w:t>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祁东县粮食和物资储备中心</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宋体" w:hAnsi="宋体" w:cs="宋体"/>
          <w:b/>
          <w:bCs/>
          <w:kern w:val="0"/>
          <w:sz w:val="36"/>
          <w:szCs w:val="36"/>
        </w:rPr>
      </w:pPr>
    </w:p>
    <w:p>
      <w:pPr>
        <w:jc w:val="center"/>
        <w:rPr>
          <w:rFonts w:hint="eastAsia" w:ascii="宋体" w:hAnsi="宋体" w:cs="宋体"/>
          <w:b/>
          <w:bCs/>
          <w:kern w:val="0"/>
          <w:sz w:val="36"/>
          <w:szCs w:val="36"/>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30"/>
          <w:szCs w:val="30"/>
        </w:rPr>
      </w:pPr>
      <w:r>
        <w:rPr>
          <w:rFonts w:hint="eastAsia" w:ascii="宋体" w:hAnsi="宋体" w:cs="宋体"/>
          <w:b/>
          <w:bCs/>
          <w:kern w:val="0"/>
          <w:sz w:val="36"/>
          <w:szCs w:val="36"/>
        </w:rPr>
        <w:br w:type="page"/>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kern w:val="0"/>
          <w:sz w:val="30"/>
          <w:szCs w:val="30"/>
        </w:rPr>
      </w:pPr>
      <w:r>
        <w:rPr>
          <w:rFonts w:hint="eastAsia" w:ascii="仿宋" w:hAnsi="仿宋" w:eastAsia="仿宋" w:cs="仿宋"/>
          <w:b/>
          <w:bCs/>
          <w:kern w:val="0"/>
          <w:sz w:val="30"/>
          <w:szCs w:val="30"/>
        </w:rPr>
        <w:t>一、部门基本情况</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kern w:val="0"/>
          <w:sz w:val="30"/>
          <w:szCs w:val="30"/>
        </w:rPr>
      </w:pPr>
      <w:r>
        <w:rPr>
          <w:rFonts w:hint="eastAsia" w:ascii="仿宋" w:hAnsi="仿宋" w:eastAsia="仿宋" w:cs="仿宋"/>
          <w:b/>
          <w:kern w:val="0"/>
          <w:sz w:val="30"/>
          <w:szCs w:val="30"/>
        </w:rPr>
        <w:t>（一）部门职责</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sz w:val="30"/>
          <w:szCs w:val="30"/>
        </w:rPr>
        <w:t>主要职能是拟订全县粮食总量平衡和粮食流通的长期规划。负责实施粮食流通、粮食库存检查制度，参与协调粮食最低收购价等政策性粮食购销和粮食产销合作；负责粮食流通的行业管理，拟订县级储备粮的规模、总体布局、购销计划及动用县级储备粮的建议；负责国有粮食企业财务的内部审计工作；监管国有控股粮食参股企业的国有资产；负责全县粮食信息网络建设。</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kern w:val="0"/>
          <w:sz w:val="30"/>
          <w:szCs w:val="30"/>
        </w:rPr>
      </w:pPr>
      <w:r>
        <w:rPr>
          <w:rFonts w:hint="eastAsia" w:ascii="仿宋" w:hAnsi="仿宋" w:eastAsia="仿宋" w:cs="仿宋"/>
          <w:b/>
          <w:kern w:val="0"/>
          <w:sz w:val="30"/>
          <w:szCs w:val="30"/>
        </w:rPr>
        <w:t>（二）机构设置和人员编制情况</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sz w:val="30"/>
          <w:szCs w:val="30"/>
        </w:rPr>
        <w:t>县粮食</w:t>
      </w:r>
      <w:r>
        <w:rPr>
          <w:rFonts w:hint="eastAsia" w:ascii="仿宋" w:hAnsi="仿宋" w:eastAsia="仿宋" w:cs="仿宋"/>
          <w:kern w:val="0"/>
          <w:sz w:val="30"/>
          <w:szCs w:val="30"/>
        </w:rPr>
        <w:t>和物资</w:t>
      </w:r>
      <w:r>
        <w:rPr>
          <w:rFonts w:hint="eastAsia" w:ascii="仿宋" w:hAnsi="仿宋" w:eastAsia="仿宋" w:cs="仿宋"/>
          <w:sz w:val="30"/>
          <w:szCs w:val="30"/>
        </w:rPr>
        <w:t>储备中心是副科级全额拨款公益类事业单位，设立5个内设机构，分别为：办公室、政工维稳股、业务股、安全保障股、计划财务股，纪检（监察）机构、工青妇等群团组织按有关规定和章程设置。</w:t>
      </w:r>
      <w:r>
        <w:rPr>
          <w:rFonts w:hint="eastAsia" w:ascii="仿宋" w:hAnsi="仿宋" w:eastAsia="仿宋" w:cs="仿宋"/>
          <w:kern w:val="0"/>
          <w:sz w:val="30"/>
          <w:szCs w:val="30"/>
        </w:rPr>
        <w:t xml:space="preserve">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kern w:val="0"/>
          <w:sz w:val="30"/>
          <w:szCs w:val="30"/>
        </w:rPr>
        <w:t>人员定编25人，</w:t>
      </w:r>
      <w:r>
        <w:rPr>
          <w:rFonts w:hint="eastAsia" w:ascii="仿宋" w:hAnsi="仿宋" w:eastAsia="仿宋" w:cs="仿宋"/>
          <w:sz w:val="30"/>
          <w:szCs w:val="30"/>
        </w:rPr>
        <w:t>年末实际在职人员17人，其中财政统发人员7人，非统发人员10人。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2" w:firstLineChars="200"/>
        <w:textAlignment w:val="auto"/>
        <w:outlineLvl w:val="9"/>
        <w:rPr>
          <w:rFonts w:hint="eastAsia" w:ascii="仿宋" w:hAnsi="仿宋" w:eastAsia="仿宋" w:cs="仿宋"/>
          <w:b/>
          <w:kern w:val="2"/>
          <w:sz w:val="30"/>
          <w:szCs w:val="30"/>
        </w:rPr>
      </w:pPr>
      <w:r>
        <w:rPr>
          <w:rFonts w:hint="eastAsia" w:ascii="仿宋" w:hAnsi="仿宋" w:eastAsia="仿宋" w:cs="仿宋"/>
          <w:b/>
          <w:kern w:val="2"/>
          <w:sz w:val="30"/>
          <w:szCs w:val="30"/>
        </w:rPr>
        <w:t>(三)年度重点工作计划</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1、推进粮食产业化经营，做大做强粮食产业，继续抓住成为“好粮油”行动计划国家级示范县的契机，引导各粮油企业做好我县粮油工作，发展粮食产业。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构建粮食安全保障体系，确保</w:t>
      </w:r>
      <w:r>
        <w:rPr>
          <w:rFonts w:hint="eastAsia" w:ascii="仿宋" w:hAnsi="仿宋" w:eastAsia="仿宋" w:cs="仿宋"/>
          <w:color w:val="auto"/>
          <w:kern w:val="2"/>
          <w:sz w:val="30"/>
          <w:szCs w:val="30"/>
          <w:lang w:val="en-US" w:eastAsia="zh-CN"/>
        </w:rPr>
        <w:t>我县</w:t>
      </w:r>
      <w:r>
        <w:rPr>
          <w:rFonts w:hint="eastAsia" w:ascii="仿宋" w:hAnsi="仿宋" w:eastAsia="仿宋" w:cs="仿宋"/>
          <w:color w:val="auto"/>
          <w:kern w:val="2"/>
          <w:sz w:val="30"/>
          <w:szCs w:val="30"/>
        </w:rPr>
        <w:t>粮食安全。建立和完善粮油储备体系，守住管好“天下粮仓”，抓好各级</w:t>
      </w:r>
      <w:r>
        <w:rPr>
          <w:rFonts w:hint="eastAsia" w:ascii="仿宋" w:hAnsi="仿宋" w:eastAsia="仿宋" w:cs="仿宋"/>
          <w:color w:val="auto"/>
          <w:kern w:val="2"/>
          <w:sz w:val="30"/>
          <w:szCs w:val="30"/>
          <w:lang w:val="en-US" w:eastAsia="zh-CN"/>
        </w:rPr>
        <w:t>储备粮</w:t>
      </w:r>
      <w:r>
        <w:rPr>
          <w:rFonts w:hint="eastAsia" w:ascii="仿宋" w:hAnsi="仿宋" w:eastAsia="仿宋" w:cs="仿宋"/>
          <w:color w:val="auto"/>
          <w:kern w:val="2"/>
          <w:sz w:val="30"/>
          <w:szCs w:val="30"/>
        </w:rPr>
        <w:t>储存管理工作，确保品种、数量真实，质量良好，储存安全。</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强化国有资产管理，探索国有控股企业发展新思路</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要创新自主经营发展新理念、新思路，多方寻求有效途径，引领企业稳步健康有序发展。</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rPr>
        <w:t>进一步抓好基层党建工作和机关作风建设，扎实开展好学习机关创建、效能机关创建、创新机关创建、清风机关创建等 “四大工程”行动，持续推动各项学习教育常态化、制度化</w:t>
      </w:r>
      <w:r>
        <w:rPr>
          <w:rFonts w:hint="eastAsia" w:ascii="仿宋" w:hAnsi="仿宋" w:eastAsia="仿宋" w:cs="仿宋"/>
          <w:color w:val="auto"/>
          <w:kern w:val="2"/>
          <w:sz w:val="30"/>
          <w:szCs w:val="30"/>
          <w:lang w:eastAsia="zh-CN"/>
        </w:rPr>
        <w:t>。</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color w:val="auto"/>
          <w:kern w:val="2"/>
          <w:sz w:val="30"/>
          <w:szCs w:val="30"/>
          <w:lang w:eastAsia="zh-CN"/>
        </w:rPr>
        <w:t>时刻绷紧“安全生产”工作这根弦，抓实抓细，压实责任，确保本系统全年无安全事故发生。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2" w:firstLineChars="200"/>
        <w:textAlignment w:val="auto"/>
        <w:outlineLvl w:val="9"/>
        <w:rPr>
          <w:rFonts w:hint="eastAsia" w:ascii="仿宋" w:hAnsi="仿宋" w:eastAsia="仿宋" w:cs="仿宋"/>
          <w:b/>
          <w:kern w:val="2"/>
          <w:sz w:val="30"/>
          <w:szCs w:val="30"/>
        </w:rPr>
      </w:pPr>
      <w:r>
        <w:rPr>
          <w:rFonts w:hint="eastAsia" w:ascii="仿宋" w:hAnsi="仿宋" w:eastAsia="仿宋" w:cs="仿宋"/>
          <w:b/>
          <w:kern w:val="2"/>
          <w:sz w:val="30"/>
          <w:szCs w:val="30"/>
        </w:rPr>
        <w:t>（四）部门整体支出规模、使用方向、主要内容和涉及范围</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本年收入合计1821.6万元，其中：一般公共预算财政拨款收入1677.04万元，占92.06%；政府性基金预算财政拨款收入17.20万元，占0.94%。本年支出合计1821.60万元，其中：基本支出418.01万元，占22.95%；项目支出1403.59万元，占77.05%。</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二、基本支出情况</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1、实际整体收支情况</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bCs/>
          <w:kern w:val="0"/>
          <w:sz w:val="30"/>
          <w:szCs w:val="30"/>
        </w:rPr>
      </w:pPr>
      <w:r>
        <w:rPr>
          <w:rFonts w:hint="eastAsia" w:ascii="仿宋" w:hAnsi="仿宋" w:eastAsia="仿宋" w:cs="仿宋"/>
          <w:bCs/>
          <w:kern w:val="0"/>
          <w:sz w:val="30"/>
          <w:szCs w:val="30"/>
        </w:rPr>
        <w:t>2021年度收、支总计1821.6万元。与上年相比减少994.54万元，下降35.32%。</w:t>
      </w:r>
    </w:p>
    <w:p>
      <w:pPr>
        <w:keepNext w:val="0"/>
        <w:keepLines w:val="0"/>
        <w:pageBreakBefore w:val="0"/>
        <w:kinsoku/>
        <w:wordWrap/>
        <w:overflowPunct/>
        <w:topLinePunct w:val="0"/>
        <w:autoSpaceDE/>
        <w:autoSpaceDN/>
        <w:bidi w:val="0"/>
        <w:adjustRightInd/>
        <w:snapToGrid/>
        <w:spacing w:line="360" w:lineRule="auto"/>
        <w:ind w:firstLine="683" w:firstLineChars="228"/>
        <w:textAlignment w:val="auto"/>
        <w:outlineLvl w:val="9"/>
        <w:rPr>
          <w:rFonts w:hint="eastAsia" w:ascii="仿宋" w:hAnsi="仿宋" w:eastAsia="仿宋" w:cs="仿宋"/>
          <w:sz w:val="30"/>
          <w:szCs w:val="30"/>
        </w:rPr>
      </w:pPr>
      <w:r>
        <w:rPr>
          <w:rFonts w:hint="eastAsia" w:ascii="仿宋" w:hAnsi="仿宋" w:eastAsia="仿宋" w:cs="仿宋"/>
          <w:sz w:val="30"/>
          <w:szCs w:val="30"/>
        </w:rPr>
        <w:t>2021年度财政拨款基本支出290.65万元，其中：人员经费219.42万元，占基本支出的75.49%,主要包括本工资、津贴补贴、奖金、机关事业单位基本养老保险缴费、职工基本医疗保险缴费、其他社会保障缴费、住房公积金、抚恤金、医疗费补助；公用经费71.24万元，占基本支出的24.51%,主要包括办公费、印刷费、电费、差旅费、公务接待费、委托业务费、工会经费、公务用车运行维护费、其他商品和服务支出、办公设备购置。</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2、“三公” 经费总支出情况</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2021年三公经费预算为3.2万元，其中：因公出国（境）费预算0万元,公务用车购置费0万元，公务用车运行维护费1万元，公务接待费2.2万元。本年度实际支出3.2万元，其中：因公出国（境）费0万元，公务用车购置费0万元，公务用车运行维护费1万元，公务接待费2.2万元，比预算节约0万元，较上年同期增加0.16万元，发生了接待用餐费，公务接待批次110次，人数56人。</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3.因公出国（境）费用支出和公务用车（购置）情况</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2021年参加出国（境）团组0个，因公出国（境）费用零支出，购置新车0台。</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三、项目支出 </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 （一）、项目资金安排、使用</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2021年度项目支出1403.59万元（财政拨款1403.59万元），为资本性支出1403.59万元，主要项目包括：2020年粮食收购“三个一”服务费17.2万元，政策性粮食财务挂账贷款利息258.77万元，粮食收购风险基金82万元，政策性粮食财务挂账贷款利息180万元，粮食监管、社会粮食平衡调查、粮食安全保障、粮食收购费用29.35万元，2021年粮油千亿产业工程专项资金50万元，“中国好粮油”行动计划国家级示范县500万元，对粮食企业储备粮油补贴286.27万元。</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（二）、项目资金管理、组织实施</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（三）、资产管理情况  </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2021年资产总计12256.28万元，与上年度对比增加15.11万元，主要原因其他应收款增加；负债总计12136.48万元，比上年度相比，增加42.86万元，增幅0.35%，主要原因是长期应付款增加42.86万元。</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我中心为规范固定资产的管理，制定了《固定资产管理制度》，对机关资产配置、资产更新和购置程序、资产保管、资产报废与核销、国有资产出租、出借所形成的收入等方面做出了明确的规定。做到了账实相符，报批手续完整，固定资产及时登记入账。</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四、部门整体支出绩效情况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（一）单位总支出情况的绩效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2021年度支出总额</w:t>
      </w:r>
      <w:r>
        <w:rPr>
          <w:rFonts w:hint="eastAsia" w:ascii="仿宋" w:hAnsi="仿宋" w:eastAsia="仿宋" w:cs="仿宋"/>
          <w:bCs/>
          <w:sz w:val="30"/>
          <w:szCs w:val="30"/>
        </w:rPr>
        <w:t>1821.6</w:t>
      </w:r>
      <w:r>
        <w:rPr>
          <w:rFonts w:hint="eastAsia" w:ascii="仿宋" w:hAnsi="仿宋" w:eastAsia="仿宋" w:cs="仿宋"/>
          <w:sz w:val="30"/>
          <w:szCs w:val="30"/>
        </w:rPr>
        <w:t>万元，其中基本支出418.01万元，基本支出保障了单位正常运转的日常支出，包括基本工资、津贴补贴等人员经费以及办公费、水电费、差旅费等日常公用经费；项目支出金额1403.59万元，项目支出主要用于对企业补贴费用等支出。</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（二）部门整体绩效情况</w:t>
      </w:r>
    </w:p>
    <w:p>
      <w:pPr>
        <w:keepNext w:val="0"/>
        <w:keepLines w:val="0"/>
        <w:pageBreakBefore w:val="0"/>
        <w:kinsoku/>
        <w:wordWrap/>
        <w:overflowPunct/>
        <w:topLinePunct w:val="0"/>
        <w:autoSpaceDE/>
        <w:autoSpaceDN/>
        <w:bidi w:val="0"/>
        <w:adjustRightInd/>
        <w:snapToGrid/>
        <w:spacing w:line="360" w:lineRule="auto"/>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1、全县各类储粮，在“强制度、勤监管、压责任、严追究”的管理体系下，所有储粮无一出现安全事故，圆满通过省市各项安全储粮和安全生产集中行动大检查</w:t>
      </w:r>
      <w:r>
        <w:rPr>
          <w:rFonts w:hint="eastAsia" w:ascii="仿宋" w:hAnsi="仿宋" w:eastAsia="仿宋" w:cs="仿宋"/>
          <w:sz w:val="30"/>
          <w:szCs w:val="30"/>
          <w:lang w:eastAsia="zh-CN"/>
        </w:rPr>
        <w:t>，</w:t>
      </w:r>
      <w:r>
        <w:rPr>
          <w:rFonts w:hint="eastAsia" w:ascii="仿宋" w:hAnsi="仿宋" w:eastAsia="仿宋" w:cs="仿宋"/>
          <w:sz w:val="30"/>
          <w:szCs w:val="30"/>
        </w:rPr>
        <w:t>粮食流通执法工作，成效显著，政策性粮食出库零投诉。</w:t>
      </w:r>
    </w:p>
    <w:p>
      <w:pPr>
        <w:keepNext w:val="0"/>
        <w:keepLines w:val="0"/>
        <w:pageBreakBefore w:val="0"/>
        <w:kinsoku/>
        <w:wordWrap/>
        <w:overflowPunct/>
        <w:topLinePunct w:val="0"/>
        <w:autoSpaceDE/>
        <w:autoSpaceDN/>
        <w:bidi w:val="0"/>
        <w:adjustRightInd/>
        <w:snapToGrid/>
        <w:spacing w:line="360" w:lineRule="auto"/>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2、解决种粮农户“卖粮难”</w:t>
      </w:r>
      <w:r>
        <w:rPr>
          <w:rFonts w:hint="eastAsia" w:ascii="仿宋" w:hAnsi="仿宋" w:eastAsia="仿宋" w:cs="仿宋"/>
          <w:sz w:val="30"/>
          <w:szCs w:val="30"/>
          <w:lang w:eastAsia="zh-CN"/>
        </w:rPr>
        <w:t>，</w:t>
      </w:r>
      <w:r>
        <w:rPr>
          <w:rFonts w:hint="eastAsia" w:ascii="仿宋" w:hAnsi="仿宋" w:eastAsia="仿宋" w:cs="仿宋"/>
          <w:sz w:val="30"/>
          <w:szCs w:val="30"/>
        </w:rPr>
        <w:t>大力开展订单粮食，以销定购，快购快销，极大地方便了群众送粮，提高了种粮农户的积极</w:t>
      </w:r>
      <w:r>
        <w:rPr>
          <w:rFonts w:hint="eastAsia" w:ascii="仿宋" w:hAnsi="仿宋" w:eastAsia="仿宋" w:cs="仿宋"/>
          <w:sz w:val="30"/>
          <w:szCs w:val="30"/>
          <w:lang w:val="en-US" w:eastAsia="zh-CN"/>
        </w:rPr>
        <w:t>性</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auto"/>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3、提高政治站位，高位推动粮安责任制考核工作，加强成员单位之间上下级之间的沟通和协调，确保了全县粮安工作顺利完成。</w:t>
      </w:r>
    </w:p>
    <w:p>
      <w:pPr>
        <w:keepNext w:val="0"/>
        <w:keepLines w:val="0"/>
        <w:pageBreakBefore w:val="0"/>
        <w:kinsoku/>
        <w:wordWrap/>
        <w:overflowPunct/>
        <w:topLinePunct w:val="0"/>
        <w:autoSpaceDE/>
        <w:autoSpaceDN/>
        <w:bidi w:val="0"/>
        <w:adjustRightInd/>
        <w:snapToGrid/>
        <w:spacing w:line="360" w:lineRule="auto"/>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、“好粮油”项目建设已顺利通过省市绩效考核评价，粮食产后服务体系建设初具规模</w:t>
      </w:r>
      <w:r>
        <w:rPr>
          <w:rFonts w:hint="eastAsia" w:ascii="仿宋" w:hAnsi="仿宋" w:eastAsia="仿宋" w:cs="仿宋"/>
          <w:sz w:val="30"/>
          <w:szCs w:val="30"/>
          <w:lang w:eastAsia="zh-CN"/>
        </w:rPr>
        <w:t>，</w:t>
      </w:r>
      <w:r>
        <w:rPr>
          <w:rFonts w:hint="eastAsia" w:ascii="仿宋" w:hAnsi="仿宋" w:eastAsia="仿宋" w:cs="仿宋"/>
          <w:sz w:val="30"/>
          <w:szCs w:val="30"/>
        </w:rPr>
        <w:t>助推我县粮食产业发展。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16" w:firstLineChars="139"/>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．综合评价情况及评价结论</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祁东县粮食和物资储备中心2021年度项目资金绩效自评综合得分为94分，具体自评情况见附表。</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存在的主要问题</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人员工作经费严重不足，影响正常工作的开展。经批准保留1辆粮食执法用车，车辆运行维护费未纳入财政预算。</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县级储备粮</w:t>
      </w:r>
      <w:r>
        <w:rPr>
          <w:rFonts w:hint="eastAsia" w:ascii="仿宋" w:hAnsi="仿宋" w:eastAsia="仿宋" w:cs="仿宋"/>
          <w:kern w:val="0"/>
          <w:sz w:val="30"/>
          <w:szCs w:val="30"/>
          <w:lang w:val="en-US" w:eastAsia="zh-CN"/>
        </w:rPr>
        <w:t>油</w:t>
      </w:r>
      <w:r>
        <w:rPr>
          <w:rFonts w:hint="eastAsia" w:ascii="仿宋" w:hAnsi="仿宋" w:eastAsia="仿宋" w:cs="仿宋"/>
          <w:kern w:val="0"/>
          <w:sz w:val="30"/>
          <w:szCs w:val="30"/>
        </w:rPr>
        <w:t>轮换价差损失没有足额补贴到位，承储企业难以承担。</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粮仓维修资金从2020年起未纳入财政预算，难以保障储粮安全。</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粮食市场管理、行业管理还有待完善与加强。粮食及食品安全工作经费严重不足，难以落实粮食安全党政首长负责制。</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改进措施及建议</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严格执行财务管理制度，加强内控管理，结合本单位实际情况，规范会计核算，根据经济业务发生的真实情况，及时进行账务处理。</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严格执行单位内部管理制度，加强风险管理，严格坚持原则，做到事前有审批，事后无差错。</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落实好工作经费和补贴，实现补贴资金及时兑付，</w:t>
      </w:r>
      <w:r>
        <w:rPr>
          <w:rFonts w:hint="eastAsia" w:ascii="仿宋" w:hAnsi="仿宋" w:eastAsia="仿宋" w:cs="仿宋"/>
          <w:kern w:val="0"/>
          <w:sz w:val="30"/>
          <w:szCs w:val="30"/>
        </w:rPr>
        <w:t>统筹安排退休</w:t>
      </w:r>
      <w:r>
        <w:rPr>
          <w:rFonts w:hint="eastAsia" w:ascii="仿宋" w:hAnsi="仿宋" w:eastAsia="仿宋" w:cs="仿宋"/>
          <w:sz w:val="30"/>
          <w:szCs w:val="30"/>
        </w:rPr>
        <w:t>人员</w:t>
      </w:r>
      <w:r>
        <w:rPr>
          <w:rFonts w:hint="eastAsia" w:ascii="仿宋" w:hAnsi="仿宋" w:eastAsia="仿宋" w:cs="仿宋"/>
          <w:kern w:val="0"/>
          <w:sz w:val="30"/>
          <w:szCs w:val="30"/>
        </w:rPr>
        <w:t>经费</w:t>
      </w:r>
      <w:r>
        <w:rPr>
          <w:rFonts w:hint="eastAsia" w:ascii="仿宋" w:hAnsi="仿宋" w:eastAsia="仿宋" w:cs="仿宋"/>
          <w:kern w:val="0"/>
          <w:sz w:val="30"/>
          <w:szCs w:val="30"/>
          <w:lang w:eastAsia="zh-CN"/>
        </w:rPr>
        <w:t>。</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做细做实粮油市场的监管工作，努力做到全县粮油食品安全“零”事故</w:t>
      </w:r>
      <w:r>
        <w:rPr>
          <w:rFonts w:hint="eastAsia" w:ascii="仿宋" w:hAnsi="仿宋" w:eastAsia="仿宋" w:cs="仿宋"/>
          <w:sz w:val="30"/>
          <w:szCs w:val="30"/>
          <w:lang w:eastAsia="zh-CN"/>
        </w:rPr>
        <w:t>，</w:t>
      </w:r>
      <w:r>
        <w:rPr>
          <w:rFonts w:hint="eastAsia" w:ascii="仿宋" w:hAnsi="仿宋" w:eastAsia="仿宋" w:cs="仿宋"/>
          <w:sz w:val="30"/>
          <w:szCs w:val="30"/>
        </w:rPr>
        <w:t>保障粮食</w:t>
      </w:r>
      <w:r>
        <w:rPr>
          <w:rFonts w:hint="eastAsia" w:ascii="仿宋" w:hAnsi="仿宋" w:eastAsia="仿宋" w:cs="仿宋"/>
          <w:kern w:val="0"/>
          <w:sz w:val="30"/>
          <w:szCs w:val="30"/>
        </w:rPr>
        <w:t>及食品</w:t>
      </w:r>
      <w:r>
        <w:rPr>
          <w:rFonts w:hint="eastAsia" w:ascii="仿宋" w:hAnsi="仿宋" w:eastAsia="仿宋" w:cs="仿宋"/>
          <w:sz w:val="30"/>
          <w:szCs w:val="30"/>
        </w:rPr>
        <w:t>安全，加强粮食宏观调控。</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本中心是副科级全额拨款公益类事业单位，还有10位工作人员工资福利等</w:t>
      </w:r>
      <w:r>
        <w:rPr>
          <w:rFonts w:hint="eastAsia" w:ascii="仿宋" w:hAnsi="仿宋" w:eastAsia="仿宋" w:cs="仿宋"/>
          <w:kern w:val="0"/>
          <w:sz w:val="30"/>
          <w:szCs w:val="30"/>
        </w:rPr>
        <w:t>经费</w:t>
      </w:r>
      <w:r>
        <w:rPr>
          <w:rFonts w:hint="eastAsia" w:ascii="仿宋" w:hAnsi="仿宋" w:eastAsia="仿宋" w:cs="仿宋"/>
          <w:sz w:val="30"/>
          <w:szCs w:val="30"/>
        </w:rPr>
        <w:t>虽纳入县财政</w:t>
      </w:r>
      <w:r>
        <w:rPr>
          <w:rFonts w:hint="eastAsia" w:ascii="仿宋" w:hAnsi="仿宋" w:eastAsia="仿宋" w:cs="仿宋"/>
          <w:kern w:val="0"/>
          <w:sz w:val="30"/>
          <w:szCs w:val="30"/>
        </w:rPr>
        <w:t>预算</w:t>
      </w:r>
      <w:r>
        <w:rPr>
          <w:rFonts w:hint="eastAsia" w:ascii="仿宋" w:hAnsi="仿宋" w:eastAsia="仿宋" w:cs="仿宋"/>
          <w:sz w:val="30"/>
          <w:szCs w:val="30"/>
        </w:rPr>
        <w:t>但未纳入县财政统发，建议</w:t>
      </w:r>
      <w:r>
        <w:rPr>
          <w:rFonts w:hint="eastAsia" w:ascii="仿宋" w:hAnsi="仿宋" w:eastAsia="仿宋" w:cs="仿宋"/>
          <w:color w:val="333333"/>
          <w:kern w:val="0"/>
          <w:sz w:val="30"/>
          <w:szCs w:val="30"/>
        </w:rPr>
        <w:t>将</w:t>
      </w:r>
      <w:r>
        <w:rPr>
          <w:rFonts w:hint="eastAsia" w:ascii="仿宋" w:hAnsi="仿宋" w:eastAsia="仿宋" w:cs="仿宋"/>
          <w:sz w:val="30"/>
          <w:szCs w:val="30"/>
        </w:rPr>
        <w:t>10位非统发工作人员工资纳入县财政统发。</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绩效自评结果拟应用和公开情况</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通过绩效自评，进一步掌握了资金使用情况和取得的效果，发现了工作中存在的问题和不足，为今后加强资金使用管理、完善资金绩效管理、提高资金使用效益提供了重要的参考依据。</w:t>
      </w:r>
    </w:p>
    <w:p>
      <w:pPr>
        <w:keepNext w:val="0"/>
        <w:keepLines w:val="0"/>
        <w:pageBreakBefore w:val="0"/>
        <w:widowControl/>
        <w:kinsoku/>
        <w:wordWrap/>
        <w:overflowPunct/>
        <w:topLinePunct w:val="0"/>
        <w:autoSpaceDE/>
        <w:autoSpaceDN/>
        <w:bidi w:val="0"/>
        <w:adjustRightInd/>
        <w:snapToGrid/>
        <w:spacing w:line="360" w:lineRule="auto"/>
        <w:ind w:firstLine="646"/>
        <w:jc w:val="left"/>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将此次绩效自评报告在本县党政门户网站上予以公布，向社会公开，广泛接受群众监督。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02" w:firstLineChars="200"/>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rPr>
        <w:t>其他需要说明的情况</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kern w:val="0"/>
          <w:sz w:val="30"/>
          <w:szCs w:val="30"/>
        </w:rPr>
        <w:t>无</w:t>
      </w:r>
    </w:p>
    <w:p>
      <w:pPr>
        <w:widowControl/>
        <w:spacing w:line="560" w:lineRule="exact"/>
        <w:ind w:firstLine="645"/>
        <w:jc w:val="left"/>
        <w:rPr>
          <w:rFonts w:hint="eastAsia" w:ascii="仿宋" w:hAnsi="仿宋" w:eastAsia="仿宋" w:cs="仿宋"/>
          <w:sz w:val="30"/>
          <w:szCs w:val="30"/>
        </w:rPr>
      </w:pPr>
      <w:r>
        <w:rPr>
          <w:rFonts w:hint="eastAsia" w:ascii="仿宋" w:hAnsi="仿宋" w:eastAsia="仿宋" w:cs="仿宋"/>
          <w:sz w:val="30"/>
          <w:szCs w:val="30"/>
        </w:rPr>
        <w:t>附表：1.部门整体支出绩效评价指标评分表</w:t>
      </w:r>
    </w:p>
    <w:p>
      <w:pPr>
        <w:widowControl/>
        <w:spacing w:line="560" w:lineRule="exact"/>
        <w:ind w:firstLine="1500" w:firstLineChars="500"/>
        <w:jc w:val="left"/>
        <w:rPr>
          <w:rFonts w:hint="eastAsia" w:ascii="仿宋" w:hAnsi="仿宋" w:eastAsia="仿宋" w:cs="仿宋"/>
          <w:sz w:val="30"/>
          <w:szCs w:val="30"/>
        </w:rPr>
      </w:pPr>
      <w:r>
        <w:rPr>
          <w:rFonts w:hint="eastAsia" w:ascii="仿宋" w:hAnsi="仿宋" w:eastAsia="仿宋" w:cs="仿宋"/>
          <w:sz w:val="30"/>
          <w:szCs w:val="30"/>
        </w:rPr>
        <w:t>2.部门整体支出绩效评价基础数据表</w:t>
      </w:r>
    </w:p>
    <w:p>
      <w:pPr>
        <w:widowControl/>
        <w:spacing w:line="560" w:lineRule="exact"/>
        <w:ind w:firstLine="1500" w:firstLineChars="500"/>
        <w:jc w:val="left"/>
        <w:rPr>
          <w:rFonts w:hint="eastAsia" w:ascii="仿宋" w:hAnsi="仿宋" w:eastAsia="仿宋" w:cs="仿宋"/>
          <w:sz w:val="30"/>
          <w:szCs w:val="30"/>
        </w:rPr>
      </w:pPr>
      <w:r>
        <w:rPr>
          <w:rFonts w:hint="eastAsia" w:ascii="仿宋" w:hAnsi="仿宋" w:eastAsia="仿宋" w:cs="仿宋"/>
          <w:sz w:val="30"/>
          <w:szCs w:val="30"/>
        </w:rPr>
        <w:t>3、2021年度县级专项资金绩效目标自评表</w:t>
      </w:r>
    </w:p>
    <w:p>
      <w:pPr>
        <w:jc w:val="left"/>
        <w:rPr>
          <w:rFonts w:eastAsia="方正小标宋_GBK"/>
          <w:kern w:val="0"/>
          <w:sz w:val="24"/>
          <w:szCs w:val="24"/>
        </w:rPr>
      </w:pPr>
      <w:r>
        <w:rPr>
          <w:rFonts w:hint="eastAsia" w:ascii="仿宋" w:hAnsi="仿宋" w:eastAsia="仿宋" w:cs="仿宋"/>
          <w:sz w:val="30"/>
          <w:szCs w:val="30"/>
        </w:rPr>
        <w:br w:type="page"/>
      </w:r>
      <w:r>
        <w:rPr>
          <w:rFonts w:hint="eastAsia" w:eastAsia="方正小标宋_GBK"/>
          <w:kern w:val="0"/>
          <w:sz w:val="24"/>
          <w:szCs w:val="24"/>
        </w:rPr>
        <w:t>附表1：</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jc w:val="left"/>
        <w:rPr>
          <w:rFonts w:eastAsia="仿宋_GB2312"/>
          <w:kern w:val="0"/>
          <w:sz w:val="24"/>
        </w:rPr>
      </w:pPr>
      <w:r>
        <w:rPr>
          <w:rFonts w:eastAsia="仿宋_GB2312"/>
          <w:kern w:val="0"/>
          <w:sz w:val="24"/>
        </w:rPr>
        <w:t>填报单位</w:t>
      </w:r>
      <w:r>
        <w:rPr>
          <w:rFonts w:hint="eastAsia" w:eastAsia="仿宋_GB2312"/>
          <w:kern w:val="0"/>
          <w:sz w:val="24"/>
        </w:rPr>
        <w:t>：祁东县粮食和物资储备中心 填报人：向南燕电话：15580975470</w:t>
      </w:r>
      <w:r>
        <w:rPr>
          <w:rFonts w:eastAsia="仿宋_GB2312"/>
          <w:kern w:val="0"/>
          <w:sz w:val="24"/>
        </w:rPr>
        <w:tab/>
      </w:r>
    </w:p>
    <w:tbl>
      <w:tblPr>
        <w:tblStyle w:val="5"/>
        <w:tblW w:w="0" w:type="auto"/>
        <w:jc w:val="center"/>
        <w:tblLayout w:type="fixed"/>
        <w:tblCellMar>
          <w:top w:w="0" w:type="dxa"/>
          <w:left w:w="108" w:type="dxa"/>
          <w:bottom w:w="0" w:type="dxa"/>
          <w:right w:w="108" w:type="dxa"/>
        </w:tblCellMar>
      </w:tblPr>
      <w:tblGrid>
        <w:gridCol w:w="681"/>
        <w:gridCol w:w="671"/>
        <w:gridCol w:w="758"/>
        <w:gridCol w:w="438"/>
        <w:gridCol w:w="3250"/>
        <w:gridCol w:w="2186"/>
        <w:gridCol w:w="538"/>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1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5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（10分）</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1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38"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538"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rPr>
              <w:t>4</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过</w:t>
            </w:r>
          </w:p>
          <w:p>
            <w:pPr>
              <w:widowControl/>
              <w:jc w:val="center"/>
              <w:rPr>
                <w:rFonts w:eastAsia="仿宋_GB2312"/>
                <w:kern w:val="0"/>
                <w:sz w:val="20"/>
                <w:szCs w:val="20"/>
              </w:rPr>
            </w:pPr>
            <w:r>
              <w:rPr>
                <w:rFonts w:hint="eastAsia" w:ascii="Times New Roman" w:hAnsi="Times New Roman" w:eastAsia="仿宋_GB2312"/>
                <w:kern w:val="0"/>
                <w:sz w:val="20"/>
                <w:szCs w:val="20"/>
              </w:rPr>
              <w:t>程</w:t>
            </w:r>
            <w:r>
              <w:rPr>
                <w:rFonts w:ascii="Times New Roman" w:hAnsi="Times New Roman" w:eastAsia="仿宋_GB2312"/>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（20分）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4</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4　</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1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5　</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5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5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lang w:val="en-US" w:eastAsia="zh-CN"/>
              </w:rPr>
              <w:t>7</w:t>
            </w:r>
            <w:r>
              <w:rPr>
                <w:rFonts w:hint="eastAsia"/>
                <w:kern w:val="0"/>
                <w:sz w:val="24"/>
              </w:rPr>
              <w:t>　</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6　</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8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rPr>
            </w:pPr>
            <w:r>
              <w:rPr>
                <w:rFonts w:hint="eastAsia" w:eastAsia="仿宋_GB2312"/>
                <w:kern w:val="0"/>
                <w:sz w:val="20"/>
                <w:szCs w:val="20"/>
              </w:rPr>
              <w:t>（60分）</w:t>
            </w:r>
          </w:p>
        </w:tc>
        <w:tc>
          <w:tcPr>
            <w:tcW w:w="671"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rPr>
            </w:pPr>
            <w:r>
              <w:rPr>
                <w:rFonts w:hint="eastAsia" w:eastAsia="仿宋_GB2312"/>
                <w:kern w:val="0"/>
                <w:sz w:val="20"/>
                <w:szCs w:val="20"/>
              </w:rPr>
              <w:t>（40分）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6　</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5　</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（30分）</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（8分）</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2021年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　8</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（22分）</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4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38" w:type="dxa"/>
            <w:vMerge w:val="restart"/>
            <w:tcBorders>
              <w:top w:val="nil"/>
              <w:left w:val="nil"/>
              <w:right w:val="single" w:color="auto" w:sz="4" w:space="0"/>
            </w:tcBorders>
            <w:noWrap w:val="0"/>
            <w:vAlign w:val="center"/>
          </w:tcPr>
          <w:p>
            <w:pPr>
              <w:widowControl/>
              <w:jc w:val="center"/>
              <w:rPr>
                <w:rFonts w:hint="eastAsia"/>
                <w:kern w:val="0"/>
                <w:sz w:val="24"/>
              </w:rPr>
            </w:pPr>
            <w:r>
              <w:rPr>
                <w:rFonts w:hint="eastAsia"/>
                <w:kern w:val="0"/>
                <w:sz w:val="24"/>
              </w:rPr>
              <w:t>10　</w:t>
            </w:r>
          </w:p>
          <w:p>
            <w:pPr>
              <w:widowControl/>
              <w:jc w:val="center"/>
              <w:rPr>
                <w:rFonts w:hint="eastAsia"/>
                <w:kern w:val="0"/>
                <w:sz w:val="24"/>
              </w:rPr>
            </w:pPr>
            <w:r>
              <w:rPr>
                <w:rFonts w:hint="eastAsia"/>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4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538" w:type="dxa"/>
            <w:vMerge w:val="continue"/>
            <w:tcBorders>
              <w:left w:val="nil"/>
              <w:bottom w:val="nil"/>
              <w:right w:val="single" w:color="auto" w:sz="4" w:space="0"/>
            </w:tcBorders>
            <w:noWrap w:val="0"/>
            <w:vAlign w:val="center"/>
          </w:tcPr>
          <w:p>
            <w:pPr>
              <w:widowControl/>
              <w:jc w:val="center"/>
              <w:rPr>
                <w:rFonts w:hint="eastAsia"/>
                <w:kern w:val="0"/>
                <w:sz w:val="24"/>
              </w:rPr>
            </w:pP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1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38"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6　</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90%（含）以上计6分；</w:t>
            </w:r>
          </w:p>
          <w:p>
            <w:pPr>
              <w:widowControl/>
              <w:jc w:val="left"/>
              <w:rPr>
                <w:rFonts w:hint="eastAsia" w:eastAsia="仿宋_GB2312"/>
                <w:kern w:val="0"/>
                <w:sz w:val="20"/>
                <w:szCs w:val="20"/>
              </w:rPr>
            </w:pPr>
            <w:r>
              <w:rPr>
                <w:rFonts w:eastAsia="仿宋_GB2312"/>
                <w:kern w:val="0"/>
                <w:sz w:val="20"/>
                <w:szCs w:val="20"/>
              </w:rPr>
              <w:t>80%（含）-90%，计4分；</w:t>
            </w:r>
          </w:p>
          <w:p>
            <w:pPr>
              <w:widowControl/>
              <w:jc w:val="left"/>
              <w:rPr>
                <w:rFonts w:hint="eastAsia" w:eastAsia="仿宋_GB2312"/>
                <w:kern w:val="0"/>
                <w:sz w:val="20"/>
                <w:szCs w:val="20"/>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1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38" w:type="dxa"/>
            <w:tcBorders>
              <w:top w:val="nil"/>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6　</w:t>
            </w:r>
          </w:p>
        </w:tc>
      </w:tr>
    </w:tbl>
    <w:p>
      <w:pPr>
        <w:jc w:val="left"/>
        <w:rPr>
          <w:rFonts w:eastAsia="黑体"/>
          <w:sz w:val="28"/>
          <w:szCs w:val="28"/>
        </w:rPr>
      </w:pPr>
      <w:r>
        <w:rPr>
          <w:rFonts w:eastAsia="黑体"/>
          <w:sz w:val="28"/>
          <w:szCs w:val="28"/>
        </w:rPr>
        <w:br w:type="page"/>
      </w:r>
      <w:r>
        <w:rPr>
          <w:rFonts w:hint="eastAsia" w:eastAsia="黑体"/>
          <w:sz w:val="24"/>
          <w:szCs w:val="24"/>
        </w:rPr>
        <w:t>附表2：</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ind w:left="-420" w:leftChars="-200"/>
        <w:jc w:val="left"/>
        <w:rPr>
          <w:rFonts w:eastAsia="仿宋_GB2312"/>
          <w:kern w:val="0"/>
          <w:sz w:val="24"/>
        </w:rPr>
      </w:pPr>
      <w:r>
        <w:rPr>
          <w:rFonts w:eastAsia="仿宋_GB2312"/>
          <w:kern w:val="0"/>
          <w:sz w:val="24"/>
        </w:rPr>
        <w:t>填报单位</w:t>
      </w:r>
      <w:r>
        <w:rPr>
          <w:rFonts w:hint="eastAsia" w:eastAsia="仿宋_GB2312"/>
          <w:kern w:val="0"/>
          <w:sz w:val="24"/>
        </w:rPr>
        <w:t>：祁东县粮食和物资储备中心   填报人：向南燕   电话：15580975470</w:t>
      </w:r>
    </w:p>
    <w:tbl>
      <w:tblPr>
        <w:tblStyle w:val="5"/>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wBefore w:w="0" w:type="dxa"/>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wBefore w:w="0" w:type="dxa"/>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25</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17</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　</w:t>
            </w:r>
            <w:r>
              <w:rPr>
                <w:rFonts w:hint="eastAsia" w:eastAsia="仿宋_GB2312"/>
                <w:kern w:val="0"/>
                <w:szCs w:val="21"/>
              </w:rPr>
              <w:t>68%</w:t>
            </w:r>
          </w:p>
        </w:tc>
      </w:tr>
      <w:tr>
        <w:tblPrEx>
          <w:tblCellMar>
            <w:top w:w="0" w:type="dxa"/>
            <w:left w:w="108" w:type="dxa"/>
            <w:bottom w:w="0" w:type="dxa"/>
            <w:right w:w="108" w:type="dxa"/>
          </w:tblCellMar>
        </w:tblPrEx>
        <w:trPr>
          <w:wBefore w:w="0" w:type="dxa"/>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2020年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决算数</w:t>
            </w:r>
          </w:p>
        </w:tc>
      </w:tr>
      <w:tr>
        <w:tblPrEx>
          <w:tblCellMar>
            <w:top w:w="0" w:type="dxa"/>
            <w:left w:w="108" w:type="dxa"/>
            <w:bottom w:w="0" w:type="dxa"/>
            <w:right w:w="108" w:type="dxa"/>
          </w:tblCellMar>
        </w:tblPrEx>
        <w:trPr>
          <w:wBefore w:w="0" w:type="dxa"/>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60200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66141.38</w:t>
            </w: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40700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43548.38</w:t>
            </w: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19500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22593</w:t>
            </w:r>
            <w:r>
              <w:rPr>
                <w:rFonts w:eastAsia="仿宋_GB2312"/>
                <w:kern w:val="0"/>
                <w:szCs w:val="21"/>
              </w:rPr>
              <w:t>　</w:t>
            </w:r>
          </w:p>
        </w:tc>
      </w:tr>
      <w:tr>
        <w:tblPrEx>
          <w:tblCellMar>
            <w:top w:w="0" w:type="dxa"/>
            <w:left w:w="108" w:type="dxa"/>
            <w:bottom w:w="0" w:type="dxa"/>
            <w:right w:w="108" w:type="dxa"/>
          </w:tblCellMar>
        </w:tblPrEx>
        <w:trPr>
          <w:wBefore w:w="0" w:type="dxa"/>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432500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21000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1819257.3</w:t>
            </w: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FF0000"/>
                <w:kern w:val="0"/>
                <w:szCs w:val="21"/>
              </w:rPr>
              <w:t>51900</w:t>
            </w: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FF0000"/>
                <w:kern w:val="0"/>
                <w:szCs w:val="21"/>
              </w:rPr>
              <w:t>7000</w:t>
            </w: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FF0000"/>
                <w:kern w:val="0"/>
                <w:szCs w:val="21"/>
              </w:rPr>
              <w:t>61376.7</w:t>
            </w:r>
            <w:r>
              <w:rPr>
                <w:rFonts w:eastAsia="仿宋_GB2312"/>
                <w:color w:val="FF0000"/>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FF0000"/>
                <w:kern w:val="0"/>
                <w:szCs w:val="21"/>
              </w:rPr>
            </w:pPr>
            <w:r>
              <w:rPr>
                <w:rFonts w:hint="eastAsia" w:eastAsia="仿宋_GB2312"/>
                <w:color w:val="FF0000"/>
                <w:kern w:val="0"/>
                <w:szCs w:val="21"/>
              </w:rPr>
              <w:t>76100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FF0000"/>
                <w:kern w:val="0"/>
                <w:szCs w:val="21"/>
              </w:rPr>
              <w:t>14000</w:t>
            </w: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FF0000"/>
                <w:kern w:val="0"/>
                <w:szCs w:val="21"/>
              </w:rPr>
              <w:t>62288</w:t>
            </w:r>
            <w:r>
              <w:rPr>
                <w:rFonts w:eastAsia="仿宋_GB2312"/>
                <w:color w:val="FF0000"/>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CellMar>
            <w:top w:w="0" w:type="dxa"/>
            <w:left w:w="108" w:type="dxa"/>
            <w:bottom w:w="0" w:type="dxa"/>
            <w:right w:w="108" w:type="dxa"/>
          </w:tblCellMar>
        </w:tblPrEx>
        <w:trPr>
          <w:wBefore w:w="0" w:type="dxa"/>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eastAsia="仿宋_GB2312"/>
                <w:kern w:val="0"/>
                <w:szCs w:val="21"/>
              </w:rPr>
            </w:pPr>
            <w:r>
              <w:rPr>
                <w:rFonts w:hint="eastAsia" w:ascii="仿宋_GB2312" w:eastAsia="仿宋_GB2312"/>
                <w:kern w:val="0"/>
                <w:szCs w:val="21"/>
              </w:rPr>
              <w:t>其他</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304500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1695592.6</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rPr>
              <w:t>2021年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批复规模</w:t>
            </w:r>
          </w:p>
          <w:p>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投资概算控制率</w:t>
            </w:r>
          </w:p>
        </w:tc>
      </w:tr>
      <w:tr>
        <w:tblPrEx>
          <w:tblCellMar>
            <w:top w:w="0" w:type="dxa"/>
            <w:left w:w="108" w:type="dxa"/>
            <w:bottom w:w="0" w:type="dxa"/>
            <w:right w:w="108" w:type="dxa"/>
          </w:tblCellMar>
        </w:tblPrEx>
        <w:trPr>
          <w:wBefore w:w="0" w:type="dxa"/>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wBefore w:w="0" w:type="dxa"/>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坚持过“紧日子”和厉行节约反对浪费，进一步压减一般</w:t>
            </w:r>
          </w:p>
          <w:p>
            <w:pPr>
              <w:widowControl/>
              <w:jc w:val="center"/>
              <w:rPr>
                <w:rFonts w:eastAsia="仿宋_GB2312"/>
                <w:kern w:val="0"/>
                <w:szCs w:val="21"/>
              </w:rPr>
            </w:pPr>
            <w:r>
              <w:rPr>
                <w:rFonts w:hint="eastAsia" w:ascii="仿宋" w:hAnsi="仿宋" w:eastAsia="仿宋" w:cs="仿宋"/>
                <w:szCs w:val="21"/>
              </w:rPr>
              <w:t>商品和服务支出，保障粮食及食品安全，加强粮食宏观调控　</w:t>
            </w:r>
          </w:p>
        </w:tc>
      </w:tr>
    </w:tbl>
    <w:p>
      <w:pPr>
        <w:widowControl/>
        <w:jc w:val="left"/>
        <w:rPr>
          <w:rFonts w:eastAsia="仿宋_GB2312"/>
          <w:kern w:val="0"/>
          <w:sz w:val="2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r>
        <w:rPr>
          <w:rFonts w:eastAsia="仿宋_GB2312"/>
          <w:kern w:val="0"/>
          <w:sz w:val="18"/>
          <w:szCs w:val="18"/>
        </w:rPr>
        <w:br w:type="page"/>
      </w:r>
      <w:r>
        <w:rPr>
          <w:rFonts w:hint="eastAsia" w:eastAsia="仿宋_GB2312"/>
          <w:kern w:val="0"/>
          <w:sz w:val="28"/>
          <w:szCs w:val="28"/>
        </w:rPr>
        <w:t>附表3：</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2021年度县级专项资金绩效目标自评表</w:t>
      </w:r>
    </w:p>
    <w:tbl>
      <w:tblPr>
        <w:tblStyle w:val="5"/>
        <w:tblW w:w="0" w:type="auto"/>
        <w:jc w:val="center"/>
        <w:tblLayout w:type="fixed"/>
        <w:tblCellMar>
          <w:top w:w="0" w:type="dxa"/>
          <w:left w:w="108" w:type="dxa"/>
          <w:bottom w:w="0" w:type="dxa"/>
          <w:right w:w="108" w:type="dxa"/>
        </w:tblCellMar>
      </w:tblPr>
      <w:tblGrid>
        <w:gridCol w:w="769"/>
        <w:gridCol w:w="675"/>
        <w:gridCol w:w="709"/>
        <w:gridCol w:w="1701"/>
        <w:gridCol w:w="1602"/>
        <w:gridCol w:w="1499"/>
        <w:gridCol w:w="1091"/>
        <w:gridCol w:w="399"/>
        <w:gridCol w:w="1615"/>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left"/>
              <w:rPr>
                <w:rFonts w:ascii="楷体_GB2312" w:hAnsi="宋体" w:eastAsia="楷体_GB2312" w:cs="宋体"/>
                <w:b/>
                <w:bCs/>
                <w:color w:val="000000"/>
                <w:kern w:val="0"/>
                <w:sz w:val="22"/>
              </w:rPr>
            </w:pPr>
            <w:r>
              <w:rPr>
                <w:rFonts w:hint="eastAsia" w:eastAsia="仿宋_GB2312"/>
                <w:kern w:val="0"/>
                <w:sz w:val="24"/>
              </w:rPr>
              <w:t>填报单位：祁东县粮食和物资储备中心      填报人： 向南燕      电话：15580975470</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30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县级储备粮油补贴</w:t>
            </w:r>
          </w:p>
        </w:tc>
        <w:tc>
          <w:tcPr>
            <w:tcW w:w="14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10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周红波18573453966</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30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祁东县商务和粮食局　</w:t>
            </w:r>
          </w:p>
        </w:tc>
        <w:tc>
          <w:tcPr>
            <w:tcW w:w="14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105"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000000"/>
                <w:kern w:val="0"/>
                <w:szCs w:val="21"/>
              </w:rPr>
            </w:pPr>
            <w:r>
              <w:rPr>
                <w:rFonts w:hint="eastAsia" w:ascii="宋体" w:hAnsi="宋体" w:cs="宋体"/>
                <w:color w:val="000000"/>
                <w:kern w:val="0"/>
                <w:szCs w:val="21"/>
              </w:rPr>
              <w:t>　祁东县粮食和物资储备中心</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401.97万元　</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301.97万元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75.12%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401.97万元　</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301.97万元</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75.12%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6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5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68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60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468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轮换县级储备粮6363.379吨；</w:t>
            </w:r>
          </w:p>
          <w:p>
            <w:pPr>
              <w:widowControl/>
              <w:jc w:val="center"/>
              <w:rPr>
                <w:rFonts w:ascii="宋体" w:hAnsi="宋体" w:cs="宋体"/>
                <w:color w:val="000000"/>
                <w:kern w:val="0"/>
                <w:szCs w:val="21"/>
              </w:rPr>
            </w:pPr>
            <w:r>
              <w:rPr>
                <w:rFonts w:hint="eastAsia" w:ascii="宋体" w:hAnsi="宋体" w:cs="宋体"/>
                <w:color w:val="000000"/>
                <w:kern w:val="0"/>
                <w:szCs w:val="21"/>
              </w:rPr>
              <w:t>收购县级储备食用油50吨　</w:t>
            </w:r>
          </w:p>
        </w:tc>
        <w:tc>
          <w:tcPr>
            <w:tcW w:w="460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已轮换县级储备粮6363.379吨；</w:t>
            </w:r>
          </w:p>
          <w:p>
            <w:pPr>
              <w:widowControl/>
              <w:jc w:val="center"/>
              <w:rPr>
                <w:rFonts w:ascii="仿宋_GB2312" w:hAnsi="宋体" w:eastAsia="仿宋_GB2312" w:cs="宋体"/>
                <w:color w:val="000000"/>
                <w:kern w:val="0"/>
                <w:szCs w:val="21"/>
              </w:rPr>
            </w:pPr>
            <w:r>
              <w:rPr>
                <w:rFonts w:hint="eastAsia" w:ascii="宋体" w:hAnsi="宋体" w:cs="宋体"/>
                <w:color w:val="000000"/>
                <w:kern w:val="0"/>
                <w:szCs w:val="21"/>
              </w:rPr>
              <w:t>已收购县级储备食用油50吨</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上半年轮出县级储备粮</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6363.379吨</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6363.379吨</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8-11月轮入县级储备粮</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6363.379吨</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6363.379吨</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收购储备食用油</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50吨</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50吨</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粮食储备到位率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粮食库存真实率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color w:val="000000"/>
                <w:kern w:val="0"/>
                <w:szCs w:val="21"/>
              </w:rPr>
            </w:pP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粮食补贴</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资金到位率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color w:val="000000"/>
                <w:kern w:val="0"/>
                <w:szCs w:val="21"/>
              </w:rPr>
            </w:pP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粮食市场</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化收购率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32"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粮食安全</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考核合格率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预算执行率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项目实施期</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2021年1月-2021年12月</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2021年1月-2021年12月</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轮入轮出及时性</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120天以内</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120天以内</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县级储备粮</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食补贴支出</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386.27万元</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288.745万元</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核实后再拨付，多计算的补贴退回县财政</w:t>
            </w:r>
          </w:p>
        </w:tc>
      </w:tr>
      <w:tr>
        <w:tblPrEx>
          <w:tblCellMar>
            <w:top w:w="0" w:type="dxa"/>
            <w:left w:w="108" w:type="dxa"/>
            <w:bottom w:w="0" w:type="dxa"/>
            <w:right w:w="108" w:type="dxa"/>
          </w:tblCellMar>
        </w:tblPrEx>
        <w:trPr>
          <w:trHeight w:val="67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县级储备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油补贴支出</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15.70万元</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13.225万元</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核实后再拨付，多计算的补贴退回县财政</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p>
            <w:pPr>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规避国际粮价攀升引起的通胀</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规避</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规避</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continue"/>
            <w:tcBorders>
              <w:left w:val="single" w:color="auto" w:sz="4" w:space="0"/>
              <w:right w:val="single" w:color="auto" w:sz="4" w:space="0"/>
            </w:tcBorders>
            <w:noWrap w:val="0"/>
            <w:vAlign w:val="center"/>
          </w:tcPr>
          <w:p>
            <w:pPr>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促进耕地可持续利用，发挥稻田的最大利用率</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95%及以上</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95%及以上</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确保我县</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粮食储备安全</w:t>
            </w:r>
          </w:p>
        </w:tc>
        <w:tc>
          <w:tcPr>
            <w:tcW w:w="1602"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有效提高</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有效提高</w:t>
            </w:r>
          </w:p>
        </w:tc>
        <w:tc>
          <w:tcPr>
            <w:tcW w:w="1615"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粮食调控措施</w:t>
            </w:r>
          </w:p>
        </w:tc>
        <w:tc>
          <w:tcPr>
            <w:tcW w:w="1602"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建立基于市</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场价格波动</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的调控体系</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建立基于市</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场价格波动</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的调控体系</w:t>
            </w:r>
          </w:p>
        </w:tc>
        <w:tc>
          <w:tcPr>
            <w:tcW w:w="1615"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64"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粮食承储企业</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种粮农民满意度</w:t>
            </w:r>
          </w:p>
        </w:tc>
        <w:tc>
          <w:tcPr>
            <w:tcW w:w="1602"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9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90%及以上</w:t>
            </w:r>
          </w:p>
        </w:tc>
        <w:tc>
          <w:tcPr>
            <w:tcW w:w="1615"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衡阳市委巡察检查组检查中发现多计算县级储备粮补贴，预算暂扣100万元，2022年4月核实后已拨付粮食承储企业579750元，将剩余的补贴退回县财政。</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5"/>
              </w:numPr>
              <w:spacing w:line="360" w:lineRule="exact"/>
              <w:ind w:firstLine="420" w:firstLineChars="2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定量指标，资金使用单位填写本单位实际完成数。</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4、对未完成绩效目标，或超过年初设定的绩效指标值较多（30%及以上）的原因逐条进行分析，书面作出说明并提出改进措施。</w:t>
            </w:r>
          </w:p>
        </w:tc>
      </w:tr>
    </w:tbl>
    <w:p/>
    <w:p/>
    <w:p/>
    <w:p/>
    <w:p/>
    <w:p/>
    <w:p/>
    <w:p/>
    <w:p/>
    <w:p/>
    <w:p/>
    <w:p>
      <w:pPr>
        <w:jc w:val="left"/>
        <w:rPr>
          <w:rFonts w:hint="eastAsia" w:ascii="宋体" w:hAnsi="宋体" w:cs="宋体"/>
          <w:b/>
          <w:sz w:val="36"/>
          <w:szCs w:val="36"/>
        </w:rPr>
      </w:pPr>
    </w:p>
    <w:p>
      <w:pPr>
        <w:spacing w:line="360" w:lineRule="auto"/>
        <w:ind w:firstLine="3600" w:firstLineChars="1200"/>
        <w:rPr>
          <w:rFonts w:hint="eastAsia" w:ascii="仿宋" w:hAnsi="仿宋" w:eastAsia="仿宋" w:cs="仿宋"/>
          <w:sz w:val="30"/>
          <w:szCs w:val="30"/>
        </w:rPr>
      </w:pPr>
    </w:p>
    <w:sectPr>
      <w:footerReference r:id="rId3" w:type="default"/>
      <w:type w:val="continuous"/>
      <w:pgSz w:w="11906" w:h="16838"/>
      <w:pgMar w:top="1440" w:right="1800" w:bottom="1440" w:left="1800" w:header="720" w:footer="720" w:gutter="0"/>
      <w:lnNumType w:countBy="0" w:distance="36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CC22"/>
    <w:multiLevelType w:val="singleLevel"/>
    <w:tmpl w:val="84B4CC22"/>
    <w:lvl w:ilvl="0" w:tentative="0">
      <w:start w:val="3"/>
      <w:numFmt w:val="decimal"/>
      <w:suff w:val="nothing"/>
      <w:lvlText w:val="%1、"/>
      <w:lvlJc w:val="left"/>
    </w:lvl>
  </w:abstractNum>
  <w:abstractNum w:abstractNumId="1">
    <w:nsid w:val="A9CE51D8"/>
    <w:multiLevelType w:val="singleLevel"/>
    <w:tmpl w:val="A9CE51D8"/>
    <w:lvl w:ilvl="0" w:tentative="0">
      <w:start w:val="2"/>
      <w:numFmt w:val="decimal"/>
      <w:suff w:val="nothing"/>
      <w:lvlText w:val="%1、"/>
      <w:lvlJc w:val="left"/>
    </w:lvl>
  </w:abstractNum>
  <w:abstractNum w:abstractNumId="2">
    <w:nsid w:val="CCCA84AF"/>
    <w:multiLevelType w:val="singleLevel"/>
    <w:tmpl w:val="CCCA84AF"/>
    <w:lvl w:ilvl="0" w:tentative="0">
      <w:start w:val="1"/>
      <w:numFmt w:val="decimal"/>
      <w:suff w:val="nothing"/>
      <w:lvlText w:val="%1、"/>
      <w:lvlJc w:val="left"/>
    </w:lvl>
  </w:abstractNum>
  <w:abstractNum w:abstractNumId="3">
    <w:nsid w:val="3E2AD8F8"/>
    <w:multiLevelType w:val="singleLevel"/>
    <w:tmpl w:val="3E2AD8F8"/>
    <w:lvl w:ilvl="0" w:tentative="0">
      <w:start w:val="1"/>
      <w:numFmt w:val="decimal"/>
      <w:suff w:val="nothing"/>
      <w:lvlText w:val="%1、"/>
      <w:lvlJc w:val="left"/>
    </w:lvl>
  </w:abstractNum>
  <w:abstractNum w:abstractNumId="4">
    <w:nsid w:val="5C877BAB"/>
    <w:multiLevelType w:val="singleLevel"/>
    <w:tmpl w:val="5C877BAB"/>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3560"/>
    <w:rsid w:val="002648F0"/>
    <w:rsid w:val="0032592A"/>
    <w:rsid w:val="00596083"/>
    <w:rsid w:val="005A06DA"/>
    <w:rsid w:val="00683060"/>
    <w:rsid w:val="006F7837"/>
    <w:rsid w:val="00AD1540"/>
    <w:rsid w:val="00CE0AF1"/>
    <w:rsid w:val="00D86EE9"/>
    <w:rsid w:val="00E220F5"/>
    <w:rsid w:val="01592276"/>
    <w:rsid w:val="02191715"/>
    <w:rsid w:val="021B6F10"/>
    <w:rsid w:val="02C407BB"/>
    <w:rsid w:val="038B386B"/>
    <w:rsid w:val="03AA6DE8"/>
    <w:rsid w:val="03C62F9E"/>
    <w:rsid w:val="042A4B87"/>
    <w:rsid w:val="04EC6710"/>
    <w:rsid w:val="06197452"/>
    <w:rsid w:val="062C489B"/>
    <w:rsid w:val="06370FF8"/>
    <w:rsid w:val="07121706"/>
    <w:rsid w:val="073A791A"/>
    <w:rsid w:val="079571B6"/>
    <w:rsid w:val="07B569AB"/>
    <w:rsid w:val="07DD2031"/>
    <w:rsid w:val="07FE6F62"/>
    <w:rsid w:val="082C5EE3"/>
    <w:rsid w:val="084B3403"/>
    <w:rsid w:val="085479F8"/>
    <w:rsid w:val="09237AF5"/>
    <w:rsid w:val="09372BA1"/>
    <w:rsid w:val="09B92F84"/>
    <w:rsid w:val="0A207C23"/>
    <w:rsid w:val="0A3B08CA"/>
    <w:rsid w:val="0A3B5486"/>
    <w:rsid w:val="0A594EE5"/>
    <w:rsid w:val="0B354852"/>
    <w:rsid w:val="0B394530"/>
    <w:rsid w:val="0C014505"/>
    <w:rsid w:val="0C50285C"/>
    <w:rsid w:val="0C5878E3"/>
    <w:rsid w:val="0C9C1876"/>
    <w:rsid w:val="0CAE4FFE"/>
    <w:rsid w:val="0CB77FA6"/>
    <w:rsid w:val="0DF638CB"/>
    <w:rsid w:val="0EF35E1C"/>
    <w:rsid w:val="0F5A3F4E"/>
    <w:rsid w:val="0FC64D0A"/>
    <w:rsid w:val="0FF92243"/>
    <w:rsid w:val="10110711"/>
    <w:rsid w:val="109D3670"/>
    <w:rsid w:val="10C46456"/>
    <w:rsid w:val="11580DD8"/>
    <w:rsid w:val="11886D7B"/>
    <w:rsid w:val="1248554E"/>
    <w:rsid w:val="12AA0C7D"/>
    <w:rsid w:val="12F92487"/>
    <w:rsid w:val="13033DD3"/>
    <w:rsid w:val="13370A74"/>
    <w:rsid w:val="13383132"/>
    <w:rsid w:val="134A66E9"/>
    <w:rsid w:val="13CE0FEF"/>
    <w:rsid w:val="13F34A5D"/>
    <w:rsid w:val="142D7523"/>
    <w:rsid w:val="15904CBC"/>
    <w:rsid w:val="15A3035F"/>
    <w:rsid w:val="15A46039"/>
    <w:rsid w:val="15D7386C"/>
    <w:rsid w:val="161D3B7B"/>
    <w:rsid w:val="1638574A"/>
    <w:rsid w:val="165112F4"/>
    <w:rsid w:val="168831DD"/>
    <w:rsid w:val="16F85317"/>
    <w:rsid w:val="17DF20CF"/>
    <w:rsid w:val="17EB6445"/>
    <w:rsid w:val="180B1C45"/>
    <w:rsid w:val="185772C2"/>
    <w:rsid w:val="1876457C"/>
    <w:rsid w:val="189A7B7D"/>
    <w:rsid w:val="193B1277"/>
    <w:rsid w:val="1A6B5AF0"/>
    <w:rsid w:val="1A7B4B1A"/>
    <w:rsid w:val="1AAF6B0B"/>
    <w:rsid w:val="1B0E0F5B"/>
    <w:rsid w:val="1B427D51"/>
    <w:rsid w:val="1B780A72"/>
    <w:rsid w:val="1B9D4CF7"/>
    <w:rsid w:val="1C325386"/>
    <w:rsid w:val="1C5D50BC"/>
    <w:rsid w:val="1CA01A1A"/>
    <w:rsid w:val="1CAA4C09"/>
    <w:rsid w:val="1D3F4256"/>
    <w:rsid w:val="1D612596"/>
    <w:rsid w:val="1DB033EA"/>
    <w:rsid w:val="1DDE2353"/>
    <w:rsid w:val="1E080364"/>
    <w:rsid w:val="1EC01015"/>
    <w:rsid w:val="1EC54E5A"/>
    <w:rsid w:val="1EC63960"/>
    <w:rsid w:val="1EFC72C9"/>
    <w:rsid w:val="1EFF037A"/>
    <w:rsid w:val="1F477611"/>
    <w:rsid w:val="1FB87EDE"/>
    <w:rsid w:val="20023503"/>
    <w:rsid w:val="209F6668"/>
    <w:rsid w:val="20C13753"/>
    <w:rsid w:val="20CB6E26"/>
    <w:rsid w:val="20DB5F0D"/>
    <w:rsid w:val="21295E07"/>
    <w:rsid w:val="21387090"/>
    <w:rsid w:val="21431031"/>
    <w:rsid w:val="214401DC"/>
    <w:rsid w:val="216A01DF"/>
    <w:rsid w:val="216F5E00"/>
    <w:rsid w:val="219548F6"/>
    <w:rsid w:val="227A7038"/>
    <w:rsid w:val="22E55C6F"/>
    <w:rsid w:val="239D577C"/>
    <w:rsid w:val="23B3066A"/>
    <w:rsid w:val="23CA431E"/>
    <w:rsid w:val="23D339B1"/>
    <w:rsid w:val="24CA1D02"/>
    <w:rsid w:val="25361B27"/>
    <w:rsid w:val="25615674"/>
    <w:rsid w:val="25EA5191"/>
    <w:rsid w:val="2611249E"/>
    <w:rsid w:val="26622E6F"/>
    <w:rsid w:val="26672E9A"/>
    <w:rsid w:val="268A50C6"/>
    <w:rsid w:val="26FC35F0"/>
    <w:rsid w:val="27702C93"/>
    <w:rsid w:val="279C2404"/>
    <w:rsid w:val="28BD54CA"/>
    <w:rsid w:val="29BD6779"/>
    <w:rsid w:val="29BF63F8"/>
    <w:rsid w:val="29F963F7"/>
    <w:rsid w:val="2A2627A0"/>
    <w:rsid w:val="2A6578B3"/>
    <w:rsid w:val="2AB405FB"/>
    <w:rsid w:val="2BC01A6F"/>
    <w:rsid w:val="2BF40A39"/>
    <w:rsid w:val="2C1A2D0C"/>
    <w:rsid w:val="2C29031B"/>
    <w:rsid w:val="2C3732BE"/>
    <w:rsid w:val="2C682E15"/>
    <w:rsid w:val="2C755273"/>
    <w:rsid w:val="2CFC4E00"/>
    <w:rsid w:val="2D144012"/>
    <w:rsid w:val="2DA57968"/>
    <w:rsid w:val="2DDD37A1"/>
    <w:rsid w:val="2DEC4929"/>
    <w:rsid w:val="2DF157EC"/>
    <w:rsid w:val="2E3304BD"/>
    <w:rsid w:val="2E421E33"/>
    <w:rsid w:val="2E451301"/>
    <w:rsid w:val="2EB72067"/>
    <w:rsid w:val="2F1F004B"/>
    <w:rsid w:val="2F4C3E6E"/>
    <w:rsid w:val="2F5C1544"/>
    <w:rsid w:val="2FE13BDF"/>
    <w:rsid w:val="2FF13904"/>
    <w:rsid w:val="308F2599"/>
    <w:rsid w:val="30D82F82"/>
    <w:rsid w:val="311455B4"/>
    <w:rsid w:val="34044216"/>
    <w:rsid w:val="3410673B"/>
    <w:rsid w:val="34224C90"/>
    <w:rsid w:val="342363B4"/>
    <w:rsid w:val="34A52AC8"/>
    <w:rsid w:val="34A87F69"/>
    <w:rsid w:val="355276B4"/>
    <w:rsid w:val="355B300D"/>
    <w:rsid w:val="365D5DF1"/>
    <w:rsid w:val="37080855"/>
    <w:rsid w:val="372B3E8D"/>
    <w:rsid w:val="376C3964"/>
    <w:rsid w:val="390044A5"/>
    <w:rsid w:val="390063EF"/>
    <w:rsid w:val="397F1802"/>
    <w:rsid w:val="39C2041D"/>
    <w:rsid w:val="39D24A40"/>
    <w:rsid w:val="39FC13E3"/>
    <w:rsid w:val="3A9C5AFF"/>
    <w:rsid w:val="3AF36FC4"/>
    <w:rsid w:val="3BA76228"/>
    <w:rsid w:val="3C1C0818"/>
    <w:rsid w:val="3C3C5BC8"/>
    <w:rsid w:val="3CA140A5"/>
    <w:rsid w:val="3CB851FD"/>
    <w:rsid w:val="3CBA53CF"/>
    <w:rsid w:val="3CDA4169"/>
    <w:rsid w:val="3CE11C2D"/>
    <w:rsid w:val="3D420308"/>
    <w:rsid w:val="3E543D55"/>
    <w:rsid w:val="3ED439BA"/>
    <w:rsid w:val="3F557E0C"/>
    <w:rsid w:val="3F6F0478"/>
    <w:rsid w:val="3FDB005C"/>
    <w:rsid w:val="3FF83720"/>
    <w:rsid w:val="3FF900E7"/>
    <w:rsid w:val="3FFA49ED"/>
    <w:rsid w:val="408A461C"/>
    <w:rsid w:val="4184315B"/>
    <w:rsid w:val="42156D81"/>
    <w:rsid w:val="42D33B61"/>
    <w:rsid w:val="42EF1F2A"/>
    <w:rsid w:val="438C79F7"/>
    <w:rsid w:val="445540A0"/>
    <w:rsid w:val="445942D5"/>
    <w:rsid w:val="44CE2451"/>
    <w:rsid w:val="44F853C1"/>
    <w:rsid w:val="45023E54"/>
    <w:rsid w:val="45232051"/>
    <w:rsid w:val="455B525E"/>
    <w:rsid w:val="46246FF6"/>
    <w:rsid w:val="46752A61"/>
    <w:rsid w:val="46CB6206"/>
    <w:rsid w:val="4725582F"/>
    <w:rsid w:val="47DE5991"/>
    <w:rsid w:val="47E27A54"/>
    <w:rsid w:val="47E524A5"/>
    <w:rsid w:val="48255EE3"/>
    <w:rsid w:val="485C31FA"/>
    <w:rsid w:val="48893A0E"/>
    <w:rsid w:val="48AA03BB"/>
    <w:rsid w:val="48F8462D"/>
    <w:rsid w:val="491E39A6"/>
    <w:rsid w:val="495951B3"/>
    <w:rsid w:val="49840C83"/>
    <w:rsid w:val="49B839D8"/>
    <w:rsid w:val="49D62FCE"/>
    <w:rsid w:val="49F21BFA"/>
    <w:rsid w:val="49F64948"/>
    <w:rsid w:val="4A372C4A"/>
    <w:rsid w:val="4A3C1918"/>
    <w:rsid w:val="4A4A35CA"/>
    <w:rsid w:val="4ACC1405"/>
    <w:rsid w:val="4AEC6E0E"/>
    <w:rsid w:val="4B356A9F"/>
    <w:rsid w:val="4B3F6D8A"/>
    <w:rsid w:val="4BCC27D2"/>
    <w:rsid w:val="4C5C1792"/>
    <w:rsid w:val="4C672175"/>
    <w:rsid w:val="4CE321E3"/>
    <w:rsid w:val="4D436A52"/>
    <w:rsid w:val="4D782EF4"/>
    <w:rsid w:val="4E895CBD"/>
    <w:rsid w:val="4EF207DA"/>
    <w:rsid w:val="4FD905BA"/>
    <w:rsid w:val="4FE07D08"/>
    <w:rsid w:val="5028451A"/>
    <w:rsid w:val="50EC685A"/>
    <w:rsid w:val="50EE78A0"/>
    <w:rsid w:val="510B779F"/>
    <w:rsid w:val="511D5F4A"/>
    <w:rsid w:val="513872B7"/>
    <w:rsid w:val="5160753A"/>
    <w:rsid w:val="516E18D3"/>
    <w:rsid w:val="51B348A6"/>
    <w:rsid w:val="51F9270B"/>
    <w:rsid w:val="520D7E1C"/>
    <w:rsid w:val="52C932D4"/>
    <w:rsid w:val="538A7402"/>
    <w:rsid w:val="53C74626"/>
    <w:rsid w:val="53C839D1"/>
    <w:rsid w:val="53C86BE3"/>
    <w:rsid w:val="53D96272"/>
    <w:rsid w:val="54396369"/>
    <w:rsid w:val="552540E2"/>
    <w:rsid w:val="557920F4"/>
    <w:rsid w:val="55E32FF7"/>
    <w:rsid w:val="5611252B"/>
    <w:rsid w:val="56620D7C"/>
    <w:rsid w:val="566A512F"/>
    <w:rsid w:val="5726760A"/>
    <w:rsid w:val="57653BA2"/>
    <w:rsid w:val="57F835D1"/>
    <w:rsid w:val="58A624C8"/>
    <w:rsid w:val="59BD15ED"/>
    <w:rsid w:val="5A737907"/>
    <w:rsid w:val="5AC957AD"/>
    <w:rsid w:val="5B1F7171"/>
    <w:rsid w:val="5B7C0AF8"/>
    <w:rsid w:val="5B8211B8"/>
    <w:rsid w:val="5C62423C"/>
    <w:rsid w:val="5D166AE7"/>
    <w:rsid w:val="5D526C2F"/>
    <w:rsid w:val="5DFD28F3"/>
    <w:rsid w:val="5E37015F"/>
    <w:rsid w:val="5E3C7EB6"/>
    <w:rsid w:val="5E4E291E"/>
    <w:rsid w:val="5EA40D5E"/>
    <w:rsid w:val="5F0D40D2"/>
    <w:rsid w:val="5FCC1135"/>
    <w:rsid w:val="60301373"/>
    <w:rsid w:val="608703C5"/>
    <w:rsid w:val="609902C4"/>
    <w:rsid w:val="60DF51F6"/>
    <w:rsid w:val="61384E04"/>
    <w:rsid w:val="613F6EC2"/>
    <w:rsid w:val="61695EFB"/>
    <w:rsid w:val="61C8289E"/>
    <w:rsid w:val="621548F0"/>
    <w:rsid w:val="629F45A8"/>
    <w:rsid w:val="62B052C5"/>
    <w:rsid w:val="62BB1B33"/>
    <w:rsid w:val="62F17AC6"/>
    <w:rsid w:val="640210FE"/>
    <w:rsid w:val="641F593B"/>
    <w:rsid w:val="64A32BD2"/>
    <w:rsid w:val="64F41D00"/>
    <w:rsid w:val="64F43BBD"/>
    <w:rsid w:val="6540086B"/>
    <w:rsid w:val="65AD08E6"/>
    <w:rsid w:val="65CA3D8B"/>
    <w:rsid w:val="660C4629"/>
    <w:rsid w:val="66133A0C"/>
    <w:rsid w:val="667427C5"/>
    <w:rsid w:val="67971BD8"/>
    <w:rsid w:val="67A04E21"/>
    <w:rsid w:val="67F07192"/>
    <w:rsid w:val="67F24372"/>
    <w:rsid w:val="68072749"/>
    <w:rsid w:val="68820DCC"/>
    <w:rsid w:val="68DD7A3C"/>
    <w:rsid w:val="68E475E4"/>
    <w:rsid w:val="68E47FD0"/>
    <w:rsid w:val="68F85952"/>
    <w:rsid w:val="696352A3"/>
    <w:rsid w:val="69EA2E2F"/>
    <w:rsid w:val="6A1C0ABC"/>
    <w:rsid w:val="6A272AF3"/>
    <w:rsid w:val="6A286B95"/>
    <w:rsid w:val="6A2C68C0"/>
    <w:rsid w:val="6A3D01BE"/>
    <w:rsid w:val="6A7E0B68"/>
    <w:rsid w:val="6A7E1D90"/>
    <w:rsid w:val="6A836A68"/>
    <w:rsid w:val="6ADB2D34"/>
    <w:rsid w:val="6AE57E27"/>
    <w:rsid w:val="6B82450E"/>
    <w:rsid w:val="6BDA4094"/>
    <w:rsid w:val="6BE34044"/>
    <w:rsid w:val="6BE54832"/>
    <w:rsid w:val="6BE71E81"/>
    <w:rsid w:val="6BF50C06"/>
    <w:rsid w:val="6D190D77"/>
    <w:rsid w:val="6D5C6D4F"/>
    <w:rsid w:val="6D9D495D"/>
    <w:rsid w:val="6E8F4F17"/>
    <w:rsid w:val="6ED24A0F"/>
    <w:rsid w:val="6EDE609E"/>
    <w:rsid w:val="6EED65FC"/>
    <w:rsid w:val="6EF04979"/>
    <w:rsid w:val="6EFD2C16"/>
    <w:rsid w:val="6F940F70"/>
    <w:rsid w:val="6FAB74A4"/>
    <w:rsid w:val="6FBC400B"/>
    <w:rsid w:val="70265CBF"/>
    <w:rsid w:val="70321C50"/>
    <w:rsid w:val="70FD5D99"/>
    <w:rsid w:val="713A2388"/>
    <w:rsid w:val="719D0E92"/>
    <w:rsid w:val="71C85D84"/>
    <w:rsid w:val="71CD21D5"/>
    <w:rsid w:val="726A2026"/>
    <w:rsid w:val="72807092"/>
    <w:rsid w:val="730A42E4"/>
    <w:rsid w:val="73A658B0"/>
    <w:rsid w:val="73C37C59"/>
    <w:rsid w:val="73DA7079"/>
    <w:rsid w:val="74017AD2"/>
    <w:rsid w:val="74367F74"/>
    <w:rsid w:val="743D6D3C"/>
    <w:rsid w:val="749C3B4C"/>
    <w:rsid w:val="74AE32B8"/>
    <w:rsid w:val="75264DF7"/>
    <w:rsid w:val="75D11D71"/>
    <w:rsid w:val="76363AE1"/>
    <w:rsid w:val="76B80699"/>
    <w:rsid w:val="77046708"/>
    <w:rsid w:val="77553E6A"/>
    <w:rsid w:val="77856237"/>
    <w:rsid w:val="77AE42E8"/>
    <w:rsid w:val="77DB53D9"/>
    <w:rsid w:val="788A4F42"/>
    <w:rsid w:val="78965095"/>
    <w:rsid w:val="78AE21AA"/>
    <w:rsid w:val="79DA736C"/>
    <w:rsid w:val="79E8019C"/>
    <w:rsid w:val="7A0C2CB7"/>
    <w:rsid w:val="7A670728"/>
    <w:rsid w:val="7A697F39"/>
    <w:rsid w:val="7A817E7A"/>
    <w:rsid w:val="7A9A562F"/>
    <w:rsid w:val="7ADB1AF3"/>
    <w:rsid w:val="7AEB6730"/>
    <w:rsid w:val="7B613448"/>
    <w:rsid w:val="7B682D21"/>
    <w:rsid w:val="7B9152BB"/>
    <w:rsid w:val="7BA911E5"/>
    <w:rsid w:val="7BD553E5"/>
    <w:rsid w:val="7C05013F"/>
    <w:rsid w:val="7CA3300A"/>
    <w:rsid w:val="7CA46F53"/>
    <w:rsid w:val="7CC261A6"/>
    <w:rsid w:val="7D07334B"/>
    <w:rsid w:val="7D4F20A2"/>
    <w:rsid w:val="7D7B2EC8"/>
    <w:rsid w:val="7D8643DB"/>
    <w:rsid w:val="7DB67DAA"/>
    <w:rsid w:val="7DD30383"/>
    <w:rsid w:val="7E0B3172"/>
    <w:rsid w:val="7E1C5492"/>
    <w:rsid w:val="7E5B2370"/>
    <w:rsid w:val="7E5F3110"/>
    <w:rsid w:val="7EDF019A"/>
    <w:rsid w:val="7EEF721B"/>
    <w:rsid w:val="7EF63429"/>
    <w:rsid w:val="7F0F21E0"/>
    <w:rsid w:val="7F936280"/>
    <w:rsid w:val="7FF415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6251</Words>
  <Characters>6959</Characters>
  <Lines>53</Lines>
  <Paragraphs>15</Paragraphs>
  <TotalTime>43</TotalTime>
  <ScaleCrop>false</ScaleCrop>
  <LinksUpToDate>false</LinksUpToDate>
  <CharactersWithSpaces>7469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夏天的风</dc:creator>
  <cp:lastModifiedBy>Administrator</cp:lastModifiedBy>
  <cp:lastPrinted>2022-05-18T02:34:00Z</cp:lastPrinted>
  <dcterms:modified xsi:type="dcterms:W3CDTF">2023-09-20T09:47:48Z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A7FDB0022C7B4F7787EEB3586CFB0D71_13</vt:lpwstr>
  </property>
</Properties>
</file>