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firstLine="420"/>
        <w:jc w:val="left"/>
        <w:rPr>
          <w:rFonts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附表1：</w:t>
      </w:r>
    </w:p>
    <w:p>
      <w:pPr>
        <w:pStyle w:val="3"/>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部门整体支出绩效评价指标评</w:t>
      </w:r>
      <w:bookmarkStart w:id="0" w:name="_GoBack"/>
      <w:r>
        <w:rPr>
          <w:rFonts w:hint="eastAsia" w:ascii="微软雅黑" w:hAnsi="微软雅黑" w:eastAsia="微软雅黑" w:cs="微软雅黑"/>
          <w:i w:val="0"/>
          <w:caps w:val="0"/>
          <w:color w:val="000000"/>
          <w:spacing w:val="30"/>
          <w:sz w:val="24"/>
          <w:szCs w:val="24"/>
        </w:rPr>
        <w:t>分表</w:t>
      </w:r>
      <w:bookmarkEnd w:id="0"/>
    </w:p>
    <w:tbl>
      <w:tblPr>
        <w:tblW w:w="86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50"/>
        <w:gridCol w:w="1150"/>
        <w:gridCol w:w="1118"/>
        <w:gridCol w:w="910"/>
        <w:gridCol w:w="1836"/>
        <w:gridCol w:w="1424"/>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Header/>
        </w:trPr>
        <w:tc>
          <w:tcPr>
            <w:tcW w:w="115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一级指标</w:t>
            </w:r>
          </w:p>
        </w:tc>
        <w:tc>
          <w:tcPr>
            <w:tcW w:w="115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二级指标</w:t>
            </w: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指标</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分值</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评价标准</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指标说明</w:t>
            </w: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816" w:hRule="atLeast"/>
        </w:trPr>
        <w:tc>
          <w:tcPr>
            <w:tcW w:w="1150"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（10分）</w:t>
            </w:r>
          </w:p>
        </w:tc>
        <w:tc>
          <w:tcPr>
            <w:tcW w:w="1150"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（10分）</w:t>
            </w: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在职人员控制率</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以100%为标准。在职人员控制率≦100%，计5分；每超过一个百分点扣0.5分，扣完为止。</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在职人员控制率=（在职人员数/编制数）×100%，在职人员数：部门（单位）实际在职人数，以财政局确定的部门决算编制口径为准。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编制数：机构编制部门核定批复的部门（单位）的人员编制数。</w:t>
            </w: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0" w:hRule="atLeast"/>
        </w:trPr>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“三公经费”变动率</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“三公经费”变动率≦0,计8分；“三公经费”＞0，每超过一个百分点扣0.8分，扣完为止。</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“三公经费”变动率=[（本年度“三公经费”预算数-上年度“三公经费”预算数）/上年度“三公经费”预算数]×100%</w:t>
            </w: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50"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（60分）</w:t>
            </w:r>
          </w:p>
        </w:tc>
        <w:tc>
          <w:tcPr>
            <w:tcW w:w="1150"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（20分）</w:t>
            </w: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预算完成率</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100%计满分，每低于5%扣2分，扣完为止。</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预算完成率=（上年结转+年初预算+本年追加预算-年末结余）/（上年结转+年初预算+本年追加预算）×100%。</w:t>
            </w: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5" w:hRule="atLeast"/>
        </w:trPr>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预算控制率</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预算控制率=0，计5分；0-10%（含），计4分；10-20%（含），计3分；20-30%（含），计2分；大于30%不得分。</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预算控制率=（本年追加预算/年初预算）×100%。</w:t>
            </w: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1" w:hRule="atLeast"/>
        </w:trPr>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新建楼堂馆所面积控制率</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100%以下（含）计满分，每超出5%扣2分，扣完为止。没有楼堂馆所项目的部门按满分计算。</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楼堂馆所面积控制率=实际建设面积/批准建设面积×100%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该指标以2021年完工的新建楼堂馆所为评价内容。</w:t>
            </w: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 w:hRule="atLeast"/>
        </w:trPr>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新建楼堂馆所投资概算控制率</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100%以下（含）计满分，每超出5%扣2分，扣完为止。</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楼堂馆所投资预算控制率=实际投资金额/批准投资金额×100%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该指标以2021年完工的新建楼堂馆所为评价内容。</w:t>
            </w: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1" w:hRule="atLeast"/>
        </w:trPr>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50"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（40分）</w:t>
            </w: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公用经费控制率</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8</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100%以下（含）计满分，每超出1%扣1分，扣完为止。</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公用经费控制率=（实际支出公用经费总额/预算安排公用经费总额）×100%。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公用经费支出是指部门基本支出中的一般商品和服务支出。</w:t>
            </w: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1" w:hRule="atLeast"/>
        </w:trPr>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“三公经费”控制率</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7</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100%以下（含）计满分，每超出1%扣1分，扣完为止。</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“三公经费”控制率-（“三公经费”实际支出数/“三公经费”预算安排数）×100%。</w:t>
            </w: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1" w:hRule="atLeast"/>
        </w:trPr>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政府采购执行率</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100%计满分，每超过（降低）5%扣2分。扣完为止。</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政府采购执行率=（实际政府采购金额/政府采购预算数）×100%</w:t>
            </w: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86" w:hRule="atLeast"/>
        </w:trPr>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管理制度健全性</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8</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①有内部财务管理制度、会计核算制度等管理制度，2分；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②有本部门厉行节约制度,2分；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③相关管理制度合法、合规、完整，2分；④相关管理制度得到有效执行，2分。</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1" w:hRule="atLeast"/>
        </w:trPr>
        <w:tc>
          <w:tcPr>
            <w:tcW w:w="1150"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（60分）</w:t>
            </w:r>
          </w:p>
        </w:tc>
        <w:tc>
          <w:tcPr>
            <w:tcW w:w="1150"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（40分）</w:t>
            </w: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资金使用合规性</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以上情况每出现一例不符合要求的扣1分，扣完为止。</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71" w:hRule="atLeast"/>
        </w:trPr>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预决算信息公开性</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预决算信息是指与部门预算、执行、决算、监督、绩效等管理相关的信息。</w:t>
            </w: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06" w:hRule="atLeast"/>
        </w:trPr>
        <w:tc>
          <w:tcPr>
            <w:tcW w:w="1150"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产出及效率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（30分）</w:t>
            </w:r>
          </w:p>
        </w:tc>
        <w:tc>
          <w:tcPr>
            <w:tcW w:w="115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职责履行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（8分）</w:t>
            </w: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重点工作实际完成率</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8</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根据县绩效办2021年对各部门为民办实事和部门重点工程与重点工作考核分数折算。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该项得分=（绩效办对应部分考核得分/该部分总分）×8。</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50"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履职 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（22分）</w:t>
            </w: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效益</w:t>
            </w:r>
          </w:p>
        </w:tc>
        <w:tc>
          <w:tcPr>
            <w:tcW w:w="910"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w:t>
            </w:r>
          </w:p>
        </w:tc>
        <w:tc>
          <w:tcPr>
            <w:tcW w:w="3260" w:type="dxa"/>
            <w:gridSpan w:val="2"/>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此两项指标为设置部门整体支出绩效评价指标时必须考虑的共性要素，可根据部门实际情况有选择的进行设置，并将其细化为相应的个性化指标。</w:t>
            </w: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效益</w:t>
            </w:r>
          </w:p>
        </w:tc>
        <w:tc>
          <w:tcPr>
            <w:tcW w:w="91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3260" w:type="dxa"/>
            <w:gridSpan w:val="2"/>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11" w:hRule="atLeast"/>
        </w:trPr>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效能</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促进部门改进文风会风，加强经费及资产管理，推动网上办事，提高行政效率，降低行政成本效果较好的计6分；一般3分；无效果或者效果不明显0分。</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根据部门自评材料评定。</w:t>
            </w: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296" w:hRule="atLeast"/>
        </w:trPr>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5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1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社会公众或服务对象满意度</w:t>
            </w:r>
          </w:p>
        </w:tc>
        <w:tc>
          <w:tcPr>
            <w:tcW w:w="9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w:t>
            </w:r>
          </w:p>
        </w:tc>
        <w:tc>
          <w:tcPr>
            <w:tcW w:w="183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90%（含）以上计6分；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80%（含）-90%，计4分；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70%（含）-80%，计2分；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低于70%计0分。</w:t>
            </w:r>
          </w:p>
        </w:tc>
        <w:tc>
          <w:tcPr>
            <w:tcW w:w="1424"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社会公众或服务对象是指部门（单位）履行职责而影响到的部门、群体或个人，一般采取社会调查的方式。</w:t>
            </w:r>
          </w:p>
        </w:tc>
        <w:tc>
          <w:tcPr>
            <w:tcW w:w="101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　</w:t>
            </w:r>
          </w:p>
        </w:tc>
      </w:tr>
    </w:tbl>
    <w:p>
      <w:pPr>
        <w:pStyle w:val="3"/>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附表2：</w:t>
      </w:r>
    </w:p>
    <w:p>
      <w:pPr>
        <w:pStyle w:val="3"/>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部门整体支出绩效评价基础数据表</w:t>
      </w:r>
    </w:p>
    <w:tbl>
      <w:tblPr>
        <w:tblW w:w="86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570"/>
        <w:gridCol w:w="1496"/>
        <w:gridCol w:w="1116"/>
        <w:gridCol w:w="953"/>
        <w:gridCol w:w="1170"/>
        <w:gridCol w:w="1121"/>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6" w:hRule="atLeast"/>
        </w:trPr>
        <w:tc>
          <w:tcPr>
            <w:tcW w:w="1570"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财政供养人员情况</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Style w:val="5"/>
                <w:rFonts w:hint="eastAsia" w:ascii="微软雅黑" w:hAnsi="微软雅黑" w:eastAsia="微软雅黑" w:cs="微软雅黑"/>
                <w:i w:val="0"/>
                <w:caps w:val="0"/>
                <w:color w:val="000000"/>
                <w:spacing w:val="30"/>
                <w:sz w:val="24"/>
                <w:szCs w:val="24"/>
                <w:bdr w:val="none" w:color="auto" w:sz="0" w:space="0"/>
              </w:rPr>
              <w:t>编制数</w:t>
            </w: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Style w:val="5"/>
                <w:rFonts w:hint="eastAsia" w:ascii="微软雅黑" w:hAnsi="微软雅黑" w:eastAsia="微软雅黑" w:cs="微软雅黑"/>
                <w:i w:val="0"/>
                <w:caps w:val="0"/>
                <w:color w:val="000000"/>
                <w:spacing w:val="30"/>
                <w:sz w:val="24"/>
                <w:szCs w:val="24"/>
                <w:bdr w:val="none" w:color="auto" w:sz="0" w:space="0"/>
              </w:rPr>
              <w:t>2021年实际在职人数</w:t>
            </w: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Style w:val="5"/>
                <w:rFonts w:hint="eastAsia" w:ascii="微软雅黑" w:hAnsi="微软雅黑" w:eastAsia="微软雅黑" w:cs="微软雅黑"/>
                <w:i w:val="0"/>
                <w:caps w:val="0"/>
                <w:color w:val="000000"/>
                <w:spacing w:val="30"/>
                <w:sz w:val="24"/>
                <w:szCs w:val="24"/>
                <w:bdr w:val="none" w:color="auto" w:sz="0" w:space="0"/>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11" w:hRule="atLeast"/>
        </w:trPr>
        <w:tc>
          <w:tcPr>
            <w:tcW w:w="157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133　</w:t>
            </w: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110　</w:t>
            </w: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82.71%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5"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经费控制情况</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Style w:val="5"/>
                <w:rFonts w:hint="eastAsia" w:ascii="微软雅黑" w:hAnsi="微软雅黑" w:eastAsia="微软雅黑" w:cs="微软雅黑"/>
                <w:i w:val="0"/>
                <w:caps w:val="0"/>
                <w:color w:val="000000"/>
                <w:spacing w:val="30"/>
                <w:sz w:val="24"/>
                <w:szCs w:val="24"/>
                <w:bdr w:val="none" w:color="auto" w:sz="0" w:space="0"/>
              </w:rPr>
              <w:t>2020年决算数</w:t>
            </w: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Style w:val="5"/>
                <w:rFonts w:hint="eastAsia" w:ascii="微软雅黑" w:hAnsi="微软雅黑" w:eastAsia="微软雅黑" w:cs="微软雅黑"/>
                <w:i w:val="0"/>
                <w:caps w:val="0"/>
                <w:color w:val="000000"/>
                <w:spacing w:val="30"/>
                <w:sz w:val="24"/>
                <w:szCs w:val="24"/>
                <w:bdr w:val="none" w:color="auto" w:sz="0" w:space="0"/>
              </w:rPr>
              <w:t>2021年预算数</w:t>
            </w: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Style w:val="5"/>
                <w:rFonts w:hint="eastAsia" w:ascii="微软雅黑" w:hAnsi="微软雅黑" w:eastAsia="微软雅黑" w:cs="微软雅黑"/>
                <w:i w:val="0"/>
                <w:caps w:val="0"/>
                <w:color w:val="000000"/>
                <w:spacing w:val="30"/>
                <w:sz w:val="24"/>
                <w:szCs w:val="24"/>
                <w:bdr w:val="none" w:color="auto" w:sz="0" w:space="0"/>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三公经费</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30000</w:t>
            </w: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w:t>
            </w: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6690.1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1、公务用车购置和维护经费</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30000</w:t>
            </w: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6690.1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其中：公车购置</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w:t>
            </w: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公车运行维护</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30000　</w:t>
            </w: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6690.1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6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2、出国经费</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3、公务接待</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项目支出：</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6600000　</w:t>
            </w: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6600000　</w:t>
            </w: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9204244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1、业务工作专项(一个项目一行)</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11"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公路小修保养</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6600000</w:t>
            </w: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6600000</w:t>
            </w: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9204244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2、运行维护专项(一个项目一行)</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3、县级专项资金（一个专项一行）</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公用经费</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583000　</w:t>
            </w: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333000　</w:t>
            </w: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1045586.5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其中：办公经费</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水费、电费、差旅费</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会议费、培训费</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政府采购金额</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w:t>
            </w: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1"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部门基本支出预算调整</w:t>
            </w:r>
          </w:p>
        </w:tc>
        <w:tc>
          <w:tcPr>
            <w:tcW w:w="2612"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w:t>
            </w:r>
          </w:p>
        </w:tc>
        <w:tc>
          <w:tcPr>
            <w:tcW w:w="2123"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2297" w:type="dxa"/>
            <w:gridSpan w:val="2"/>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50" w:hRule="atLeast"/>
        </w:trPr>
        <w:tc>
          <w:tcPr>
            <w:tcW w:w="1570" w:type="dxa"/>
            <w:vMerge w:val="restar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楼堂馆所控制情况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（2021年完工项目）</w:t>
            </w:r>
          </w:p>
        </w:tc>
        <w:tc>
          <w:tcPr>
            <w:tcW w:w="149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批复规模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w:t>
            </w:r>
          </w:p>
        </w:tc>
        <w:tc>
          <w:tcPr>
            <w:tcW w:w="111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实际规模（㎡）</w:t>
            </w:r>
          </w:p>
        </w:tc>
        <w:tc>
          <w:tcPr>
            <w:tcW w:w="95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规模控制率</w:t>
            </w:r>
          </w:p>
        </w:tc>
        <w:tc>
          <w:tcPr>
            <w:tcW w:w="11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预算投资（万元）</w:t>
            </w:r>
          </w:p>
        </w:tc>
        <w:tc>
          <w:tcPr>
            <w:tcW w:w="112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实际投资（万元）</w:t>
            </w:r>
          </w:p>
        </w:tc>
        <w:tc>
          <w:tcPr>
            <w:tcW w:w="117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1" w:hRule="atLeast"/>
        </w:trPr>
        <w:tc>
          <w:tcPr>
            <w:tcW w:w="1570" w:type="dxa"/>
            <w:vMerge w:val="continue"/>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rPr>
                <w:rFonts w:hint="eastAsia" w:ascii="微软雅黑" w:hAnsi="微软雅黑" w:eastAsia="微软雅黑" w:cs="微软雅黑"/>
                <w:i w:val="0"/>
                <w:caps w:val="0"/>
                <w:color w:val="000000"/>
                <w:spacing w:val="30"/>
                <w:sz w:val="24"/>
                <w:szCs w:val="24"/>
              </w:rPr>
            </w:pPr>
          </w:p>
        </w:tc>
        <w:tc>
          <w:tcPr>
            <w:tcW w:w="149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11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95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1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12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c>
          <w:tcPr>
            <w:tcW w:w="117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15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caps w:val="0"/>
                <w:color w:val="000000"/>
                <w:spacing w:val="30"/>
                <w:sz w:val="24"/>
                <w:szCs w:val="24"/>
                <w:bdr w:val="none" w:color="auto" w:sz="0" w:space="0"/>
              </w:rPr>
              <w:t>厉行节约保障措施</w:t>
            </w:r>
          </w:p>
        </w:tc>
        <w:tc>
          <w:tcPr>
            <w:tcW w:w="7032" w:type="dxa"/>
            <w:gridSpan w:val="6"/>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tc>
      </w:tr>
    </w:tbl>
    <w:p>
      <w:pPr>
        <w:pStyle w:val="3"/>
        <w:keepNext w:val="0"/>
        <w:keepLines w:val="0"/>
        <w:widowControl/>
        <w:suppressLineNumbers w:val="0"/>
        <w:spacing w:before="75" w:beforeAutospacing="0" w:after="75" w:afterAutospacing="0"/>
        <w:ind w:left="0" w:right="0" w:firstLine="42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说明：“项目支出”需要填报基本支出以外的所有项目支出情况，包括业务工作项目、运行维护项目和县级专项资金等（参照年初预算所列项目）；“公用经费”填报基本支出中的一般商品和服务支出。</w:t>
      </w:r>
    </w:p>
    <w:p>
      <w:pPr>
        <w:keepNext w:val="0"/>
        <w:keepLines w:val="0"/>
        <w:pageBreakBefore w:val="0"/>
        <w:numPr>
          <w:numId w:val="0"/>
        </w:numPr>
        <w:kinsoku/>
        <w:wordWrap/>
        <w:overflowPunct/>
        <w:topLinePunct w:val="0"/>
        <w:autoSpaceDE/>
        <w:autoSpaceDN/>
        <w:bidi w:val="0"/>
        <w:adjustRightInd/>
        <w:snapToGrid/>
        <w:spacing w:line="360" w:lineRule="auto"/>
        <w:outlineLvl w:val="9"/>
        <w:rPr>
          <w:rStyle w:val="5"/>
          <w:rFonts w:hint="eastAsia" w:ascii="仿宋" w:hAnsi="仿宋" w:eastAsia="仿宋" w:cs="仿宋"/>
          <w:i w:val="0"/>
          <w:caps w:val="0"/>
          <w:color w:val="000000"/>
          <w:spacing w:val="3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248FF"/>
    <w:rsid w:val="66C2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2023-09-26T02:15:00Z</dcterms:created>
  <dc:creator>Administrator</dc:creator>
  <cp:lastModifiedBy>Administrator</cp:lastModifiedBy>
  <dcterms:modified xsi:type="dcterms:W3CDTF">2023-09-26T03:38:47Z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