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p>
    <w:p>
      <w:pPr>
        <w:pStyle w:val="2"/>
        <w:keepNext w:val="0"/>
        <w:keepLines w:val="0"/>
        <w:widowControl/>
        <w:suppressLineNumbers w:val="0"/>
        <w:spacing w:before="75" w:beforeAutospacing="0" w:after="75" w:afterAutospacing="0"/>
        <w:ind w:left="0" w:right="0" w:firstLine="1440"/>
        <w:jc w:val="both"/>
        <w:rPr>
          <w:rFonts w:hint="eastAsia" w:ascii="微软雅黑" w:hAnsi="微软雅黑" w:eastAsia="微软雅黑" w:cs="微软雅黑"/>
          <w:i w:val="0"/>
          <w:caps w:val="0"/>
          <w:color w:val="000000"/>
          <w:spacing w:val="30"/>
          <w:sz w:val="24"/>
          <w:szCs w:val="24"/>
          <w:shd w:val="clear" w:color="auto" w:fill="auto"/>
        </w:rPr>
      </w:pPr>
      <w:bookmarkStart w:id="0" w:name="_GoBack"/>
      <w:r>
        <w:rPr>
          <w:rStyle w:val="4"/>
          <w:rFonts w:hint="eastAsia" w:ascii="宋体" w:hAnsi="宋体" w:eastAsia="宋体" w:cs="宋体"/>
          <w:i w:val="0"/>
          <w:caps w:val="0"/>
          <w:color w:val="000000"/>
          <w:spacing w:val="30"/>
          <w:sz w:val="36"/>
          <w:szCs w:val="36"/>
          <w:shd w:val="clear" w:color="auto" w:fill="auto"/>
        </w:rPr>
        <w:t>2021年财政专项资金支出绩效自评报告</w:t>
      </w:r>
    </w:p>
    <w:bookmarkEnd w:id="0"/>
    <w:p>
      <w:pPr>
        <w:pStyle w:val="2"/>
        <w:keepNext w:val="0"/>
        <w:keepLines w:val="0"/>
        <w:widowControl/>
        <w:suppressLineNumbers w:val="0"/>
        <w:spacing w:before="75" w:beforeAutospacing="0" w:after="75" w:afterAutospacing="0"/>
        <w:ind w:left="465" w:right="0" w:firstLine="0"/>
        <w:rPr>
          <w:rFonts w:hint="eastAsia" w:ascii="微软雅黑" w:hAnsi="微软雅黑" w:eastAsia="微软雅黑" w:cs="微软雅黑"/>
          <w:i w:val="0"/>
          <w:caps w:val="0"/>
          <w:color w:val="000000"/>
          <w:spacing w:val="30"/>
          <w:sz w:val="24"/>
          <w:szCs w:val="24"/>
          <w:shd w:val="clear" w:color="auto" w:fill="auto"/>
        </w:rPr>
      </w:pPr>
      <w:r>
        <w:rPr>
          <w:rStyle w:val="4"/>
          <w:rFonts w:hint="eastAsia" w:ascii="宋体" w:hAnsi="宋体" w:eastAsia="宋体" w:cs="宋体"/>
          <w:i w:val="0"/>
          <w:caps w:val="0"/>
          <w:color w:val="000000"/>
          <w:spacing w:val="30"/>
          <w:sz w:val="28"/>
          <w:szCs w:val="28"/>
          <w:shd w:val="clear" w:color="auto" w:fill="auto"/>
        </w:rPr>
        <w:t>一、</w:t>
      </w:r>
      <w:r>
        <w:rPr>
          <w:rFonts w:hint="eastAsia" w:ascii="宋体" w:hAnsi="宋体" w:eastAsia="宋体" w:cs="宋体"/>
          <w:i w:val="0"/>
          <w:caps w:val="0"/>
          <w:color w:val="000000"/>
          <w:spacing w:val="30"/>
          <w:sz w:val="28"/>
          <w:szCs w:val="28"/>
          <w:shd w:val="clear" w:color="auto" w:fill="auto"/>
        </w:rPr>
        <w:t>项目单位基本情况</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白地市镇位于祁东县中部，距县城17公里。下辖18个行政村、3个居委会；总面积108.3平方公里，城区面积7平方公里；现户籍人口8.3万人，其中城镇常住人口3.5万人。</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白地市镇为全国小城镇建设示范镇。为推进新型城镇化建设、美丽乡村建设的需要，对我镇集中对城区的棚户区、旧城区和城中村实施改造，现棚户区改造所有工程项目已全部动工建设，完成率接近90%，</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二、项目概况</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我单位2021年专项资金支出总计1364.58万元，主要分为四个方面：</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一是土地开发成本支出394.58万元；二是保障性安居工程配套基础设施建设支出300万元；三是铁塘桥水库-乌山冲专项资金支出420万元。四是区域性福利院建设200万元</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土地开发项目系近几年来镇政府土地储备付给征收亭村社区、城东村等的土地补偿、拆迁费及审批费用等，</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保障性安居工程配套基础设施建设项目系我镇为响应上级推进新型城镇化建设、美丽乡村建设的需要，对我镇集中连片的棚户区、旧城区和城中村实施改造及相应新建部分基础设施。该项目立项依据充分，有规范资金管理办法；且项目资金于12月前镇财政按预算进度全部拨付到位，未影响项目实施；资金使用合符规定，无截留、挪用等现象，资金使用效益明显。</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其他各项专项资金包括平安乡村摄像头建设奖补资金、通道绿化和秀美村庄建设、河道治理、市级财政专项扶贫、中央财政专项扶贫、中央农村综合改革转移支付（农村公益事业财政奖补资金）、村级组织运转、中央农村综合改革转移支付、乡镇振兴示范村扶持、其他零星支出项目等，</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区域性福利院建设顺利进行，</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三、专项资金使用及管理情况</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我单位2021年度专项资金支出总计1364.58万元，</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我镇所有专项资金由县财政局零余额户管理，白地市镇政府主要负责监督、检查项目工程建设质量、进度。其付款程序大致是：镇财政所在县财政安排的专项资金指标到位后进行计划申请，县局科室审核同意后再进行支付申请，县局审批后方可完成财政直接支付。</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四、项目年度预算绩效目标、绩效指标设定情况</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年初，我镇党委政府成立了由分管财贸的领导负责、纪检、财政所、城建站等部门人员参加的项目支出绩效评价小组，并要求小组成员学习和掌握评价指标体系和绩效相关文件精神，根据预算绩效目标设定了较完整的一、二、三级绩效指标和相应的分值。预算绩效目标、绩效指标设定体系大致如下：</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项目总体设立投入、过程、产出、效果四个一级指标，总分值100。</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一级指标“投入”下分项目立项、资金落实</w:t>
      </w:r>
      <w:r>
        <w:rPr>
          <w:rFonts w:hint="default" w:ascii="Calibri" w:hAnsi="Calibri" w:eastAsia="宋体" w:cs="Calibri"/>
          <w:i w:val="0"/>
          <w:caps w:val="0"/>
          <w:color w:val="000000"/>
          <w:spacing w:val="30"/>
          <w:sz w:val="28"/>
          <w:szCs w:val="28"/>
          <w:shd w:val="clear" w:color="auto" w:fill="auto"/>
        </w:rPr>
        <w:t>2</w:t>
      </w:r>
      <w:r>
        <w:rPr>
          <w:rFonts w:hint="eastAsia" w:ascii="宋体" w:hAnsi="宋体" w:eastAsia="宋体" w:cs="宋体"/>
          <w:i w:val="0"/>
          <w:caps w:val="0"/>
          <w:color w:val="000000"/>
          <w:spacing w:val="30"/>
          <w:sz w:val="28"/>
          <w:szCs w:val="28"/>
          <w:shd w:val="clear" w:color="auto" w:fill="auto"/>
        </w:rPr>
        <w:t>个二级指标，“项目立项”又分立项规划性、目标合理性、明确性</w:t>
      </w:r>
      <w:r>
        <w:rPr>
          <w:rFonts w:hint="default" w:ascii="Calibri" w:hAnsi="Calibri" w:eastAsia="宋体" w:cs="Calibri"/>
          <w:i w:val="0"/>
          <w:caps w:val="0"/>
          <w:color w:val="000000"/>
          <w:spacing w:val="30"/>
          <w:sz w:val="28"/>
          <w:szCs w:val="28"/>
          <w:shd w:val="clear" w:color="auto" w:fill="auto"/>
        </w:rPr>
        <w:t>3</w:t>
      </w:r>
      <w:r>
        <w:rPr>
          <w:rFonts w:hint="eastAsia" w:ascii="宋体" w:hAnsi="宋体" w:eastAsia="宋体" w:cs="宋体"/>
          <w:i w:val="0"/>
          <w:caps w:val="0"/>
          <w:color w:val="000000"/>
          <w:spacing w:val="30"/>
          <w:sz w:val="28"/>
          <w:szCs w:val="28"/>
          <w:shd w:val="clear" w:color="auto" w:fill="auto"/>
        </w:rPr>
        <w:t>个三级指标，“资金落实”又分资金到位率、资金到位及时率</w:t>
      </w:r>
      <w:r>
        <w:rPr>
          <w:rFonts w:hint="default" w:ascii="Calibri" w:hAnsi="Calibri" w:eastAsia="宋体" w:cs="Calibri"/>
          <w:i w:val="0"/>
          <w:caps w:val="0"/>
          <w:color w:val="000000"/>
          <w:spacing w:val="30"/>
          <w:sz w:val="28"/>
          <w:szCs w:val="28"/>
          <w:shd w:val="clear" w:color="auto" w:fill="auto"/>
        </w:rPr>
        <w:t>2</w:t>
      </w:r>
      <w:r>
        <w:rPr>
          <w:rFonts w:hint="eastAsia" w:ascii="宋体" w:hAnsi="宋体" w:eastAsia="宋体" w:cs="宋体"/>
          <w:i w:val="0"/>
          <w:caps w:val="0"/>
          <w:color w:val="000000"/>
          <w:spacing w:val="30"/>
          <w:sz w:val="28"/>
          <w:szCs w:val="28"/>
          <w:shd w:val="clear" w:color="auto" w:fill="auto"/>
        </w:rPr>
        <w:t>个三级指标。</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一级指标“过程”下分业务管理、财务管理</w:t>
      </w:r>
      <w:r>
        <w:rPr>
          <w:rFonts w:hint="default" w:ascii="Calibri" w:hAnsi="Calibri" w:eastAsia="宋体" w:cs="Calibri"/>
          <w:i w:val="0"/>
          <w:caps w:val="0"/>
          <w:color w:val="000000"/>
          <w:spacing w:val="30"/>
          <w:sz w:val="28"/>
          <w:szCs w:val="28"/>
          <w:shd w:val="clear" w:color="auto" w:fill="auto"/>
        </w:rPr>
        <w:t>2</w:t>
      </w:r>
      <w:r>
        <w:rPr>
          <w:rFonts w:hint="eastAsia" w:ascii="宋体" w:hAnsi="宋体" w:eastAsia="宋体" w:cs="宋体"/>
          <w:i w:val="0"/>
          <w:caps w:val="0"/>
          <w:color w:val="000000"/>
          <w:spacing w:val="30"/>
          <w:sz w:val="28"/>
          <w:szCs w:val="28"/>
          <w:shd w:val="clear" w:color="auto" w:fill="auto"/>
        </w:rPr>
        <w:t>个二级指标。“业务管理”又分管理制度健全性、制度执行有效性、项目管理可控性</w:t>
      </w:r>
      <w:r>
        <w:rPr>
          <w:rFonts w:hint="default" w:ascii="Calibri" w:hAnsi="Calibri" w:eastAsia="宋体" w:cs="Calibri"/>
          <w:i w:val="0"/>
          <w:caps w:val="0"/>
          <w:color w:val="000000"/>
          <w:spacing w:val="30"/>
          <w:sz w:val="28"/>
          <w:szCs w:val="28"/>
          <w:shd w:val="clear" w:color="auto" w:fill="auto"/>
        </w:rPr>
        <w:t>3</w:t>
      </w:r>
      <w:r>
        <w:rPr>
          <w:rFonts w:hint="eastAsia" w:ascii="宋体" w:hAnsi="宋体" w:eastAsia="宋体" w:cs="宋体"/>
          <w:i w:val="0"/>
          <w:caps w:val="0"/>
          <w:color w:val="000000"/>
          <w:spacing w:val="30"/>
          <w:sz w:val="28"/>
          <w:szCs w:val="28"/>
          <w:shd w:val="clear" w:color="auto" w:fill="auto"/>
        </w:rPr>
        <w:t>个三级指标，“财务管理”又分管理制度健全性、资金使用合规性、财务监控有效性</w:t>
      </w:r>
      <w:r>
        <w:rPr>
          <w:rFonts w:hint="default" w:ascii="Calibri" w:hAnsi="Calibri" w:eastAsia="宋体" w:cs="Calibri"/>
          <w:i w:val="0"/>
          <w:caps w:val="0"/>
          <w:color w:val="000000"/>
          <w:spacing w:val="30"/>
          <w:sz w:val="28"/>
          <w:szCs w:val="28"/>
          <w:shd w:val="clear" w:color="auto" w:fill="auto"/>
        </w:rPr>
        <w:t>3</w:t>
      </w:r>
      <w:r>
        <w:rPr>
          <w:rFonts w:hint="eastAsia" w:ascii="宋体" w:hAnsi="宋体" w:eastAsia="宋体" w:cs="宋体"/>
          <w:i w:val="0"/>
          <w:caps w:val="0"/>
          <w:color w:val="000000"/>
          <w:spacing w:val="30"/>
          <w:sz w:val="28"/>
          <w:szCs w:val="28"/>
          <w:shd w:val="clear" w:color="auto" w:fill="auto"/>
        </w:rPr>
        <w:t>个三级指标。</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“项目产出”二级指标下分实际完成率、完成及时率、质量达标率、成本节约率</w:t>
      </w:r>
      <w:r>
        <w:rPr>
          <w:rFonts w:hint="default" w:ascii="Calibri" w:hAnsi="Calibri" w:eastAsia="宋体" w:cs="Calibri"/>
          <w:i w:val="0"/>
          <w:caps w:val="0"/>
          <w:color w:val="000000"/>
          <w:spacing w:val="30"/>
          <w:sz w:val="28"/>
          <w:szCs w:val="28"/>
          <w:shd w:val="clear" w:color="auto" w:fill="auto"/>
        </w:rPr>
        <w:t>4</w:t>
      </w:r>
      <w:r>
        <w:rPr>
          <w:rFonts w:hint="eastAsia" w:ascii="宋体" w:hAnsi="宋体" w:eastAsia="宋体" w:cs="宋体"/>
          <w:i w:val="0"/>
          <w:caps w:val="0"/>
          <w:color w:val="000000"/>
          <w:spacing w:val="30"/>
          <w:sz w:val="28"/>
          <w:szCs w:val="28"/>
          <w:shd w:val="clear" w:color="auto" w:fill="auto"/>
        </w:rPr>
        <w:t>个三个指标。</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“项目效果”二级指标下分经济效益、社会效益、生态效益、可持续影响、社会公众或服务对象满意度</w:t>
      </w:r>
      <w:r>
        <w:rPr>
          <w:rFonts w:hint="default" w:ascii="Calibri" w:hAnsi="Calibri" w:eastAsia="宋体" w:cs="Calibri"/>
          <w:i w:val="0"/>
          <w:caps w:val="0"/>
          <w:color w:val="000000"/>
          <w:spacing w:val="30"/>
          <w:sz w:val="28"/>
          <w:szCs w:val="28"/>
          <w:shd w:val="clear" w:color="auto" w:fill="auto"/>
        </w:rPr>
        <w:t>5</w:t>
      </w:r>
      <w:r>
        <w:rPr>
          <w:rFonts w:hint="eastAsia" w:ascii="宋体" w:hAnsi="宋体" w:eastAsia="宋体" w:cs="宋体"/>
          <w:i w:val="0"/>
          <w:caps w:val="0"/>
          <w:color w:val="000000"/>
          <w:spacing w:val="30"/>
          <w:sz w:val="28"/>
          <w:szCs w:val="28"/>
          <w:shd w:val="clear" w:color="auto" w:fill="auto"/>
        </w:rPr>
        <w:t>个三级指标。</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在项目正式实施后便按照规定的工作程序组织绩效评价自评，对评价结果不满意的地方认真进行整改。年末，对项目年度预算目标、绩效指标进行汇总、分析，力争绩效考核评分达到90分以上。</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五、项目绩效分析</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2021年来，由于镇党委、政府的正确领导以及县财政的大力支持下，通过所有项目相关人员的共同努力，该项目任务如数如质地完成。</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1、投入目标完成情况：县财政2021年度拨入该专项资金1364.58万元；</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2、产出目标完成情况：白地市镇财政2021年度实际支付专项资金1364.58万元，目标支出完成率100%。</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3、效益目标完成情况：按进度要求完成率100%。老街居民约590余户进行了房屋改建或装修，居民的满意度与幸福感显著增强；6公里长的道路改造及配套基础设施基本完成，交通条件与街道景观得到明显改善，极大地促进了美丽乡村建设与新型城镇化建设速度与质量。</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六、专项支出绩效自评考核评分：93（详见评分表）</w:t>
      </w:r>
    </w:p>
    <w:p>
      <w:pPr>
        <w:pStyle w:val="2"/>
        <w:keepNext w:val="0"/>
        <w:keepLines w:val="0"/>
        <w:widowControl/>
        <w:suppressLineNumbers w:val="0"/>
        <w:spacing w:before="75" w:beforeAutospacing="0" w:after="75" w:afterAutospacing="0"/>
        <w:ind w:left="0" w:right="0" w:firstLine="4080"/>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4"/>
          <w:szCs w:val="24"/>
          <w:shd w:val="clear" w:color="auto" w:fill="auto"/>
        </w:rPr>
        <w:t> </w:t>
      </w:r>
    </w:p>
    <w:p>
      <w:pPr>
        <w:pStyle w:val="2"/>
        <w:keepNext w:val="0"/>
        <w:keepLines w:val="0"/>
        <w:widowControl/>
        <w:suppressLineNumbers w:val="0"/>
        <w:spacing w:before="75" w:beforeAutospacing="0" w:after="75" w:afterAutospacing="0"/>
        <w:ind w:left="0" w:right="0" w:firstLine="4080"/>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4"/>
          <w:szCs w:val="24"/>
          <w:shd w:val="clear" w:color="auto" w:fill="auto"/>
        </w:rPr>
        <w:t> </w:t>
      </w:r>
    </w:p>
    <w:p>
      <w:pPr>
        <w:pStyle w:val="2"/>
        <w:keepNext w:val="0"/>
        <w:keepLines w:val="0"/>
        <w:widowControl/>
        <w:suppressLineNumbers w:val="0"/>
        <w:spacing w:before="75" w:beforeAutospacing="0" w:after="75" w:afterAutospacing="0"/>
        <w:ind w:left="0" w:right="0" w:firstLine="475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                            </w:t>
      </w:r>
    </w:p>
    <w:p>
      <w:pPr>
        <w:pStyle w:val="2"/>
        <w:keepNext w:val="0"/>
        <w:keepLines w:val="0"/>
        <w:widowControl/>
        <w:suppressLineNumbers w:val="0"/>
        <w:spacing w:before="75" w:beforeAutospacing="0" w:after="75" w:afterAutospacing="0"/>
        <w:ind w:left="0" w:right="0" w:firstLine="448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祁东县白地市镇人民政府</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                          2022年</w:t>
      </w:r>
      <w:r>
        <w:rPr>
          <w:rFonts w:hint="default" w:ascii="Calibri" w:hAnsi="Calibri" w:eastAsia="宋体" w:cs="Calibri"/>
          <w:i w:val="0"/>
          <w:caps w:val="0"/>
          <w:color w:val="000000"/>
          <w:spacing w:val="30"/>
          <w:sz w:val="28"/>
          <w:szCs w:val="28"/>
          <w:shd w:val="clear" w:color="auto" w:fill="auto"/>
        </w:rPr>
        <w:t>5</w:t>
      </w:r>
      <w:r>
        <w:rPr>
          <w:rFonts w:hint="eastAsia" w:ascii="宋体" w:hAnsi="宋体" w:eastAsia="宋体" w:cs="宋体"/>
          <w:i w:val="0"/>
          <w:caps w:val="0"/>
          <w:color w:val="000000"/>
          <w:spacing w:val="30"/>
          <w:sz w:val="28"/>
          <w:szCs w:val="28"/>
          <w:shd w:val="clear" w:color="auto" w:fill="auto"/>
        </w:rPr>
        <w:t>月</w:t>
      </w:r>
      <w:r>
        <w:rPr>
          <w:rFonts w:hint="default" w:ascii="Calibri" w:hAnsi="Calibri" w:eastAsia="宋体" w:cs="Calibri"/>
          <w:i w:val="0"/>
          <w:caps w:val="0"/>
          <w:color w:val="000000"/>
          <w:spacing w:val="30"/>
          <w:sz w:val="28"/>
          <w:szCs w:val="28"/>
          <w:shd w:val="clear" w:color="auto" w:fill="auto"/>
        </w:rPr>
        <w:t>2</w:t>
      </w:r>
      <w:r>
        <w:rPr>
          <w:rFonts w:hint="eastAsia" w:ascii="宋体" w:hAnsi="宋体" w:eastAsia="宋体" w:cs="宋体"/>
          <w:i w:val="0"/>
          <w:caps w:val="0"/>
          <w:color w:val="000000"/>
          <w:spacing w:val="30"/>
          <w:sz w:val="28"/>
          <w:szCs w:val="28"/>
          <w:shd w:val="clear" w:color="auto" w:fill="auto"/>
        </w:rPr>
        <w:t>6日   </w:t>
      </w:r>
    </w:p>
    <w:p>
      <w:pPr>
        <w:pStyle w:val="2"/>
        <w:keepNext w:val="0"/>
        <w:keepLines w:val="0"/>
        <w:widowControl/>
        <w:suppressLineNumbers w:val="0"/>
        <w:spacing w:before="75" w:beforeAutospacing="0" w:after="75" w:afterAutospacing="0"/>
        <w:ind w:left="0" w:right="0" w:firstLine="448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28"/>
          <w:szCs w:val="28"/>
          <w:shd w:val="clear" w:color="auto" w:fill="auto"/>
        </w:rPr>
        <w:t> </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shd w:val="clear" w:color="auto" w:fill="auto"/>
        </w:rPr>
      </w:pPr>
      <w:r>
        <w:rPr>
          <w:rFonts w:hint="default" w:ascii="仿宋_GB2312" w:hAnsi="微软雅黑" w:eastAsia="仿宋_GB2312" w:cs="仿宋_GB2312"/>
          <w:i w:val="0"/>
          <w:caps w:val="0"/>
          <w:color w:val="000000"/>
          <w:spacing w:val="30"/>
          <w:sz w:val="31"/>
          <w:szCs w:val="31"/>
          <w:shd w:val="clear" w:color="auto" w:fill="auto"/>
        </w:rPr>
        <w:t>附表：2021年财政专项资金支出绩效评价评分表</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default" w:ascii="Calibri" w:hAnsi="Calibri" w:eastAsia="微软雅黑" w:cs="Calibri"/>
          <w:i w:val="0"/>
          <w:caps w:val="0"/>
          <w:color w:val="000000"/>
          <w:spacing w:val="30"/>
          <w:sz w:val="21"/>
          <w:szCs w:val="21"/>
          <w:shd w:val="clear" w:color="auto" w:fill="auto"/>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default" w:ascii="Calibri" w:hAnsi="Calibri" w:eastAsia="微软雅黑" w:cs="Calibri"/>
          <w:i w:val="0"/>
          <w:caps w:val="0"/>
          <w:color w:val="000000"/>
          <w:spacing w:val="30"/>
          <w:sz w:val="21"/>
          <w:szCs w:val="21"/>
          <w:shd w:val="clear" w:color="auto" w:fill="auto"/>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default" w:ascii="Calibri" w:hAnsi="Calibri" w:eastAsia="微软雅黑" w:cs="Calibri"/>
          <w:i w:val="0"/>
          <w:caps w:val="0"/>
          <w:color w:val="000000"/>
          <w:spacing w:val="30"/>
          <w:sz w:val="21"/>
          <w:szCs w:val="21"/>
          <w:shd w:val="clear" w:color="auto" w:fill="auto"/>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default" w:ascii="Calibri" w:hAnsi="Calibri" w:eastAsia="微软雅黑" w:cs="Calibri"/>
          <w:i w:val="0"/>
          <w:caps w:val="0"/>
          <w:color w:val="000000"/>
          <w:spacing w:val="30"/>
          <w:sz w:val="21"/>
          <w:szCs w:val="21"/>
          <w:shd w:val="clear" w:color="auto" w:fill="auto"/>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Fonts w:hint="default" w:ascii="Calibri" w:hAnsi="Calibri" w:eastAsia="微软雅黑" w:cs="Calibri"/>
          <w:i w:val="0"/>
          <w:caps w:val="0"/>
          <w:color w:val="000000"/>
          <w:spacing w:val="30"/>
          <w:sz w:val="21"/>
          <w:szCs w:val="21"/>
          <w:shd w:val="clear" w:color="auto" w:fill="auto"/>
        </w:rPr>
        <w:t> </w:t>
      </w:r>
    </w:p>
    <w:tbl>
      <w:tblPr>
        <w:tblStyle w:val="5"/>
        <w:tblW w:w="8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4"/>
        <w:gridCol w:w="784"/>
        <w:gridCol w:w="282"/>
        <w:gridCol w:w="282"/>
        <w:gridCol w:w="3148"/>
        <w:gridCol w:w="2890"/>
        <w:gridCol w:w="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8327" w:type="dxa"/>
            <w:gridSpan w:val="7"/>
            <w:tcBorders>
              <w:top w:val="nil"/>
              <w:left w:val="nil"/>
              <w:bottom w:val="nil"/>
              <w:right w:val="nil"/>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方正小标宋_GBK" w:hAnsi="方正小标宋_GBK" w:eastAsia="方正小标宋_GBK" w:cs="方正小标宋_GBK"/>
                <w:i w:val="0"/>
                <w:caps w:val="0"/>
                <w:color w:val="000000"/>
                <w:spacing w:val="30"/>
                <w:sz w:val="36"/>
                <w:szCs w:val="36"/>
                <w:shd w:val="clear" w:color="auto" w:fill="auto"/>
              </w:rPr>
              <w:t>2021年财政专项资金支出绩效评价评分表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主管单位：白地市人民政府        </w:t>
            </w:r>
            <w:r>
              <w:rPr>
                <w:rFonts w:hint="default" w:ascii="仿宋_GB2312" w:hAnsi="微软雅黑" w:eastAsia="仿宋_GB2312" w:cs="仿宋_GB2312"/>
                <w:i w:val="0"/>
                <w:caps w:val="0"/>
                <w:color w:val="000000"/>
                <w:spacing w:val="30"/>
                <w:sz w:val="24"/>
                <w:szCs w:val="24"/>
                <w:shd w:val="clear" w:color="auto" w:fill="auto"/>
              </w:rPr>
              <w:t>填报人：丁晓翔   电话：</w:t>
            </w:r>
            <w:r>
              <w:rPr>
                <w:rFonts w:hint="default" w:ascii="Calibri" w:hAnsi="Calibri" w:eastAsia="仿宋_GB2312" w:cs="Calibri"/>
                <w:i w:val="0"/>
                <w:caps w:val="0"/>
                <w:color w:val="000000"/>
                <w:spacing w:val="30"/>
                <w:sz w:val="24"/>
                <w:szCs w:val="24"/>
                <w:shd w:val="clear" w:color="auto" w:fill="auto"/>
              </w:rPr>
              <w:t>15574752555</w:t>
            </w:r>
            <w:r>
              <w:rPr>
                <w:rFonts w:hint="default" w:ascii="仿宋_GB2312" w:hAnsi="微软雅黑" w:eastAsia="仿宋_GB2312" w:cs="仿宋_GB2312"/>
                <w:i w:val="0"/>
                <w:caps w:val="0"/>
                <w:color w:val="000000"/>
                <w:spacing w:val="30"/>
                <w:sz w:val="19"/>
                <w:szCs w:val="19"/>
                <w:shd w:val="clear" w:color="auto" w:fill="auto"/>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34" w:type="dxa"/>
            <w:tcBorders>
              <w:top w:val="single" w:color="000000" w:sz="6" w:space="0"/>
              <w:left w:val="single" w:color="000000" w:sz="6" w:space="0"/>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一级指标</w:t>
            </w:r>
          </w:p>
        </w:tc>
        <w:tc>
          <w:tcPr>
            <w:tcW w:w="784"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指标</w:t>
            </w:r>
          </w:p>
        </w:tc>
        <w:tc>
          <w:tcPr>
            <w:tcW w:w="282"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三级指标</w:t>
            </w:r>
          </w:p>
        </w:tc>
        <w:tc>
          <w:tcPr>
            <w:tcW w:w="282"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分值</w:t>
            </w:r>
          </w:p>
        </w:tc>
        <w:tc>
          <w:tcPr>
            <w:tcW w:w="3148"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具体指标</w:t>
            </w:r>
          </w:p>
        </w:tc>
        <w:tc>
          <w:tcPr>
            <w:tcW w:w="2890"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评价标准</w:t>
            </w:r>
          </w:p>
        </w:tc>
        <w:tc>
          <w:tcPr>
            <w:tcW w:w="407" w:type="dxa"/>
            <w:tcBorders>
              <w:top w:val="single" w:color="000000" w:sz="6" w:space="0"/>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34" w:type="dxa"/>
            <w:vMerge w:val="restart"/>
            <w:tcBorders>
              <w:top w:val="nil"/>
              <w:left w:val="single" w:color="000000" w:sz="6" w:space="0"/>
              <w:bottom w:val="nil"/>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项目决策（16分）</w:t>
            </w:r>
          </w:p>
        </w:tc>
        <w:tc>
          <w:tcPr>
            <w:tcW w:w="784"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项目立项（5）</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立项程序规范性</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3</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①项目是否按照规定的程序申请设立；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②审批文件、合同及材料是否符合相关要求；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③事前是否已经过必要的风险评估、绩效评估、集体决策。</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①按照规定的程序申请设立计1分，否则，酌情扣分；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②审批文件、合同及材料符合相关要求计1分,否则，酌情扣分；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③事前是否已经过必要的风险评估、绩效评估、集体决策计1分，否则，酌情扣分。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项目库建设和执行</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2</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是否按要求建设了项目库并得到执行。</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按要求建立了项目库的得</w:t>
            </w:r>
            <w:r>
              <w:rPr>
                <w:rFonts w:hint="default" w:ascii="Times New Roman" w:hAnsi="Times New Roman" w:eastAsia="微软雅黑" w:cs="Times New Roman"/>
                <w:i w:val="0"/>
                <w:caps w:val="0"/>
                <w:color w:val="000000"/>
                <w:spacing w:val="30"/>
                <w:sz w:val="19"/>
                <w:szCs w:val="19"/>
                <w:shd w:val="clear" w:color="auto" w:fill="auto"/>
              </w:rPr>
              <w:t>1</w:t>
            </w:r>
            <w:r>
              <w:rPr>
                <w:rFonts w:hint="default" w:ascii="仿宋_GB2312" w:hAnsi="微软雅黑" w:eastAsia="仿宋_GB2312" w:cs="仿宋_GB2312"/>
                <w:i w:val="0"/>
                <w:caps w:val="0"/>
                <w:color w:val="000000"/>
                <w:spacing w:val="30"/>
                <w:sz w:val="19"/>
                <w:szCs w:val="19"/>
                <w:shd w:val="clear" w:color="auto" w:fill="auto"/>
              </w:rPr>
              <w:t>分，项目从项目库中选择的得</w:t>
            </w:r>
            <w:r>
              <w:rPr>
                <w:rFonts w:hint="default" w:ascii="Times New Roman" w:hAnsi="Times New Roman" w:eastAsia="微软雅黑" w:cs="Times New Roman"/>
                <w:i w:val="0"/>
                <w:caps w:val="0"/>
                <w:color w:val="000000"/>
                <w:spacing w:val="30"/>
                <w:sz w:val="19"/>
                <w:szCs w:val="19"/>
                <w:shd w:val="clear" w:color="auto" w:fill="auto"/>
              </w:rPr>
              <w:t>1</w:t>
            </w:r>
            <w:r>
              <w:rPr>
                <w:rFonts w:hint="default" w:ascii="仿宋_GB2312" w:hAnsi="微软雅黑" w:eastAsia="仿宋_GB2312" w:cs="仿宋_GB2312"/>
                <w:i w:val="0"/>
                <w:caps w:val="0"/>
                <w:color w:val="000000"/>
                <w:spacing w:val="30"/>
                <w:sz w:val="19"/>
                <w:szCs w:val="19"/>
                <w:shd w:val="clear" w:color="auto" w:fill="auto"/>
              </w:rPr>
              <w:t>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0"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restart"/>
            <w:tcBorders>
              <w:top w:val="nil"/>
              <w:left w:val="nil"/>
              <w:bottom w:val="nil"/>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绩效目标（7）</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绩效目标合理性</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4</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①、②、③、④、各1分，否则，酌情扣分。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5"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绩效指标明确性</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3</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①是否将项目绩效目标细化分解为具体的绩效指标；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②是否通过清晰、可衡量的指标值予以体现；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③是否与项目目标任务数或计划数相对应。</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①项目绩效目标细化分解为具体的绩效指标得1分，否则酌情扣分，扣完为止；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②通过清晰、可衡量的指标值予以体现得1分，否则酌情扣分，扣完为止；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③与项目目标任务数或计划数相对应得1分，否则酌情扣分，扣完为止。</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restart"/>
            <w:tcBorders>
              <w:top w:val="nil"/>
              <w:left w:val="nil"/>
              <w:bottom w:val="nil"/>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资金投入（4）</w:t>
            </w:r>
          </w:p>
        </w:tc>
        <w:tc>
          <w:tcPr>
            <w:tcW w:w="282"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资金分配规范性</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2</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①分配办法是否健全、规范；                          ②分配标准、因素选择是否全面、合理。</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①分配办法健全、规范，计1分；                        ②分配标准、因素选择全面、合理，计1分。否则，酌情扣分。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2</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实际分配是否符合办法要求，结果是否公平、合理。</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实际分配符合办法要求，结果公平、合理，计2分。否则，酌情扣分。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34" w:type="dxa"/>
            <w:vMerge w:val="restart"/>
            <w:tcBorders>
              <w:top w:val="nil"/>
              <w:left w:val="single" w:color="000000" w:sz="6" w:space="0"/>
              <w:bottom w:val="nil"/>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项目过程（24分）</w:t>
            </w:r>
          </w:p>
        </w:tc>
        <w:tc>
          <w:tcPr>
            <w:tcW w:w="784"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资金使用（11）</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资金使用合规性</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5</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①符合国家财经法规和财务管理制度以及各类专项资金管理办法的规定，资金的支付有完整的审批程序，计1分，1例不符合扣0.5分；                   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④不存在截留、挤占、挪用、虚列支出等情况，不存在重复申报项目、虚报冒领资金，不存在项目申报与合同和资金下达内容不符的，计2分，出现1例不符合，本指标的5分全扣；               ⑤违规情况特别严重的，重点绩效评价等级定为“差”。</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资金进度</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6</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专项资金使用率</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评价项目单位实际使用专项资金情况与专项资金指标下达数进行对比。计分原则如下：当年末项目单位使用专项资金未达到</w:t>
            </w:r>
            <w:r>
              <w:rPr>
                <w:rFonts w:hint="default" w:ascii="Times New Roman" w:hAnsi="Times New Roman" w:eastAsia="微软雅黑" w:cs="Times New Roman"/>
                <w:i w:val="0"/>
                <w:caps w:val="0"/>
                <w:color w:val="000000"/>
                <w:spacing w:val="30"/>
                <w:sz w:val="19"/>
                <w:szCs w:val="19"/>
                <w:shd w:val="clear" w:color="auto" w:fill="auto"/>
              </w:rPr>
              <w:t>90%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2</w:t>
            </w:r>
            <w:r>
              <w:rPr>
                <w:rFonts w:hint="default" w:ascii="仿宋_GB2312" w:hAnsi="微软雅黑" w:eastAsia="仿宋_GB2312" w:cs="仿宋_GB2312"/>
                <w:i w:val="0"/>
                <w:caps w:val="0"/>
                <w:color w:val="000000"/>
                <w:spacing w:val="30"/>
                <w:sz w:val="19"/>
                <w:szCs w:val="19"/>
                <w:shd w:val="clear" w:color="auto" w:fill="auto"/>
              </w:rPr>
              <w:t>分，未达到</w:t>
            </w:r>
            <w:r>
              <w:rPr>
                <w:rFonts w:hint="default" w:ascii="Times New Roman" w:hAnsi="Times New Roman" w:eastAsia="微软雅黑" w:cs="Times New Roman"/>
                <w:i w:val="0"/>
                <w:caps w:val="0"/>
                <w:color w:val="000000"/>
                <w:spacing w:val="30"/>
                <w:sz w:val="19"/>
                <w:szCs w:val="19"/>
                <w:shd w:val="clear" w:color="auto" w:fill="auto"/>
              </w:rPr>
              <w:t>80%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3</w:t>
            </w:r>
            <w:r>
              <w:rPr>
                <w:rFonts w:hint="default" w:ascii="仿宋_GB2312" w:hAnsi="微软雅黑" w:eastAsia="仿宋_GB2312" w:cs="仿宋_GB2312"/>
                <w:i w:val="0"/>
                <w:caps w:val="0"/>
                <w:color w:val="000000"/>
                <w:spacing w:val="30"/>
                <w:sz w:val="19"/>
                <w:szCs w:val="19"/>
                <w:shd w:val="clear" w:color="auto" w:fill="auto"/>
              </w:rPr>
              <w:t>分，未达到</w:t>
            </w:r>
            <w:r>
              <w:rPr>
                <w:rFonts w:hint="default" w:ascii="Times New Roman" w:hAnsi="Times New Roman" w:eastAsia="微软雅黑" w:cs="Times New Roman"/>
                <w:i w:val="0"/>
                <w:caps w:val="0"/>
                <w:color w:val="000000"/>
                <w:spacing w:val="30"/>
                <w:sz w:val="19"/>
                <w:szCs w:val="19"/>
                <w:shd w:val="clear" w:color="auto" w:fill="auto"/>
              </w:rPr>
              <w:t>70%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4</w:t>
            </w:r>
            <w:r>
              <w:rPr>
                <w:rFonts w:hint="default" w:ascii="仿宋_GB2312" w:hAnsi="微软雅黑" w:eastAsia="仿宋_GB2312" w:cs="仿宋_GB2312"/>
                <w:i w:val="0"/>
                <w:caps w:val="0"/>
                <w:color w:val="000000"/>
                <w:spacing w:val="30"/>
                <w:sz w:val="19"/>
                <w:szCs w:val="19"/>
                <w:shd w:val="clear" w:color="auto" w:fill="auto"/>
              </w:rPr>
              <w:t>分，未达到</w:t>
            </w:r>
            <w:r>
              <w:rPr>
                <w:rFonts w:hint="default" w:ascii="Times New Roman" w:hAnsi="Times New Roman" w:eastAsia="微软雅黑" w:cs="Times New Roman"/>
                <w:i w:val="0"/>
                <w:caps w:val="0"/>
                <w:color w:val="000000"/>
                <w:spacing w:val="30"/>
                <w:sz w:val="19"/>
                <w:szCs w:val="19"/>
                <w:shd w:val="clear" w:color="auto" w:fill="auto"/>
              </w:rPr>
              <w:t>60%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5</w:t>
            </w:r>
            <w:r>
              <w:rPr>
                <w:rFonts w:hint="default" w:ascii="仿宋_GB2312" w:hAnsi="微软雅黑" w:eastAsia="仿宋_GB2312" w:cs="仿宋_GB2312"/>
                <w:i w:val="0"/>
                <w:caps w:val="0"/>
                <w:color w:val="000000"/>
                <w:spacing w:val="30"/>
                <w:sz w:val="19"/>
                <w:szCs w:val="19"/>
                <w:shd w:val="clear" w:color="auto" w:fill="auto"/>
              </w:rPr>
              <w:t>分，未达到</w:t>
            </w:r>
            <w:r>
              <w:rPr>
                <w:rFonts w:hint="default" w:ascii="Times New Roman" w:hAnsi="Times New Roman" w:eastAsia="微软雅黑" w:cs="Times New Roman"/>
                <w:i w:val="0"/>
                <w:caps w:val="0"/>
                <w:color w:val="000000"/>
                <w:spacing w:val="30"/>
                <w:sz w:val="19"/>
                <w:szCs w:val="19"/>
                <w:shd w:val="clear" w:color="auto" w:fill="auto"/>
              </w:rPr>
              <w:t>50%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6</w:t>
            </w:r>
            <w:r>
              <w:rPr>
                <w:rFonts w:hint="default" w:ascii="仿宋_GB2312" w:hAnsi="微软雅黑" w:eastAsia="仿宋_GB2312" w:cs="仿宋_GB2312"/>
                <w:i w:val="0"/>
                <w:caps w:val="0"/>
                <w:color w:val="000000"/>
                <w:spacing w:val="30"/>
                <w:sz w:val="19"/>
                <w:szCs w:val="19"/>
                <w:shd w:val="clear" w:color="auto" w:fill="auto"/>
              </w:rPr>
              <w:t>分；次年6月</w:t>
            </w:r>
            <w:r>
              <w:rPr>
                <w:rFonts w:hint="default" w:ascii="Times New Roman" w:hAnsi="Times New Roman" w:eastAsia="微软雅黑" w:cs="Times New Roman"/>
                <w:i w:val="0"/>
                <w:caps w:val="0"/>
                <w:color w:val="000000"/>
                <w:spacing w:val="30"/>
                <w:sz w:val="19"/>
                <w:szCs w:val="19"/>
                <w:shd w:val="clear" w:color="auto" w:fill="auto"/>
              </w:rPr>
              <w:t>30</w:t>
            </w:r>
            <w:r>
              <w:rPr>
                <w:rFonts w:hint="default" w:ascii="仿宋_GB2312" w:hAnsi="微软雅黑" w:eastAsia="仿宋_GB2312" w:cs="仿宋_GB2312"/>
                <w:i w:val="0"/>
                <w:caps w:val="0"/>
                <w:color w:val="000000"/>
                <w:spacing w:val="30"/>
                <w:sz w:val="19"/>
                <w:szCs w:val="19"/>
                <w:shd w:val="clear" w:color="auto" w:fill="auto"/>
              </w:rPr>
              <w:t>日未达到</w:t>
            </w:r>
            <w:r>
              <w:rPr>
                <w:rFonts w:hint="default" w:ascii="Times New Roman" w:hAnsi="Times New Roman" w:eastAsia="微软雅黑" w:cs="Times New Roman"/>
                <w:i w:val="0"/>
                <w:caps w:val="0"/>
                <w:color w:val="000000"/>
                <w:spacing w:val="30"/>
                <w:sz w:val="19"/>
                <w:szCs w:val="19"/>
                <w:shd w:val="clear" w:color="auto" w:fill="auto"/>
              </w:rPr>
              <w:t>70%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6</w:t>
            </w:r>
            <w:r>
              <w:rPr>
                <w:rFonts w:hint="default" w:ascii="仿宋_GB2312" w:hAnsi="微软雅黑" w:eastAsia="仿宋_GB2312" w:cs="仿宋_GB2312"/>
                <w:i w:val="0"/>
                <w:caps w:val="0"/>
                <w:color w:val="000000"/>
                <w:spacing w:val="30"/>
                <w:sz w:val="19"/>
                <w:szCs w:val="19"/>
                <w:shd w:val="clear" w:color="auto" w:fill="auto"/>
              </w:rPr>
              <w:t>分，未达到</w:t>
            </w:r>
            <w:r>
              <w:rPr>
                <w:rFonts w:hint="default" w:ascii="Times New Roman" w:hAnsi="Times New Roman" w:eastAsia="微软雅黑" w:cs="Times New Roman"/>
                <w:i w:val="0"/>
                <w:caps w:val="0"/>
                <w:color w:val="000000"/>
                <w:spacing w:val="30"/>
                <w:sz w:val="19"/>
                <w:szCs w:val="19"/>
                <w:shd w:val="clear" w:color="auto" w:fill="auto"/>
              </w:rPr>
              <w:t>80%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5</w:t>
            </w:r>
            <w:r>
              <w:rPr>
                <w:rFonts w:hint="default" w:ascii="仿宋_GB2312" w:hAnsi="微软雅黑" w:eastAsia="仿宋_GB2312" w:cs="仿宋_GB2312"/>
                <w:i w:val="0"/>
                <w:caps w:val="0"/>
                <w:color w:val="000000"/>
                <w:spacing w:val="30"/>
                <w:sz w:val="19"/>
                <w:szCs w:val="19"/>
                <w:shd w:val="clear" w:color="auto" w:fill="auto"/>
              </w:rPr>
              <w:t>分，未达到</w:t>
            </w:r>
            <w:r>
              <w:rPr>
                <w:rFonts w:hint="default" w:ascii="Times New Roman" w:hAnsi="Times New Roman" w:eastAsia="微软雅黑" w:cs="Times New Roman"/>
                <w:i w:val="0"/>
                <w:caps w:val="0"/>
                <w:color w:val="000000"/>
                <w:spacing w:val="30"/>
                <w:sz w:val="19"/>
                <w:szCs w:val="19"/>
                <w:shd w:val="clear" w:color="auto" w:fill="auto"/>
              </w:rPr>
              <w:t>90%</w:t>
            </w:r>
            <w:r>
              <w:rPr>
                <w:rFonts w:hint="default" w:ascii="仿宋_GB2312" w:hAnsi="微软雅黑" w:eastAsia="仿宋_GB2312" w:cs="仿宋_GB2312"/>
                <w:i w:val="0"/>
                <w:caps w:val="0"/>
                <w:color w:val="000000"/>
                <w:spacing w:val="30"/>
                <w:sz w:val="19"/>
                <w:szCs w:val="19"/>
                <w:shd w:val="clear" w:color="auto" w:fill="auto"/>
              </w:rPr>
              <w:t>的扣</w:t>
            </w:r>
            <w:r>
              <w:rPr>
                <w:rFonts w:hint="default" w:ascii="Times New Roman" w:hAnsi="Times New Roman" w:eastAsia="微软雅黑" w:cs="Times New Roman"/>
                <w:i w:val="0"/>
                <w:caps w:val="0"/>
                <w:color w:val="000000"/>
                <w:spacing w:val="30"/>
                <w:sz w:val="19"/>
                <w:szCs w:val="19"/>
                <w:shd w:val="clear" w:color="auto" w:fill="auto"/>
              </w:rPr>
              <w:t>4</w:t>
            </w:r>
            <w:r>
              <w:rPr>
                <w:rFonts w:hint="default" w:ascii="仿宋_GB2312" w:hAnsi="微软雅黑" w:eastAsia="仿宋_GB2312" w:cs="仿宋_GB2312"/>
                <w:i w:val="0"/>
                <w:caps w:val="0"/>
                <w:color w:val="000000"/>
                <w:spacing w:val="30"/>
                <w:sz w:val="19"/>
                <w:szCs w:val="19"/>
                <w:shd w:val="clear" w:color="auto" w:fill="auto"/>
              </w:rPr>
              <w:t>分。两项合计最多扣</w:t>
            </w:r>
            <w:r>
              <w:rPr>
                <w:rFonts w:hint="default" w:ascii="Times New Roman" w:hAnsi="Times New Roman" w:eastAsia="微软雅黑" w:cs="Times New Roman"/>
                <w:i w:val="0"/>
                <w:caps w:val="0"/>
                <w:color w:val="000000"/>
                <w:spacing w:val="30"/>
                <w:sz w:val="19"/>
                <w:szCs w:val="19"/>
                <w:shd w:val="clear" w:color="auto" w:fill="auto"/>
              </w:rPr>
              <w:t>6</w:t>
            </w:r>
            <w:r>
              <w:rPr>
                <w:rFonts w:hint="default" w:ascii="仿宋_GB2312" w:hAnsi="微软雅黑" w:eastAsia="仿宋_GB2312" w:cs="仿宋_GB2312"/>
                <w:i w:val="0"/>
                <w:caps w:val="0"/>
                <w:color w:val="000000"/>
                <w:spacing w:val="30"/>
                <w:sz w:val="19"/>
                <w:szCs w:val="19"/>
                <w:shd w:val="clear" w:color="auto" w:fill="auto"/>
              </w:rPr>
              <w:t>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资金监管（2）</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资金监督</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2</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专项监管一次以上且规范有效</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符合计</w:t>
            </w:r>
            <w:r>
              <w:rPr>
                <w:rFonts w:hint="default" w:ascii="Times New Roman" w:hAnsi="Times New Roman" w:eastAsia="微软雅黑" w:cs="Times New Roman"/>
                <w:i w:val="0"/>
                <w:caps w:val="0"/>
                <w:color w:val="000000"/>
                <w:spacing w:val="30"/>
                <w:sz w:val="19"/>
                <w:szCs w:val="19"/>
                <w:shd w:val="clear" w:color="auto" w:fill="auto"/>
              </w:rPr>
              <w:t>2</w:t>
            </w:r>
            <w:r>
              <w:rPr>
                <w:rFonts w:hint="default" w:ascii="仿宋_GB2312" w:hAnsi="微软雅黑" w:eastAsia="仿宋_GB2312" w:cs="仿宋_GB2312"/>
                <w:i w:val="0"/>
                <w:caps w:val="0"/>
                <w:color w:val="000000"/>
                <w:spacing w:val="30"/>
                <w:sz w:val="19"/>
                <w:szCs w:val="19"/>
                <w:shd w:val="clear" w:color="auto" w:fill="auto"/>
              </w:rPr>
              <w:t>分；有一次但欠规范无实效计</w:t>
            </w:r>
            <w:r>
              <w:rPr>
                <w:rFonts w:hint="default" w:ascii="Times New Roman" w:hAnsi="Times New Roman" w:eastAsia="微软雅黑" w:cs="Times New Roman"/>
                <w:i w:val="0"/>
                <w:caps w:val="0"/>
                <w:color w:val="000000"/>
                <w:spacing w:val="30"/>
                <w:sz w:val="19"/>
                <w:szCs w:val="19"/>
                <w:shd w:val="clear" w:color="auto" w:fill="auto"/>
              </w:rPr>
              <w:t>1</w:t>
            </w:r>
            <w:r>
              <w:rPr>
                <w:rFonts w:hint="default" w:ascii="仿宋_GB2312" w:hAnsi="微软雅黑" w:eastAsia="仿宋_GB2312" w:cs="仿宋_GB2312"/>
                <w:i w:val="0"/>
                <w:caps w:val="0"/>
                <w:color w:val="000000"/>
                <w:spacing w:val="30"/>
                <w:sz w:val="19"/>
                <w:szCs w:val="19"/>
                <w:shd w:val="clear" w:color="auto" w:fill="auto"/>
              </w:rPr>
              <w:t>分；无监管计</w:t>
            </w:r>
            <w:r>
              <w:rPr>
                <w:rFonts w:hint="default" w:ascii="Times New Roman" w:hAnsi="Times New Roman" w:eastAsia="微软雅黑" w:cs="Times New Roman"/>
                <w:i w:val="0"/>
                <w:caps w:val="0"/>
                <w:color w:val="000000"/>
                <w:spacing w:val="30"/>
                <w:sz w:val="19"/>
                <w:szCs w:val="19"/>
                <w:shd w:val="clear" w:color="auto" w:fill="auto"/>
              </w:rPr>
              <w:t>0</w:t>
            </w:r>
            <w:r>
              <w:rPr>
                <w:rFonts w:hint="default" w:ascii="仿宋_GB2312" w:hAnsi="微软雅黑" w:eastAsia="仿宋_GB2312" w:cs="仿宋_GB2312"/>
                <w:i w:val="0"/>
                <w:caps w:val="0"/>
                <w:color w:val="000000"/>
                <w:spacing w:val="30"/>
                <w:sz w:val="19"/>
                <w:szCs w:val="19"/>
                <w:shd w:val="clear" w:color="auto" w:fill="auto"/>
              </w:rPr>
              <w:t>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公示公告（3）</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公示公告情况</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3</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按照相关规定进行公示公告</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到村到户项目在所在行政村公告公示且公示公告时间不少于</w:t>
            </w:r>
            <w:r>
              <w:rPr>
                <w:rFonts w:hint="default" w:ascii="Times New Roman" w:hAnsi="Times New Roman" w:eastAsia="微软雅黑" w:cs="Times New Roman"/>
                <w:i w:val="0"/>
                <w:caps w:val="0"/>
                <w:color w:val="000000"/>
                <w:spacing w:val="30"/>
                <w:sz w:val="19"/>
                <w:szCs w:val="19"/>
                <w:shd w:val="clear" w:color="auto" w:fill="auto"/>
              </w:rPr>
              <w:t>10</w:t>
            </w:r>
            <w:r>
              <w:rPr>
                <w:rFonts w:hint="default" w:ascii="仿宋_GB2312" w:hAnsi="微软雅黑" w:eastAsia="仿宋_GB2312" w:cs="仿宋_GB2312"/>
                <w:i w:val="0"/>
                <w:caps w:val="0"/>
                <w:color w:val="000000"/>
                <w:spacing w:val="30"/>
                <w:sz w:val="19"/>
                <w:szCs w:val="19"/>
                <w:shd w:val="clear" w:color="auto" w:fill="auto"/>
              </w:rPr>
              <w:t>天，计1分；公示内容完整，计1分；事前事后公示，计1分。否则不得分。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项目实施（8）</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管理制度健全性</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4</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①、②各计2分。否则，酌情扣分。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70" w:hRule="atLeast"/>
        </w:trPr>
        <w:tc>
          <w:tcPr>
            <w:tcW w:w="534" w:type="dxa"/>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制度执行有效性</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4</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①是否遵守相关法律法规和相关管理规定；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②项目调整及支出调整手续是否完备；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③项目合同书、验收报告、技术鉴定等资料是否齐全并及时归档；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④项目实施的人员条件、场地设备、信息支撑等是否落实到位。</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①、②、③、④各1分。否则，酌情扣分。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45" w:hRule="atLeast"/>
        </w:trPr>
        <w:tc>
          <w:tcPr>
            <w:tcW w:w="534" w:type="dxa"/>
            <w:vMerge w:val="restart"/>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项目效益（60分）</w:t>
            </w:r>
          </w:p>
        </w:tc>
        <w:tc>
          <w:tcPr>
            <w:tcW w:w="784"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项目产出(34分）</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项目完成率</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10</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项目是否按申报资料的数量完成</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评价专项资金安排的项目截至2021年12月31日实际完成情况。计分原则如下：项目未完成率达到30%以上的扣10分，未完成率达到20%-30%（含）的扣8分，未完成率达到10%-20%（含）的扣6分，未完成率达到5%-10%（含）的扣4分，未完成率5%（含）以下的扣2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项目产出质量达标率</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8</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项目完成后，项目完成的质量达标产出数与实际产出数的比率</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质量达标率</w:t>
            </w:r>
            <w:r>
              <w:rPr>
                <w:rFonts w:hint="default" w:ascii="Times New Roman" w:hAnsi="Times New Roman" w:eastAsia="微软雅黑" w:cs="Times New Roman"/>
                <w:i w:val="0"/>
                <w:caps w:val="0"/>
                <w:color w:val="000000"/>
                <w:spacing w:val="30"/>
                <w:sz w:val="19"/>
                <w:szCs w:val="19"/>
                <w:shd w:val="clear" w:color="auto" w:fill="auto"/>
              </w:rPr>
              <w:t>100%</w:t>
            </w:r>
            <w:r>
              <w:rPr>
                <w:rFonts w:hint="default" w:ascii="仿宋_GB2312" w:hAnsi="微软雅黑" w:eastAsia="仿宋_GB2312" w:cs="仿宋_GB2312"/>
                <w:i w:val="0"/>
                <w:caps w:val="0"/>
                <w:color w:val="000000"/>
                <w:spacing w:val="30"/>
                <w:sz w:val="19"/>
                <w:szCs w:val="19"/>
                <w:shd w:val="clear" w:color="auto" w:fill="auto"/>
              </w:rPr>
              <w:t>计</w:t>
            </w:r>
            <w:r>
              <w:rPr>
                <w:rFonts w:hint="default" w:ascii="Times New Roman" w:hAnsi="Times New Roman" w:eastAsia="微软雅黑" w:cs="Times New Roman"/>
                <w:i w:val="0"/>
                <w:caps w:val="0"/>
                <w:color w:val="000000"/>
                <w:spacing w:val="30"/>
                <w:sz w:val="19"/>
                <w:szCs w:val="19"/>
                <w:shd w:val="clear" w:color="auto" w:fill="auto"/>
              </w:rPr>
              <w:t>8</w:t>
            </w:r>
            <w:r>
              <w:rPr>
                <w:rFonts w:hint="default" w:ascii="仿宋_GB2312" w:hAnsi="微软雅黑" w:eastAsia="仿宋_GB2312" w:cs="仿宋_GB2312"/>
                <w:i w:val="0"/>
                <w:caps w:val="0"/>
                <w:color w:val="000000"/>
                <w:spacing w:val="30"/>
                <w:sz w:val="19"/>
                <w:szCs w:val="19"/>
                <w:shd w:val="clear" w:color="auto" w:fill="auto"/>
              </w:rPr>
              <w:t>分，每降低1%扣0.4分，扣完为止。</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项目完成时效</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8</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项目是否按申报资料的计划时间完成</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该项得分</w:t>
            </w:r>
            <w:r>
              <w:rPr>
                <w:rFonts w:hint="default" w:ascii="Times New Roman" w:hAnsi="Times New Roman" w:eastAsia="微软雅黑" w:cs="Times New Roman"/>
                <w:i w:val="0"/>
                <w:caps w:val="0"/>
                <w:color w:val="000000"/>
                <w:spacing w:val="30"/>
                <w:sz w:val="19"/>
                <w:szCs w:val="19"/>
                <w:shd w:val="clear" w:color="auto" w:fill="auto"/>
              </w:rPr>
              <w:t>=</w:t>
            </w:r>
            <w:r>
              <w:rPr>
                <w:rFonts w:hint="default" w:ascii="仿宋_GB2312" w:hAnsi="微软雅黑" w:eastAsia="仿宋_GB2312" w:cs="仿宋_GB2312"/>
                <w:i w:val="0"/>
                <w:caps w:val="0"/>
                <w:color w:val="000000"/>
                <w:spacing w:val="30"/>
                <w:sz w:val="19"/>
                <w:szCs w:val="19"/>
                <w:shd w:val="clear" w:color="auto" w:fill="auto"/>
              </w:rPr>
              <w:t>申报资料的计划用时/项目实际用时×100%，每超过1%扣0.4分，扣完为止。</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5"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项目成本节约率</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8</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完成项目计划工作目标的实际节约成本与计划成本的比率</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该项得分</w:t>
            </w:r>
            <w:r>
              <w:rPr>
                <w:rFonts w:hint="default" w:ascii="Times New Roman" w:hAnsi="Times New Roman" w:eastAsia="微软雅黑" w:cs="Times New Roman"/>
                <w:i w:val="0"/>
                <w:caps w:val="0"/>
                <w:color w:val="000000"/>
                <w:spacing w:val="30"/>
                <w:sz w:val="19"/>
                <w:szCs w:val="19"/>
                <w:shd w:val="clear" w:color="auto" w:fill="auto"/>
              </w:rPr>
              <w:t>=</w:t>
            </w:r>
            <w:r>
              <w:rPr>
                <w:rFonts w:hint="default" w:ascii="仿宋_GB2312" w:hAnsi="微软雅黑" w:eastAsia="仿宋_GB2312" w:cs="仿宋_GB2312"/>
                <w:i w:val="0"/>
                <w:caps w:val="0"/>
                <w:color w:val="000000"/>
                <w:spacing w:val="30"/>
                <w:sz w:val="19"/>
                <w:szCs w:val="19"/>
                <w:shd w:val="clear" w:color="auto" w:fill="auto"/>
              </w:rPr>
              <w:t>申报资料的计划投资成本</w:t>
            </w:r>
            <w:r>
              <w:rPr>
                <w:rFonts w:hint="default" w:ascii="Times New Roman" w:hAnsi="Times New Roman" w:eastAsia="微软雅黑" w:cs="Times New Roman"/>
                <w:i w:val="0"/>
                <w:caps w:val="0"/>
                <w:color w:val="000000"/>
                <w:spacing w:val="30"/>
                <w:sz w:val="19"/>
                <w:szCs w:val="19"/>
                <w:shd w:val="clear" w:color="auto" w:fill="auto"/>
              </w:rPr>
              <w:t>/</w:t>
            </w:r>
            <w:r>
              <w:rPr>
                <w:rFonts w:hint="default" w:ascii="仿宋_GB2312" w:hAnsi="微软雅黑" w:eastAsia="仿宋_GB2312" w:cs="仿宋_GB2312"/>
                <w:i w:val="0"/>
                <w:caps w:val="0"/>
                <w:color w:val="000000"/>
                <w:spacing w:val="30"/>
                <w:sz w:val="19"/>
                <w:szCs w:val="19"/>
                <w:shd w:val="clear" w:color="auto" w:fill="auto"/>
              </w:rPr>
              <w:t>项目实际投资成本</w:t>
            </w:r>
            <w:r>
              <w:rPr>
                <w:rFonts w:hint="eastAsia" w:ascii="宋体" w:hAnsi="宋体" w:eastAsia="宋体" w:cs="宋体"/>
                <w:i w:val="0"/>
                <w:caps w:val="0"/>
                <w:color w:val="000000"/>
                <w:spacing w:val="30"/>
                <w:sz w:val="19"/>
                <w:szCs w:val="19"/>
                <w:shd w:val="clear" w:color="auto" w:fill="auto"/>
              </w:rPr>
              <w:t>×</w:t>
            </w:r>
            <w:r>
              <w:rPr>
                <w:rFonts w:hint="default" w:ascii="仿宋_GB2312" w:hAnsi="微软雅黑" w:eastAsia="仿宋_GB2312" w:cs="仿宋_GB2312"/>
                <w:i w:val="0"/>
                <w:caps w:val="0"/>
                <w:color w:val="000000"/>
                <w:spacing w:val="30"/>
                <w:sz w:val="19"/>
                <w:szCs w:val="19"/>
                <w:shd w:val="clear" w:color="auto" w:fill="auto"/>
              </w:rPr>
              <w:t>100%，每超过1%扣0.4分，扣完为止。</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restart"/>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项目效果（26分）</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经济效益</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8</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项目实施对经济发展所带来的直接或间接影响情况。</w:t>
            </w:r>
          </w:p>
        </w:tc>
        <w:tc>
          <w:tcPr>
            <w:tcW w:w="2890" w:type="dxa"/>
            <w:vMerge w:val="restart"/>
            <w:tcBorders>
              <w:top w:val="nil"/>
              <w:left w:val="nil"/>
              <w:bottom w:val="nil"/>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此四项指标为设置项目支出绩效评价指标时必须考虑的共性要素，可根据项目实际并结合绩效目标设立情况有选择的进行设置，并将其细化为相应的个性化指标。</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社会效益</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5</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项目实施对社会发展所带来的直接或间接影响情况。</w:t>
            </w:r>
          </w:p>
        </w:tc>
        <w:tc>
          <w:tcPr>
            <w:tcW w:w="2890" w:type="dxa"/>
            <w:vMerge w:val="continue"/>
            <w:tcBorders>
              <w:top w:val="nil"/>
              <w:left w:val="nil"/>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生态效益</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4</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项目实施对生态环境所带来的直接或间接影响情况。</w:t>
            </w:r>
          </w:p>
        </w:tc>
        <w:tc>
          <w:tcPr>
            <w:tcW w:w="2890" w:type="dxa"/>
            <w:vMerge w:val="continue"/>
            <w:tcBorders>
              <w:top w:val="nil"/>
              <w:left w:val="nil"/>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可持续影响</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4</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项目后续运行及成效发挥的可持续影响情况。</w:t>
            </w:r>
          </w:p>
        </w:tc>
        <w:tc>
          <w:tcPr>
            <w:tcW w:w="2890" w:type="dxa"/>
            <w:vMerge w:val="continue"/>
            <w:tcBorders>
              <w:top w:val="nil"/>
              <w:left w:val="nil"/>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534" w:type="dxa"/>
            <w:vMerge w:val="continue"/>
            <w:tcBorders>
              <w:top w:val="nil"/>
              <w:left w:val="single" w:color="000000" w:sz="6" w:space="0"/>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784" w:type="dxa"/>
            <w:vMerge w:val="continue"/>
            <w:tcBorders>
              <w:top w:val="nil"/>
              <w:left w:val="nil"/>
              <w:bottom w:val="single" w:color="000000" w:sz="6" w:space="0"/>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社会公众满意度</w:t>
            </w:r>
          </w:p>
        </w:tc>
        <w:tc>
          <w:tcPr>
            <w:tcW w:w="282"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5</w:t>
            </w:r>
          </w:p>
        </w:tc>
        <w:tc>
          <w:tcPr>
            <w:tcW w:w="3148"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社会公众或服务对象对项目实施效果的满意程度</w:t>
            </w:r>
          </w:p>
        </w:tc>
        <w:tc>
          <w:tcPr>
            <w:tcW w:w="2890"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90%-100%（含）计10分，80%-90%（含）计8分，70%-80%（含）计6分，60%-70%（含）计4分，60%以下不计分。</w:t>
            </w:r>
          </w:p>
        </w:tc>
        <w:tc>
          <w:tcPr>
            <w:tcW w:w="407" w:type="dxa"/>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600" w:type="dxa"/>
            <w:gridSpan w:val="3"/>
            <w:tcBorders>
              <w:top w:val="nil"/>
              <w:left w:val="single" w:color="000000" w:sz="6" w:space="0"/>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评价得分</w:t>
            </w:r>
          </w:p>
        </w:tc>
        <w:tc>
          <w:tcPr>
            <w:tcW w:w="6727" w:type="dxa"/>
            <w:gridSpan w:val="4"/>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1600" w:type="dxa"/>
            <w:gridSpan w:val="3"/>
            <w:vMerge w:val="restart"/>
            <w:tcBorders>
              <w:top w:val="nil"/>
              <w:left w:val="single" w:color="000000" w:sz="6" w:space="0"/>
              <w:bottom w:val="nil"/>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hd w:val="clear" w:color="auto" w:fill="auto"/>
              </w:rPr>
            </w:pPr>
            <w:r>
              <w:rPr>
                <w:rStyle w:val="4"/>
                <w:rFonts w:hint="default" w:ascii="仿宋_GB2312" w:hAnsi="微软雅黑" w:eastAsia="仿宋_GB2312" w:cs="仿宋_GB2312"/>
                <w:i w:val="0"/>
                <w:caps w:val="0"/>
                <w:color w:val="000000"/>
                <w:spacing w:val="30"/>
                <w:sz w:val="19"/>
                <w:szCs w:val="19"/>
                <w:shd w:val="clear" w:color="auto" w:fill="auto"/>
              </w:rPr>
              <w:t>评价等次</w:t>
            </w:r>
          </w:p>
        </w:tc>
        <w:tc>
          <w:tcPr>
            <w:tcW w:w="6727" w:type="dxa"/>
            <w:gridSpan w:val="4"/>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i w:val="0"/>
                <w:caps w:val="0"/>
                <w:color w:val="000000"/>
                <w:spacing w:val="30"/>
                <w:sz w:val="19"/>
                <w:szCs w:val="19"/>
                <w:shd w:val="clear" w:color="auto" w:fill="auto"/>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5" w:hRule="atLeast"/>
        </w:trPr>
        <w:tc>
          <w:tcPr>
            <w:tcW w:w="1600" w:type="dxa"/>
            <w:gridSpan w:val="3"/>
            <w:vMerge w:val="continue"/>
            <w:tcBorders>
              <w:top w:val="nil"/>
              <w:left w:val="single" w:color="000000" w:sz="6" w:space="0"/>
              <w:bottom w:val="nil"/>
              <w:right w:val="single" w:color="000000" w:sz="6" w:space="0"/>
            </w:tcBorders>
            <w:shd w:val="clear" w:color="auto" w:fill="auto"/>
            <w:tcMar>
              <w:bottom w:w="0" w:type="dxa"/>
            </w:tcMar>
            <w:vAlign w:val="center"/>
          </w:tcPr>
          <w:p>
            <w:pPr>
              <w:rPr>
                <w:rFonts w:hint="eastAsia" w:ascii="微软雅黑" w:hAnsi="微软雅黑" w:eastAsia="微软雅黑" w:cs="微软雅黑"/>
                <w:i w:val="0"/>
                <w:caps w:val="0"/>
                <w:color w:val="000000"/>
                <w:spacing w:val="30"/>
                <w:sz w:val="24"/>
                <w:szCs w:val="24"/>
                <w:shd w:val="clear" w:color="auto" w:fill="auto"/>
              </w:rPr>
            </w:pPr>
          </w:p>
        </w:tc>
        <w:tc>
          <w:tcPr>
            <w:tcW w:w="6727" w:type="dxa"/>
            <w:gridSpan w:val="4"/>
            <w:tcBorders>
              <w:top w:val="nil"/>
              <w:left w:val="nil"/>
              <w:bottom w:val="single" w:color="000000" w:sz="6" w:space="0"/>
              <w:right w:val="single" w:color="000000" w:sz="6" w:space="0"/>
            </w:tcBorders>
            <w:shd w:val="clear" w:color="auto" w:fill="auto"/>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default" w:ascii="仿宋_GB2312" w:hAnsi="微软雅黑" w:eastAsia="仿宋_GB2312" w:cs="仿宋_GB2312"/>
                <w:i w:val="0"/>
                <w:caps w:val="0"/>
                <w:color w:val="000000"/>
                <w:spacing w:val="30"/>
                <w:sz w:val="19"/>
                <w:szCs w:val="19"/>
                <w:shd w:val="clear" w:color="auto" w:fill="auto"/>
              </w:rPr>
              <w:t>90分（含）—100分为优，80分（含）—90分为良，60分（含）—80分为中，60分以下为差</w:t>
            </w:r>
          </w:p>
        </w:tc>
      </w:tr>
    </w:tbl>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shd w:val="clear" w:color="auto" w:fill="auto"/>
        </w:rPr>
      </w:pPr>
      <w:r>
        <w:rPr>
          <w:rStyle w:val="4"/>
          <w:rFonts w:hint="eastAsia" w:ascii="宋体" w:hAnsi="宋体" w:eastAsia="宋体" w:cs="宋体"/>
          <w:i w:val="0"/>
          <w:caps w:val="0"/>
          <w:color w:val="000000"/>
          <w:spacing w:val="30"/>
          <w:sz w:val="36"/>
          <w:szCs w:val="36"/>
          <w:shd w:val="clear" w:color="auto" w:fill="auto"/>
        </w:rPr>
        <w:t> </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shd w:val="clear" w:color="auto" w:fill="auto"/>
        </w:rPr>
      </w:pPr>
      <w:r>
        <w:rPr>
          <w:rFonts w:hint="eastAsia" w:ascii="宋体" w:hAnsi="宋体" w:eastAsia="宋体" w:cs="宋体"/>
          <w:i w:val="0"/>
          <w:caps w:val="0"/>
          <w:color w:val="000000"/>
          <w:spacing w:val="30"/>
          <w:sz w:val="31"/>
          <w:szCs w:val="31"/>
          <w:shd w:val="clear" w:color="auto" w:fill="auto"/>
        </w:rPr>
        <w:t> </w:t>
      </w:r>
    </w:p>
    <w:p>
      <w:pPr>
        <w:rPr>
          <w:shd w:val="clear" w:color="auto" w:fil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B00B2"/>
    <w:rsid w:val="04AB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2023-09-26T08:28:00Z</dcterms:created>
  <dc:creator>Administrator</dc:creator>
  <cp:lastModifiedBy>Administrator</cp:lastModifiedBy>
  <dcterms:modified xsi:type="dcterms:W3CDTF">2023-09-26T08:28:59Z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