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kinsoku/>
        <w:wordWrap/>
        <w:overflowPunct/>
        <w:topLinePunct w:val="0"/>
        <w:autoSpaceDE/>
        <w:autoSpaceDN/>
        <w:bidi w:val="0"/>
        <w:adjustRightInd w:val="0"/>
        <w:snapToGrid w:val="0"/>
        <w:jc w:val="center"/>
        <w:textAlignment w:val="auto"/>
        <w:outlineLvl w:val="9"/>
        <w:rPr>
          <w:rFonts w:hint="eastAsia" w:eastAsia="方正小标宋_GBK"/>
          <w:bCs/>
          <w:color w:val="auto"/>
          <w:sz w:val="52"/>
          <w:szCs w:val="52"/>
          <w:lang w:eastAsia="zh-CN"/>
        </w:rPr>
      </w:pPr>
    </w:p>
    <w:p>
      <w:pPr>
        <w:keepNext w:val="0"/>
        <w:keepLines w:val="0"/>
        <w:pageBreakBefore w:val="0"/>
        <w:widowControl w:val="0"/>
        <w:kinsoku/>
        <w:wordWrap/>
        <w:overflowPunct/>
        <w:topLinePunct w:val="0"/>
        <w:autoSpaceDE/>
        <w:autoSpaceDN/>
        <w:bidi w:val="0"/>
        <w:adjustRightInd w:val="0"/>
        <w:snapToGrid w:val="0"/>
        <w:jc w:val="center"/>
        <w:textAlignment w:val="auto"/>
        <w:outlineLvl w:val="9"/>
        <w:rPr>
          <w:rFonts w:hint="eastAsia" w:eastAsia="方正小标宋_GBK"/>
          <w:bCs/>
          <w:color w:val="auto"/>
          <w:sz w:val="52"/>
          <w:szCs w:val="52"/>
          <w:lang w:eastAsia="zh-CN"/>
        </w:rPr>
      </w:pPr>
    </w:p>
    <w:p>
      <w:pPr>
        <w:keepNext w:val="0"/>
        <w:keepLines w:val="0"/>
        <w:pageBreakBefore w:val="0"/>
        <w:widowControl w:val="0"/>
        <w:kinsoku/>
        <w:wordWrap/>
        <w:overflowPunct/>
        <w:topLinePunct w:val="0"/>
        <w:autoSpaceDE/>
        <w:autoSpaceDN/>
        <w:bidi w:val="0"/>
        <w:adjustRightInd w:val="0"/>
        <w:snapToGrid w:val="0"/>
        <w:jc w:val="center"/>
        <w:textAlignment w:val="auto"/>
        <w:outlineLvl w:val="9"/>
        <w:rPr>
          <w:rFonts w:hint="eastAsia" w:eastAsia="方正小标宋_GBK"/>
          <w:bCs/>
          <w:color w:val="auto"/>
          <w:sz w:val="52"/>
          <w:szCs w:val="52"/>
          <w:lang w:eastAsia="zh-CN"/>
        </w:rPr>
      </w:pPr>
      <w:r>
        <w:rPr>
          <w:rFonts w:hint="eastAsia" w:eastAsia="方正小标宋_GBK"/>
          <w:bCs/>
          <w:color w:val="auto"/>
          <w:sz w:val="52"/>
          <w:szCs w:val="52"/>
          <w:lang w:eastAsia="zh-CN"/>
        </w:rPr>
        <w:t>建设项目环境影响报告表</w:t>
      </w:r>
    </w:p>
    <w:p>
      <w:pPr>
        <w:keepNext w:val="0"/>
        <w:keepLines w:val="0"/>
        <w:pageBreakBefore w:val="0"/>
        <w:widowControl w:val="0"/>
        <w:kinsoku/>
        <w:wordWrap/>
        <w:overflowPunct/>
        <w:topLinePunct w:val="0"/>
        <w:autoSpaceDE/>
        <w:autoSpaceDN/>
        <w:bidi w:val="0"/>
        <w:adjustRightInd w:val="0"/>
        <w:snapToGrid w:val="0"/>
        <w:spacing w:before="192"/>
        <w:jc w:val="center"/>
        <w:textAlignment w:val="auto"/>
        <w:rPr>
          <w:rFonts w:hint="eastAsia" w:eastAsia="楷体_GB2312"/>
          <w:bCs/>
          <w:color w:val="auto"/>
          <w:sz w:val="48"/>
          <w:szCs w:val="48"/>
        </w:rPr>
      </w:pPr>
      <w:r>
        <w:rPr>
          <w:rFonts w:hint="eastAsia" w:eastAsia="楷体_GB2312"/>
          <w:bCs/>
          <w:color w:val="auto"/>
          <w:sz w:val="48"/>
          <w:szCs w:val="48"/>
        </w:rPr>
        <w:t>（污染影响类）</w:t>
      </w:r>
    </w:p>
    <w:p>
      <w:pPr>
        <w:adjustRightInd w:val="0"/>
        <w:snapToGrid w:val="0"/>
        <w:spacing w:line="288" w:lineRule="auto"/>
        <w:jc w:val="center"/>
        <w:rPr>
          <w:rFonts w:eastAsia="楷体_GB2312"/>
          <w:bCs/>
          <w:color w:val="auto"/>
          <w:sz w:val="28"/>
          <w:szCs w:val="28"/>
        </w:rPr>
      </w:pPr>
      <w:r>
        <w:rPr>
          <w:rFonts w:hint="eastAsia" w:eastAsia="楷体_GB2312"/>
          <w:bCs/>
          <w:color w:val="auto"/>
          <w:sz w:val="28"/>
          <w:szCs w:val="28"/>
          <w:lang w:val="en-US" w:eastAsia="zh-CN"/>
        </w:rPr>
        <w:t>送审</w:t>
      </w:r>
      <w:r>
        <w:rPr>
          <w:rFonts w:hint="eastAsia" w:eastAsia="楷体_GB2312"/>
          <w:bCs/>
          <w:color w:val="auto"/>
          <w:sz w:val="28"/>
          <w:szCs w:val="28"/>
        </w:rPr>
        <w:t>稿</w:t>
      </w:r>
    </w:p>
    <w:p>
      <w:pPr>
        <w:jc w:val="center"/>
        <w:rPr>
          <w:rFonts w:eastAsia="仿宋"/>
          <w:color w:val="auto"/>
          <w:sz w:val="52"/>
          <w:szCs w:val="52"/>
        </w:rPr>
      </w:pPr>
    </w:p>
    <w:p>
      <w:pPr>
        <w:ind w:firstLine="1040"/>
        <w:rPr>
          <w:rFonts w:eastAsia="仿宋"/>
          <w:color w:val="auto"/>
          <w:sz w:val="44"/>
          <w:szCs w:val="44"/>
        </w:rPr>
      </w:pPr>
    </w:p>
    <w:p>
      <w:pPr>
        <w:ind w:firstLine="1040"/>
        <w:rPr>
          <w:rFonts w:eastAsia="仿宋"/>
          <w:color w:val="auto"/>
          <w:sz w:val="44"/>
          <w:szCs w:val="44"/>
        </w:rPr>
      </w:pPr>
    </w:p>
    <w:p>
      <w:pPr>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600" w:firstLineChars="200"/>
        <w:jc w:val="left"/>
        <w:textAlignment w:val="auto"/>
        <w:outlineLvl w:val="9"/>
        <w:rPr>
          <w:color w:val="auto"/>
          <w:sz w:val="30"/>
          <w:szCs w:val="30"/>
        </w:rPr>
      </w:pPr>
      <w:r>
        <w:rPr>
          <w:rFonts w:hint="eastAsia" w:eastAsia="仿宋_GB2312"/>
          <w:color w:val="auto"/>
          <w:sz w:val="30"/>
          <w:szCs w:val="30"/>
        </w:rPr>
        <w:t>项目名称：</w:t>
      </w:r>
      <w:r>
        <w:rPr>
          <w:rFonts w:hint="eastAsia" w:eastAsia="仿宋_GB2312"/>
          <w:color w:val="auto"/>
          <w:sz w:val="30"/>
          <w:szCs w:val="30"/>
          <w:u w:val="single"/>
        </w:rPr>
        <w:t xml:space="preserve"> </w:t>
      </w:r>
      <w:r>
        <w:rPr>
          <w:rFonts w:hint="eastAsia" w:eastAsia="仿宋_GB2312"/>
          <w:color w:val="auto"/>
          <w:sz w:val="30"/>
          <w:szCs w:val="30"/>
          <w:u w:val="single"/>
          <w:lang w:val="en-US" w:eastAsia="zh-CN"/>
        </w:rPr>
        <w:t>湖南省鑫汇鑫环保科技有限公司报废汽车拆解再回收项目</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600" w:firstLineChars="200"/>
        <w:jc w:val="left"/>
        <w:textAlignment w:val="auto"/>
        <w:outlineLvl w:val="9"/>
        <w:rPr>
          <w:rFonts w:hint="default" w:eastAsia="仿宋_GB2312"/>
          <w:color w:val="auto"/>
          <w:sz w:val="30"/>
          <w:szCs w:val="30"/>
          <w:u w:val="single"/>
          <w:lang w:val="en-US"/>
        </w:rPr>
      </w:pPr>
      <w:r>
        <w:rPr>
          <w:rFonts w:hint="eastAsia" w:eastAsia="仿宋_GB2312"/>
          <w:color w:val="auto"/>
          <w:sz w:val="30"/>
          <w:szCs w:val="30"/>
        </w:rPr>
        <w:t>建设单位（盖章）：</w:t>
      </w:r>
      <w:r>
        <w:rPr>
          <w:rFonts w:hint="eastAsia" w:eastAsia="仿宋_GB2312"/>
          <w:color w:val="auto"/>
          <w:sz w:val="30"/>
          <w:szCs w:val="30"/>
          <w:u w:val="single"/>
          <w:lang w:val="en-US" w:eastAsia="zh-CN"/>
        </w:rPr>
        <w:t xml:space="preserve">    湖南省鑫汇鑫环保科技有限公司            </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600" w:firstLineChars="200"/>
        <w:jc w:val="left"/>
        <w:textAlignment w:val="auto"/>
        <w:outlineLvl w:val="9"/>
        <w:rPr>
          <w:rFonts w:hint="eastAsia" w:eastAsia="仿宋_GB2312"/>
          <w:color w:val="auto"/>
          <w:sz w:val="30"/>
          <w:szCs w:val="30"/>
          <w:u w:val="single"/>
        </w:rPr>
      </w:pPr>
      <w:r>
        <w:rPr>
          <w:rFonts w:hint="eastAsia" w:eastAsia="仿宋_GB2312"/>
          <w:color w:val="auto"/>
          <w:sz w:val="30"/>
          <w:szCs w:val="30"/>
        </w:rPr>
        <w:t>编制日期：</w:t>
      </w:r>
      <w:r>
        <w:rPr>
          <w:rFonts w:hint="eastAsia" w:eastAsia="仿宋_GB2312"/>
          <w:color w:val="auto"/>
          <w:sz w:val="30"/>
          <w:szCs w:val="30"/>
          <w:u w:val="single"/>
        </w:rPr>
        <w:t xml:space="preserve"> </w:t>
      </w:r>
      <w:r>
        <w:rPr>
          <w:rFonts w:hint="eastAsia" w:eastAsia="仿宋_GB2312"/>
          <w:color w:val="auto"/>
          <w:sz w:val="30"/>
          <w:szCs w:val="30"/>
          <w:u w:val="single"/>
          <w:lang w:val="en-US" w:eastAsia="zh-CN"/>
        </w:rPr>
        <w:t xml:space="preserve">                  </w:t>
      </w:r>
      <w:r>
        <w:rPr>
          <w:rFonts w:hint="eastAsia" w:eastAsia="仿宋_GB2312"/>
          <w:color w:val="auto"/>
          <w:sz w:val="30"/>
          <w:szCs w:val="30"/>
          <w:u w:val="single"/>
        </w:rPr>
        <w:t>202</w:t>
      </w:r>
      <w:r>
        <w:rPr>
          <w:rFonts w:hint="eastAsia" w:eastAsia="仿宋_GB2312"/>
          <w:color w:val="auto"/>
          <w:sz w:val="30"/>
          <w:szCs w:val="30"/>
          <w:u w:val="single"/>
          <w:lang w:val="en-US" w:eastAsia="zh-CN"/>
        </w:rPr>
        <w:t>3</w:t>
      </w:r>
      <w:r>
        <w:rPr>
          <w:rFonts w:hint="eastAsia" w:eastAsia="仿宋_GB2312"/>
          <w:color w:val="auto"/>
          <w:sz w:val="30"/>
          <w:szCs w:val="30"/>
          <w:u w:val="single"/>
        </w:rPr>
        <w:t>年</w:t>
      </w:r>
      <w:r>
        <w:rPr>
          <w:rFonts w:hint="eastAsia" w:eastAsia="仿宋_GB2312"/>
          <w:color w:val="auto"/>
          <w:sz w:val="30"/>
          <w:szCs w:val="30"/>
          <w:u w:val="single"/>
          <w:lang w:val="en-US" w:eastAsia="zh-CN"/>
        </w:rPr>
        <w:t>10</w:t>
      </w:r>
      <w:r>
        <w:rPr>
          <w:rFonts w:hint="eastAsia" w:eastAsia="仿宋_GB2312"/>
          <w:color w:val="auto"/>
          <w:sz w:val="30"/>
          <w:szCs w:val="30"/>
          <w:u w:val="single"/>
        </w:rPr>
        <w:t>月</w:t>
      </w:r>
      <w:r>
        <w:rPr>
          <w:rFonts w:eastAsia="仿宋_GB2312"/>
          <w:color w:val="auto"/>
          <w:sz w:val="30"/>
          <w:szCs w:val="30"/>
          <w:u w:val="single"/>
        </w:rPr>
        <w:t xml:space="preserve">         </w:t>
      </w:r>
      <w:r>
        <w:rPr>
          <w:rFonts w:hint="eastAsia" w:eastAsia="仿宋_GB2312"/>
          <w:color w:val="auto"/>
          <w:sz w:val="30"/>
          <w:szCs w:val="30"/>
          <w:u w:val="single"/>
          <w:lang w:val="en-US" w:eastAsia="zh-CN"/>
        </w:rPr>
        <w:t xml:space="preserve">      </w:t>
      </w:r>
      <w:r>
        <w:rPr>
          <w:rFonts w:eastAsia="仿宋_GB2312"/>
          <w:color w:val="auto"/>
          <w:sz w:val="30"/>
          <w:szCs w:val="30"/>
          <w:u w:val="single"/>
        </w:rPr>
        <w:t xml:space="preserve">  </w:t>
      </w:r>
      <w:r>
        <w:rPr>
          <w:rFonts w:hint="eastAsia" w:eastAsia="仿宋_GB2312"/>
          <w:color w:val="auto"/>
          <w:sz w:val="30"/>
          <w:szCs w:val="30"/>
          <w:u w:val="single"/>
          <w:lang w:val="en-US" w:eastAsia="zh-CN"/>
        </w:rPr>
        <w:t xml:space="preserve">  </w:t>
      </w:r>
      <w:r>
        <w:rPr>
          <w:rFonts w:eastAsia="仿宋_GB2312"/>
          <w:color w:val="auto"/>
          <w:sz w:val="30"/>
          <w:szCs w:val="30"/>
          <w:u w:val="single"/>
        </w:rPr>
        <w:t xml:space="preserve">   </w:t>
      </w:r>
    </w:p>
    <w:p>
      <w:pPr>
        <w:adjustRightInd w:val="0"/>
        <w:snapToGrid w:val="0"/>
        <w:spacing w:line="288" w:lineRule="auto"/>
        <w:ind w:firstLine="1040"/>
        <w:rPr>
          <w:rFonts w:eastAsia="仿宋_GB2312"/>
          <w:color w:val="auto"/>
          <w:sz w:val="36"/>
          <w:szCs w:val="36"/>
          <w:u w:val="single"/>
        </w:rPr>
      </w:pPr>
      <w:bookmarkStart w:id="0" w:name="_Hlk57884087"/>
    </w:p>
    <w:p>
      <w:pPr>
        <w:adjustRightInd w:val="0"/>
        <w:snapToGrid w:val="0"/>
        <w:spacing w:line="288" w:lineRule="auto"/>
        <w:ind w:firstLine="1040"/>
        <w:rPr>
          <w:rFonts w:eastAsia="仿宋_GB2312"/>
          <w:color w:val="auto"/>
          <w:sz w:val="36"/>
          <w:szCs w:val="36"/>
        </w:rPr>
      </w:pPr>
    </w:p>
    <w:p>
      <w:pPr>
        <w:adjustRightInd w:val="0"/>
        <w:snapToGrid w:val="0"/>
        <w:spacing w:line="288" w:lineRule="auto"/>
        <w:rPr>
          <w:rFonts w:hint="eastAsia" w:eastAsia="仿宋_GB2312"/>
          <w:color w:val="auto"/>
          <w:sz w:val="36"/>
          <w:szCs w:val="36"/>
        </w:rPr>
      </w:pPr>
    </w:p>
    <w:bookmarkEnd w:id="0"/>
    <w:p>
      <w:pPr>
        <w:adjustRightInd w:val="0"/>
        <w:snapToGrid w:val="0"/>
        <w:spacing w:line="288" w:lineRule="auto"/>
        <w:jc w:val="center"/>
        <w:rPr>
          <w:rFonts w:hint="eastAsia" w:eastAsia="楷体_GB2312"/>
          <w:color w:val="auto"/>
          <w:sz w:val="36"/>
          <w:szCs w:val="36"/>
        </w:rPr>
        <w:sectPr>
          <w:footerReference r:id="rId5" w:type="default"/>
          <w:pgSz w:w="11906" w:h="16838"/>
          <w:pgMar w:top="1440" w:right="1080" w:bottom="1440" w:left="1080" w:header="1077" w:footer="1077" w:gutter="0"/>
          <w:pgBorders>
            <w:top w:val="none" w:sz="0" w:space="0"/>
            <w:left w:val="none" w:sz="0" w:space="0"/>
            <w:bottom w:val="none" w:sz="0" w:space="0"/>
            <w:right w:val="none" w:sz="0" w:space="0"/>
          </w:pgBorders>
          <w:pgNumType w:fmt="decimal" w:start="1"/>
          <w:cols w:space="0" w:num="1"/>
          <w:rtlGutter w:val="0"/>
          <w:docGrid w:linePitch="312" w:charSpace="0"/>
        </w:sectPr>
      </w:pPr>
      <w:r>
        <w:rPr>
          <w:rFonts w:hint="eastAsia" w:eastAsia="楷体_GB2312"/>
          <w:color w:val="auto"/>
          <w:sz w:val="36"/>
          <w:szCs w:val="36"/>
        </w:rPr>
        <w:t>中华人民共和国生态环境部制</w:t>
      </w:r>
    </w:p>
    <w:p>
      <w:pPr>
        <w:pStyle w:val="11"/>
        <w:tabs>
          <w:tab w:val="right" w:leader="dot" w:pos="8834"/>
        </w:tabs>
        <w:jc w:val="center"/>
        <w:rPr>
          <w:rFonts w:ascii="Times New Roman" w:hAnsi="Times New Roman"/>
          <w:b/>
          <w:bCs/>
          <w:color w:val="000000"/>
          <w:sz w:val="48"/>
          <w:szCs w:val="48"/>
          <w:highlight w:val="none"/>
        </w:rPr>
      </w:pPr>
      <w:r>
        <w:rPr>
          <w:rFonts w:ascii="Times New Roman" w:hAnsi="Times New Roman"/>
          <w:b/>
          <w:bCs/>
          <w:color w:val="000000"/>
          <w:sz w:val="48"/>
          <w:szCs w:val="48"/>
          <w:highlight w:val="none"/>
        </w:rPr>
        <w:t>目录</w:t>
      </w:r>
    </w:p>
    <w:p>
      <w:pPr>
        <w:pStyle w:val="11"/>
        <w:tabs>
          <w:tab w:val="right" w:leader="dot" w:pos="8844"/>
        </w:tabs>
        <w:rPr>
          <w:rFonts w:ascii="Times New Roman" w:hAnsi="Times New Roman"/>
          <w:color w:val="000000"/>
          <w:sz w:val="28"/>
          <w:szCs w:val="28"/>
          <w:highlight w:val="none"/>
        </w:rPr>
      </w:pPr>
    </w:p>
    <w:p>
      <w:pPr>
        <w:pStyle w:val="11"/>
        <w:tabs>
          <w:tab w:val="right" w:leader="dot" w:pos="8844"/>
        </w:tabs>
        <w:spacing w:line="240" w:lineRule="auto"/>
        <w:rPr>
          <w:rFonts w:ascii="Times New Roman" w:hAnsi="Times New Roman"/>
          <w:color w:val="000000"/>
          <w:sz w:val="28"/>
          <w:szCs w:val="28"/>
          <w:highlight w:val="none"/>
        </w:rPr>
      </w:pPr>
      <w:r>
        <w:rPr>
          <w:rFonts w:ascii="Times New Roman" w:hAnsi="Times New Roman"/>
          <w:color w:val="000000"/>
          <w:sz w:val="28"/>
          <w:szCs w:val="28"/>
          <w:highlight w:val="none"/>
        </w:rPr>
        <w:fldChar w:fldCharType="begin"/>
      </w:r>
      <w:r>
        <w:rPr>
          <w:rFonts w:ascii="Times New Roman" w:hAnsi="Times New Roman"/>
          <w:color w:val="000000"/>
          <w:sz w:val="28"/>
          <w:szCs w:val="28"/>
          <w:highlight w:val="none"/>
        </w:rPr>
        <w:instrText xml:space="preserve"> TOC \o "1-1" \h \z \u </w:instrText>
      </w:r>
      <w:r>
        <w:rPr>
          <w:rFonts w:ascii="Times New Roman" w:hAnsi="Times New Roman"/>
          <w:color w:val="000000"/>
          <w:sz w:val="28"/>
          <w:szCs w:val="28"/>
          <w:highlight w:val="none"/>
        </w:rPr>
        <w:fldChar w:fldCharType="separate"/>
      </w:r>
      <w:r>
        <w:rPr>
          <w:rFonts w:ascii="Times New Roman" w:hAnsi="Times New Roman"/>
          <w:color w:val="000000"/>
          <w:sz w:val="28"/>
          <w:szCs w:val="28"/>
          <w:highlight w:val="none"/>
        </w:rPr>
        <w:fldChar w:fldCharType="begin"/>
      </w:r>
      <w:r>
        <w:rPr>
          <w:rFonts w:ascii="Times New Roman" w:hAnsi="Times New Roman"/>
          <w:color w:val="000000"/>
          <w:sz w:val="28"/>
          <w:szCs w:val="28"/>
          <w:highlight w:val="none"/>
        </w:rPr>
        <w:instrText xml:space="preserve"> HYPERLINK \l _Toc12016 </w:instrText>
      </w:r>
      <w:r>
        <w:rPr>
          <w:rFonts w:ascii="Times New Roman" w:hAnsi="Times New Roman"/>
          <w:color w:val="000000"/>
          <w:sz w:val="28"/>
          <w:szCs w:val="28"/>
          <w:highlight w:val="none"/>
        </w:rPr>
        <w:fldChar w:fldCharType="separate"/>
      </w:r>
      <w:r>
        <w:rPr>
          <w:rFonts w:ascii="Times New Roman" w:hAnsi="Times New Roman"/>
          <w:snapToGrid w:val="0"/>
          <w:color w:val="000000"/>
          <w:sz w:val="28"/>
          <w:szCs w:val="28"/>
          <w:highlight w:val="none"/>
        </w:rPr>
        <w:t>一、建设项目基本情况</w:t>
      </w:r>
      <w:r>
        <w:rPr>
          <w:rFonts w:ascii="Times New Roman" w:hAnsi="Times New Roman"/>
          <w:color w:val="000000"/>
          <w:sz w:val="28"/>
          <w:szCs w:val="28"/>
          <w:highlight w:val="none"/>
        </w:rPr>
        <w:tab/>
      </w:r>
      <w:r>
        <w:rPr>
          <w:rFonts w:ascii="Times New Roman" w:hAnsi="Times New Roman"/>
          <w:color w:val="000000"/>
          <w:sz w:val="28"/>
          <w:szCs w:val="28"/>
          <w:highlight w:val="none"/>
        </w:rPr>
        <w:fldChar w:fldCharType="begin"/>
      </w:r>
      <w:r>
        <w:rPr>
          <w:rFonts w:ascii="Times New Roman" w:hAnsi="Times New Roman"/>
          <w:color w:val="000000"/>
          <w:sz w:val="28"/>
          <w:szCs w:val="28"/>
          <w:highlight w:val="none"/>
        </w:rPr>
        <w:instrText xml:space="preserve"> PAGEREF _Toc12016 \h </w:instrText>
      </w:r>
      <w:r>
        <w:rPr>
          <w:rFonts w:ascii="Times New Roman" w:hAnsi="Times New Roman"/>
          <w:color w:val="000000"/>
          <w:sz w:val="28"/>
          <w:szCs w:val="28"/>
          <w:highlight w:val="none"/>
        </w:rPr>
        <w:fldChar w:fldCharType="separate"/>
      </w:r>
      <w:r>
        <w:rPr>
          <w:rFonts w:ascii="Times New Roman" w:hAnsi="Times New Roman"/>
          <w:color w:val="000000"/>
          <w:sz w:val="28"/>
          <w:szCs w:val="28"/>
          <w:highlight w:val="none"/>
        </w:rPr>
        <w:t>1</w:t>
      </w:r>
      <w:r>
        <w:rPr>
          <w:rFonts w:ascii="Times New Roman" w:hAnsi="Times New Roman"/>
          <w:color w:val="000000"/>
          <w:sz w:val="28"/>
          <w:szCs w:val="28"/>
          <w:highlight w:val="none"/>
        </w:rPr>
        <w:fldChar w:fldCharType="end"/>
      </w:r>
      <w:r>
        <w:rPr>
          <w:rFonts w:ascii="Times New Roman" w:hAnsi="Times New Roman"/>
          <w:color w:val="000000"/>
          <w:sz w:val="28"/>
          <w:szCs w:val="28"/>
          <w:highlight w:val="none"/>
        </w:rPr>
        <w:fldChar w:fldCharType="end"/>
      </w:r>
    </w:p>
    <w:p>
      <w:pPr>
        <w:pStyle w:val="11"/>
        <w:tabs>
          <w:tab w:val="right" w:leader="dot" w:pos="8844"/>
        </w:tabs>
        <w:spacing w:line="240" w:lineRule="auto"/>
        <w:rPr>
          <w:rFonts w:hint="default" w:ascii="Times New Roman" w:hAnsi="Times New Roman" w:eastAsia="宋体"/>
          <w:color w:val="000000"/>
          <w:sz w:val="28"/>
          <w:szCs w:val="28"/>
          <w:highlight w:val="none"/>
          <w:lang w:val="en-US" w:eastAsia="zh-CN"/>
        </w:rPr>
      </w:pPr>
      <w:r>
        <w:rPr>
          <w:rFonts w:ascii="Times New Roman" w:hAnsi="Times New Roman"/>
          <w:color w:val="000000"/>
          <w:sz w:val="28"/>
          <w:szCs w:val="28"/>
          <w:highlight w:val="none"/>
        </w:rPr>
        <w:fldChar w:fldCharType="begin"/>
      </w:r>
      <w:r>
        <w:rPr>
          <w:rFonts w:ascii="Times New Roman" w:hAnsi="Times New Roman"/>
          <w:color w:val="000000"/>
          <w:sz w:val="28"/>
          <w:szCs w:val="28"/>
          <w:highlight w:val="none"/>
        </w:rPr>
        <w:instrText xml:space="preserve"> HYPERLINK \l _Toc13315 </w:instrText>
      </w:r>
      <w:r>
        <w:rPr>
          <w:rFonts w:ascii="Times New Roman" w:hAnsi="Times New Roman"/>
          <w:color w:val="000000"/>
          <w:sz w:val="28"/>
          <w:szCs w:val="28"/>
          <w:highlight w:val="none"/>
        </w:rPr>
        <w:fldChar w:fldCharType="separate"/>
      </w:r>
      <w:r>
        <w:rPr>
          <w:rFonts w:ascii="Times New Roman" w:hAnsi="Times New Roman"/>
          <w:snapToGrid w:val="0"/>
          <w:color w:val="000000"/>
          <w:sz w:val="28"/>
          <w:szCs w:val="28"/>
          <w:highlight w:val="none"/>
        </w:rPr>
        <w:t>二、建设项目工程分析</w:t>
      </w:r>
      <w:r>
        <w:rPr>
          <w:rFonts w:ascii="Times New Roman" w:hAnsi="Times New Roman"/>
          <w:color w:val="000000"/>
          <w:sz w:val="28"/>
          <w:szCs w:val="28"/>
          <w:highlight w:val="none"/>
        </w:rPr>
        <w:tab/>
      </w:r>
      <w:r>
        <w:rPr>
          <w:rFonts w:ascii="Times New Roman" w:hAnsi="Times New Roman"/>
          <w:color w:val="000000"/>
          <w:sz w:val="28"/>
          <w:szCs w:val="28"/>
          <w:highlight w:val="none"/>
        </w:rPr>
        <w:fldChar w:fldCharType="end"/>
      </w:r>
      <w:r>
        <w:rPr>
          <w:rFonts w:hint="eastAsia"/>
          <w:color w:val="000000"/>
          <w:sz w:val="28"/>
          <w:szCs w:val="28"/>
          <w:highlight w:val="none"/>
          <w:lang w:val="en-US" w:eastAsia="zh-CN"/>
        </w:rPr>
        <w:t>27</w:t>
      </w:r>
    </w:p>
    <w:p>
      <w:pPr>
        <w:pStyle w:val="11"/>
        <w:tabs>
          <w:tab w:val="right" w:leader="dot" w:pos="8844"/>
        </w:tabs>
        <w:spacing w:line="240" w:lineRule="auto"/>
        <w:rPr>
          <w:rFonts w:hint="eastAsia" w:ascii="Times New Roman" w:hAnsi="Times New Roman" w:eastAsia="宋体"/>
          <w:color w:val="000000"/>
          <w:sz w:val="28"/>
          <w:szCs w:val="28"/>
          <w:highlight w:val="none"/>
          <w:lang w:val="en-US" w:eastAsia="zh-CN"/>
        </w:rPr>
      </w:pPr>
      <w:r>
        <w:rPr>
          <w:rFonts w:ascii="Times New Roman" w:hAnsi="Times New Roman"/>
          <w:color w:val="000000"/>
          <w:sz w:val="28"/>
          <w:szCs w:val="28"/>
          <w:highlight w:val="none"/>
        </w:rPr>
        <w:fldChar w:fldCharType="begin"/>
      </w:r>
      <w:r>
        <w:rPr>
          <w:rFonts w:ascii="Times New Roman" w:hAnsi="Times New Roman"/>
          <w:color w:val="000000"/>
          <w:sz w:val="28"/>
          <w:szCs w:val="28"/>
          <w:highlight w:val="none"/>
        </w:rPr>
        <w:instrText xml:space="preserve"> HYPERLINK \l _Toc30169 </w:instrText>
      </w:r>
      <w:r>
        <w:rPr>
          <w:rFonts w:ascii="Times New Roman" w:hAnsi="Times New Roman"/>
          <w:color w:val="000000"/>
          <w:sz w:val="28"/>
          <w:szCs w:val="28"/>
          <w:highlight w:val="none"/>
        </w:rPr>
        <w:fldChar w:fldCharType="separate"/>
      </w:r>
      <w:r>
        <w:rPr>
          <w:rFonts w:ascii="Times New Roman" w:hAnsi="Times New Roman"/>
          <w:snapToGrid w:val="0"/>
          <w:color w:val="000000"/>
          <w:sz w:val="28"/>
          <w:szCs w:val="28"/>
          <w:highlight w:val="none"/>
        </w:rPr>
        <w:t>三、区域环境质量现状、环境保护目标及评价标准</w:t>
      </w:r>
      <w:r>
        <w:rPr>
          <w:rFonts w:ascii="Times New Roman" w:hAnsi="Times New Roman"/>
          <w:color w:val="000000"/>
          <w:sz w:val="28"/>
          <w:szCs w:val="28"/>
          <w:highlight w:val="none"/>
        </w:rPr>
        <w:tab/>
      </w:r>
      <w:r>
        <w:rPr>
          <w:rFonts w:hint="eastAsia"/>
          <w:color w:val="000000"/>
          <w:sz w:val="28"/>
          <w:szCs w:val="28"/>
          <w:highlight w:val="none"/>
          <w:lang w:val="en-US" w:eastAsia="zh-CN"/>
        </w:rPr>
        <w:t>51</w:t>
      </w:r>
      <w:r>
        <w:rPr>
          <w:rFonts w:ascii="Times New Roman" w:hAnsi="Times New Roman"/>
          <w:color w:val="000000"/>
          <w:sz w:val="28"/>
          <w:szCs w:val="28"/>
          <w:highlight w:val="none"/>
        </w:rPr>
        <w:fldChar w:fldCharType="end"/>
      </w:r>
    </w:p>
    <w:p>
      <w:pPr>
        <w:pStyle w:val="11"/>
        <w:tabs>
          <w:tab w:val="right" w:leader="dot" w:pos="8844"/>
        </w:tabs>
        <w:spacing w:line="240" w:lineRule="auto"/>
        <w:rPr>
          <w:rFonts w:hint="default" w:ascii="Times New Roman" w:hAnsi="Times New Roman" w:eastAsia="宋体"/>
          <w:color w:val="000000"/>
          <w:sz w:val="28"/>
          <w:szCs w:val="28"/>
          <w:highlight w:val="none"/>
          <w:lang w:val="en-US" w:eastAsia="zh-CN"/>
        </w:rPr>
      </w:pPr>
      <w:r>
        <w:rPr>
          <w:rFonts w:ascii="Times New Roman" w:hAnsi="Times New Roman"/>
          <w:color w:val="000000"/>
          <w:sz w:val="28"/>
          <w:szCs w:val="28"/>
          <w:highlight w:val="none"/>
        </w:rPr>
        <w:fldChar w:fldCharType="begin"/>
      </w:r>
      <w:r>
        <w:rPr>
          <w:rFonts w:ascii="Times New Roman" w:hAnsi="Times New Roman"/>
          <w:color w:val="000000"/>
          <w:sz w:val="28"/>
          <w:szCs w:val="28"/>
          <w:highlight w:val="none"/>
        </w:rPr>
        <w:instrText xml:space="preserve"> HYPERLINK \l _Toc4631 </w:instrText>
      </w:r>
      <w:r>
        <w:rPr>
          <w:rFonts w:ascii="Times New Roman" w:hAnsi="Times New Roman"/>
          <w:color w:val="000000"/>
          <w:sz w:val="28"/>
          <w:szCs w:val="28"/>
          <w:highlight w:val="none"/>
        </w:rPr>
        <w:fldChar w:fldCharType="separate"/>
      </w:r>
      <w:r>
        <w:rPr>
          <w:rFonts w:ascii="Times New Roman" w:hAnsi="Times New Roman"/>
          <w:snapToGrid w:val="0"/>
          <w:color w:val="000000"/>
          <w:sz w:val="28"/>
          <w:szCs w:val="28"/>
          <w:highlight w:val="none"/>
        </w:rPr>
        <w:t>四、主要环境影响和保护措施</w:t>
      </w:r>
      <w:r>
        <w:rPr>
          <w:rFonts w:ascii="Times New Roman" w:hAnsi="Times New Roman"/>
          <w:color w:val="000000"/>
          <w:sz w:val="28"/>
          <w:szCs w:val="28"/>
          <w:highlight w:val="none"/>
        </w:rPr>
        <w:tab/>
      </w:r>
      <w:r>
        <w:rPr>
          <w:rFonts w:ascii="Times New Roman" w:hAnsi="Times New Roman"/>
          <w:color w:val="000000"/>
          <w:sz w:val="28"/>
          <w:szCs w:val="28"/>
          <w:highlight w:val="none"/>
        </w:rPr>
        <w:fldChar w:fldCharType="end"/>
      </w:r>
      <w:r>
        <w:rPr>
          <w:rFonts w:hint="eastAsia"/>
          <w:color w:val="000000"/>
          <w:sz w:val="28"/>
          <w:szCs w:val="28"/>
          <w:highlight w:val="none"/>
          <w:lang w:val="en-US" w:eastAsia="zh-CN"/>
        </w:rPr>
        <w:t>58</w:t>
      </w:r>
    </w:p>
    <w:p>
      <w:pPr>
        <w:pStyle w:val="11"/>
        <w:tabs>
          <w:tab w:val="right" w:leader="dot" w:pos="8844"/>
        </w:tabs>
        <w:spacing w:line="240" w:lineRule="auto"/>
        <w:rPr>
          <w:rFonts w:hint="default" w:ascii="Times New Roman" w:hAnsi="Times New Roman" w:eastAsia="宋体"/>
          <w:color w:val="000000"/>
          <w:sz w:val="28"/>
          <w:szCs w:val="28"/>
          <w:highlight w:val="none"/>
          <w:lang w:val="en-US" w:eastAsia="zh-CN"/>
        </w:rPr>
      </w:pPr>
      <w:r>
        <w:rPr>
          <w:rFonts w:ascii="Times New Roman" w:hAnsi="Times New Roman"/>
          <w:color w:val="000000"/>
          <w:sz w:val="28"/>
          <w:szCs w:val="28"/>
          <w:highlight w:val="none"/>
        </w:rPr>
        <w:fldChar w:fldCharType="begin"/>
      </w:r>
      <w:r>
        <w:rPr>
          <w:rFonts w:ascii="Times New Roman" w:hAnsi="Times New Roman"/>
          <w:color w:val="000000"/>
          <w:sz w:val="28"/>
          <w:szCs w:val="28"/>
          <w:highlight w:val="none"/>
        </w:rPr>
        <w:instrText xml:space="preserve"> HYPERLINK \l _Toc22864 </w:instrText>
      </w:r>
      <w:r>
        <w:rPr>
          <w:rFonts w:ascii="Times New Roman" w:hAnsi="Times New Roman"/>
          <w:color w:val="000000"/>
          <w:sz w:val="28"/>
          <w:szCs w:val="28"/>
          <w:highlight w:val="none"/>
        </w:rPr>
        <w:fldChar w:fldCharType="separate"/>
      </w:r>
      <w:r>
        <w:rPr>
          <w:rFonts w:ascii="Times New Roman" w:hAnsi="Times New Roman"/>
          <w:snapToGrid w:val="0"/>
          <w:color w:val="000000"/>
          <w:sz w:val="28"/>
          <w:szCs w:val="28"/>
          <w:highlight w:val="none"/>
        </w:rPr>
        <w:t>五、环境保护措施监督检查清单</w:t>
      </w:r>
      <w:r>
        <w:rPr>
          <w:rFonts w:ascii="Times New Roman" w:hAnsi="Times New Roman"/>
          <w:color w:val="000000"/>
          <w:sz w:val="28"/>
          <w:szCs w:val="28"/>
          <w:highlight w:val="none"/>
        </w:rPr>
        <w:tab/>
      </w:r>
      <w:r>
        <w:rPr>
          <w:rFonts w:ascii="Times New Roman" w:hAnsi="Times New Roman"/>
          <w:color w:val="000000"/>
          <w:sz w:val="28"/>
          <w:szCs w:val="28"/>
          <w:highlight w:val="none"/>
        </w:rPr>
        <w:fldChar w:fldCharType="end"/>
      </w:r>
      <w:r>
        <w:rPr>
          <w:rFonts w:hint="eastAsia"/>
          <w:color w:val="000000"/>
          <w:sz w:val="28"/>
          <w:szCs w:val="28"/>
          <w:highlight w:val="none"/>
          <w:lang w:val="en-US" w:eastAsia="zh-CN"/>
        </w:rPr>
        <w:t>101</w:t>
      </w:r>
    </w:p>
    <w:p>
      <w:pPr>
        <w:pStyle w:val="11"/>
        <w:tabs>
          <w:tab w:val="right" w:leader="dot" w:pos="8844"/>
        </w:tabs>
        <w:spacing w:line="240" w:lineRule="auto"/>
        <w:rPr>
          <w:rFonts w:hint="default" w:eastAsia="宋体"/>
          <w:lang w:val="en-US" w:eastAsia="zh-CN"/>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r>
        <w:rPr>
          <w:rFonts w:ascii="Times New Roman" w:hAnsi="Times New Roman"/>
          <w:color w:val="000000"/>
          <w:sz w:val="28"/>
          <w:szCs w:val="28"/>
          <w:highlight w:val="none"/>
        </w:rPr>
        <w:fldChar w:fldCharType="begin"/>
      </w:r>
      <w:r>
        <w:rPr>
          <w:rFonts w:ascii="Times New Roman" w:hAnsi="Times New Roman"/>
          <w:color w:val="000000"/>
          <w:sz w:val="28"/>
          <w:szCs w:val="28"/>
          <w:highlight w:val="none"/>
        </w:rPr>
        <w:instrText xml:space="preserve"> HYPERLINK \l _Toc11319 </w:instrText>
      </w:r>
      <w:r>
        <w:rPr>
          <w:rFonts w:ascii="Times New Roman" w:hAnsi="Times New Roman"/>
          <w:color w:val="000000"/>
          <w:sz w:val="28"/>
          <w:szCs w:val="28"/>
          <w:highlight w:val="none"/>
        </w:rPr>
        <w:fldChar w:fldCharType="separate"/>
      </w:r>
      <w:r>
        <w:rPr>
          <w:rFonts w:ascii="Times New Roman" w:hAnsi="Times New Roman"/>
          <w:snapToGrid w:val="0"/>
          <w:color w:val="000000"/>
          <w:sz w:val="28"/>
          <w:szCs w:val="28"/>
          <w:highlight w:val="none"/>
        </w:rPr>
        <w:t>六、结论</w:t>
      </w:r>
      <w:r>
        <w:rPr>
          <w:rFonts w:ascii="Times New Roman" w:hAnsi="Times New Roman"/>
          <w:color w:val="000000"/>
          <w:sz w:val="28"/>
          <w:szCs w:val="28"/>
          <w:highlight w:val="none"/>
        </w:rPr>
        <w:tab/>
      </w:r>
      <w:r>
        <w:rPr>
          <w:rFonts w:hint="eastAsia"/>
          <w:color w:val="000000"/>
          <w:sz w:val="28"/>
          <w:szCs w:val="28"/>
          <w:highlight w:val="none"/>
          <w:lang w:val="en-US" w:eastAsia="zh-CN"/>
        </w:rPr>
        <w:t>1</w:t>
      </w:r>
      <w:r>
        <w:rPr>
          <w:rFonts w:ascii="Times New Roman" w:hAnsi="Times New Roman"/>
          <w:color w:val="000000"/>
          <w:sz w:val="28"/>
          <w:szCs w:val="28"/>
          <w:highlight w:val="none"/>
        </w:rPr>
        <w:fldChar w:fldCharType="end"/>
      </w:r>
      <w:r>
        <w:rPr>
          <w:rFonts w:hint="eastAsia"/>
          <w:color w:val="000000"/>
          <w:sz w:val="28"/>
          <w:szCs w:val="28"/>
          <w:highlight w:val="none"/>
          <w:lang w:val="en-US" w:eastAsia="zh-CN"/>
        </w:rPr>
        <w:t>03</w:t>
      </w:r>
    </w:p>
    <w:p>
      <w:pPr>
        <w:pStyle w:val="22"/>
        <w:rPr>
          <w:rFonts w:hint="eastAsia"/>
          <w:lang w:eastAsia="zh-CN"/>
        </w:rPr>
      </w:pPr>
    </w:p>
    <w:p>
      <w:pPr>
        <w:adjustRightInd w:val="0"/>
        <w:snapToGrid w:val="0"/>
        <w:rPr>
          <w:b/>
          <w:color w:val="000000"/>
          <w:sz w:val="28"/>
          <w:szCs w:val="28"/>
          <w:highlight w:val="none"/>
        </w:rPr>
      </w:pPr>
      <w:r>
        <w:rPr>
          <w:color w:val="000000"/>
          <w:szCs w:val="28"/>
          <w:highlight w:val="none"/>
        </w:rPr>
        <w:fldChar w:fldCharType="end"/>
      </w:r>
      <w:r>
        <w:rPr>
          <w:b/>
          <w:color w:val="000000"/>
          <w:sz w:val="28"/>
          <w:szCs w:val="28"/>
          <w:highlight w:val="none"/>
        </w:rPr>
        <w:t>附件：</w:t>
      </w:r>
    </w:p>
    <w:p>
      <w:pPr>
        <w:adjustRightInd w:val="0"/>
        <w:snapToGrid w:val="0"/>
        <w:spacing w:line="360" w:lineRule="auto"/>
        <w:ind w:firstLine="480" w:firstLineChars="200"/>
        <w:rPr>
          <w:color w:val="000000"/>
          <w:sz w:val="24"/>
          <w:highlight w:val="none"/>
        </w:rPr>
      </w:pPr>
      <w:r>
        <w:rPr>
          <w:color w:val="000000"/>
          <w:sz w:val="24"/>
          <w:highlight w:val="none"/>
        </w:rPr>
        <w:t>附件1：环境评价委托</w:t>
      </w:r>
    </w:p>
    <w:p>
      <w:pPr>
        <w:adjustRightInd w:val="0"/>
        <w:snapToGrid w:val="0"/>
        <w:spacing w:line="360" w:lineRule="auto"/>
        <w:ind w:firstLine="480" w:firstLineChars="200"/>
        <w:rPr>
          <w:color w:val="000000"/>
          <w:sz w:val="24"/>
          <w:highlight w:val="none"/>
        </w:rPr>
      </w:pPr>
      <w:r>
        <w:rPr>
          <w:color w:val="000000"/>
          <w:sz w:val="24"/>
          <w:highlight w:val="none"/>
        </w:rPr>
        <w:t>附件2：营业执照</w:t>
      </w:r>
    </w:p>
    <w:p>
      <w:pPr>
        <w:adjustRightInd w:val="0"/>
        <w:snapToGrid w:val="0"/>
        <w:spacing w:line="360" w:lineRule="auto"/>
        <w:ind w:firstLine="480" w:firstLineChars="200"/>
        <w:rPr>
          <w:color w:val="000000"/>
          <w:sz w:val="24"/>
          <w:highlight w:val="none"/>
        </w:rPr>
      </w:pPr>
      <w:r>
        <w:rPr>
          <w:color w:val="000000"/>
          <w:sz w:val="24"/>
          <w:highlight w:val="none"/>
        </w:rPr>
        <w:t>附件3：</w:t>
      </w:r>
      <w:r>
        <w:rPr>
          <w:rFonts w:hint="eastAsia" w:ascii="宋体" w:hAnsi="宋体" w:eastAsia="宋体" w:cs="宋体"/>
        </w:rPr>
        <w:t>项目备案证明</w:t>
      </w:r>
    </w:p>
    <w:p>
      <w:pPr>
        <w:adjustRightInd w:val="0"/>
        <w:snapToGrid w:val="0"/>
        <w:spacing w:line="360" w:lineRule="auto"/>
        <w:ind w:firstLine="480" w:firstLineChars="200"/>
        <w:rPr>
          <w:rFonts w:hint="eastAsia"/>
          <w:color w:val="000000"/>
          <w:sz w:val="24"/>
          <w:highlight w:val="none"/>
        </w:rPr>
      </w:pPr>
      <w:r>
        <w:rPr>
          <w:color w:val="000000"/>
          <w:sz w:val="24"/>
          <w:highlight w:val="none"/>
        </w:rPr>
        <w:t>附件4：</w:t>
      </w:r>
      <w:r>
        <w:rPr>
          <w:rFonts w:hint="eastAsia"/>
          <w:color w:val="000000"/>
          <w:sz w:val="24"/>
          <w:highlight w:val="none"/>
        </w:rPr>
        <w:t>关于祁东经济开发区归阳工业园环境影响报告书的批复的函</w:t>
      </w:r>
    </w:p>
    <w:p>
      <w:pPr>
        <w:adjustRightInd w:val="0"/>
        <w:snapToGrid w:val="0"/>
        <w:spacing w:line="360" w:lineRule="auto"/>
        <w:ind w:firstLine="480" w:firstLineChars="200"/>
        <w:rPr>
          <w:rFonts w:hint="eastAsia" w:eastAsia="宋体"/>
          <w:color w:val="000000"/>
          <w:sz w:val="24"/>
          <w:highlight w:val="none"/>
          <w:lang w:eastAsia="zh-CN"/>
        </w:rPr>
      </w:pPr>
      <w:r>
        <w:rPr>
          <w:color w:val="000000"/>
          <w:sz w:val="24"/>
          <w:highlight w:val="none"/>
        </w:rPr>
        <w:t>附件5</w:t>
      </w:r>
      <w:r>
        <w:rPr>
          <w:rFonts w:hint="eastAsia"/>
          <w:color w:val="000000"/>
          <w:sz w:val="24"/>
          <w:highlight w:val="none"/>
          <w:lang w:eastAsia="zh-CN"/>
        </w:rPr>
        <w:t>：</w:t>
      </w:r>
      <w:r>
        <w:rPr>
          <w:rFonts w:hint="eastAsia"/>
          <w:color w:val="000000"/>
          <w:sz w:val="24"/>
          <w:highlight w:val="none"/>
          <w:lang w:val="en-US" w:eastAsia="zh-CN"/>
        </w:rPr>
        <w:t>湖南省</w:t>
      </w:r>
      <w:r>
        <w:rPr>
          <w:rFonts w:hint="eastAsia"/>
          <w:color w:val="000000"/>
          <w:sz w:val="24"/>
          <w:highlight w:val="none"/>
          <w:lang w:eastAsia="zh-CN"/>
        </w:rPr>
        <w:t>祁东经济开发区归阳工业园环境影响</w:t>
      </w:r>
      <w:r>
        <w:rPr>
          <w:rFonts w:hint="eastAsia"/>
          <w:color w:val="000000"/>
          <w:sz w:val="24"/>
          <w:highlight w:val="none"/>
          <w:lang w:val="en-US" w:eastAsia="zh-CN"/>
        </w:rPr>
        <w:t>跟踪评价工作意见的</w:t>
      </w:r>
      <w:r>
        <w:rPr>
          <w:rFonts w:hint="eastAsia"/>
          <w:color w:val="000000"/>
          <w:sz w:val="24"/>
          <w:highlight w:val="none"/>
          <w:lang w:eastAsia="zh-CN"/>
        </w:rPr>
        <w:t>函</w:t>
      </w:r>
    </w:p>
    <w:p>
      <w:pPr>
        <w:adjustRightInd w:val="0"/>
        <w:snapToGrid w:val="0"/>
        <w:spacing w:line="360" w:lineRule="auto"/>
        <w:ind w:firstLine="480" w:firstLineChars="200"/>
        <w:rPr>
          <w:color w:val="000000"/>
          <w:sz w:val="24"/>
          <w:highlight w:val="none"/>
        </w:rPr>
      </w:pPr>
      <w:r>
        <w:rPr>
          <w:color w:val="000000"/>
          <w:sz w:val="24"/>
          <w:highlight w:val="none"/>
        </w:rPr>
        <w:t>附件</w:t>
      </w:r>
      <w:r>
        <w:rPr>
          <w:rFonts w:hint="eastAsia"/>
          <w:color w:val="000000"/>
          <w:sz w:val="24"/>
          <w:highlight w:val="none"/>
          <w:lang w:val="en-US" w:eastAsia="zh-CN"/>
        </w:rPr>
        <w:t>6</w:t>
      </w:r>
      <w:r>
        <w:rPr>
          <w:color w:val="000000"/>
          <w:sz w:val="24"/>
          <w:highlight w:val="none"/>
        </w:rPr>
        <w:t>：</w:t>
      </w:r>
      <w:r>
        <w:rPr>
          <w:rFonts w:hint="eastAsia" w:ascii="宋体" w:hAnsi="宋体" w:eastAsia="宋体" w:cs="宋体"/>
          <w:lang w:val="en-US" w:eastAsia="zh-CN"/>
        </w:rPr>
        <w:t>厂房租赁协议</w:t>
      </w:r>
    </w:p>
    <w:p>
      <w:pPr>
        <w:adjustRightInd w:val="0"/>
        <w:snapToGrid w:val="0"/>
        <w:spacing w:line="360" w:lineRule="auto"/>
        <w:ind w:firstLine="480" w:firstLineChars="200"/>
        <w:rPr>
          <w:rFonts w:ascii="Times New Roman" w:hAnsi="Times New Roman" w:eastAsia="宋体" w:cs="Times New Roman"/>
          <w:color w:val="000000"/>
          <w:sz w:val="24"/>
          <w:highlight w:val="none"/>
        </w:rPr>
      </w:pPr>
      <w:r>
        <w:rPr>
          <w:rFonts w:ascii="Times New Roman" w:hAnsi="Times New Roman" w:eastAsia="宋体" w:cs="Times New Roman"/>
          <w:color w:val="000000"/>
          <w:sz w:val="24"/>
          <w:highlight w:val="none"/>
        </w:rPr>
        <w:t>附件</w:t>
      </w:r>
      <w:r>
        <w:rPr>
          <w:rFonts w:hint="eastAsia" w:cs="Times New Roman"/>
          <w:color w:val="000000"/>
          <w:sz w:val="24"/>
          <w:highlight w:val="none"/>
          <w:lang w:val="en-US" w:eastAsia="zh-CN"/>
        </w:rPr>
        <w:t>7</w:t>
      </w:r>
      <w:r>
        <w:rPr>
          <w:rFonts w:ascii="Times New Roman" w:hAnsi="Times New Roman" w:eastAsia="宋体" w:cs="Times New Roman"/>
          <w:color w:val="000000"/>
          <w:sz w:val="24"/>
          <w:highlight w:val="none"/>
        </w:rPr>
        <w:t>：</w:t>
      </w:r>
      <w:r>
        <w:rPr>
          <w:rFonts w:hint="eastAsia" w:ascii="宋体" w:hAnsi="宋体" w:eastAsia="宋体" w:cs="宋体"/>
        </w:rPr>
        <w:t>引用</w:t>
      </w:r>
      <w:r>
        <w:rPr>
          <w:rFonts w:hint="eastAsia" w:ascii="宋体" w:hAnsi="宋体" w:eastAsia="宋体" w:cs="宋体"/>
          <w:lang w:val="en-US" w:eastAsia="zh-CN"/>
        </w:rPr>
        <w:t>大气环境质量</w:t>
      </w:r>
      <w:r>
        <w:rPr>
          <w:rFonts w:hint="eastAsia" w:ascii="宋体" w:hAnsi="宋体" w:eastAsia="宋体" w:cs="宋体"/>
        </w:rPr>
        <w:t>监测数据报告</w:t>
      </w:r>
    </w:p>
    <w:p>
      <w:pPr>
        <w:pStyle w:val="40"/>
        <w:ind w:firstLine="0" w:firstLineChars="0"/>
        <w:rPr>
          <w:b/>
          <w:color w:val="000000"/>
          <w:sz w:val="28"/>
          <w:szCs w:val="28"/>
          <w:highlight w:val="none"/>
        </w:rPr>
      </w:pPr>
      <w:r>
        <w:rPr>
          <w:b/>
          <w:color w:val="000000"/>
          <w:sz w:val="28"/>
          <w:szCs w:val="28"/>
          <w:highlight w:val="none"/>
        </w:rPr>
        <w:t>附图：</w:t>
      </w:r>
    </w:p>
    <w:p>
      <w:pPr>
        <w:snapToGrid w:val="0"/>
        <w:spacing w:line="360" w:lineRule="auto"/>
        <w:ind w:firstLine="480" w:firstLineChars="200"/>
        <w:rPr>
          <w:color w:val="000000"/>
          <w:sz w:val="24"/>
          <w:highlight w:val="none"/>
        </w:rPr>
      </w:pPr>
      <w:r>
        <w:rPr>
          <w:color w:val="000000"/>
          <w:sz w:val="24"/>
          <w:highlight w:val="none"/>
        </w:rPr>
        <w:t>附图1：项目地理位置示意图</w:t>
      </w:r>
    </w:p>
    <w:p>
      <w:pPr>
        <w:snapToGrid w:val="0"/>
        <w:spacing w:line="360" w:lineRule="auto"/>
        <w:ind w:firstLine="480" w:firstLineChars="200"/>
        <w:rPr>
          <w:color w:val="000000"/>
          <w:sz w:val="24"/>
          <w:highlight w:val="none"/>
        </w:rPr>
      </w:pPr>
      <w:r>
        <w:rPr>
          <w:color w:val="000000"/>
          <w:sz w:val="24"/>
          <w:highlight w:val="none"/>
        </w:rPr>
        <w:t>附图2：</w:t>
      </w:r>
      <w:r>
        <w:rPr>
          <w:rFonts w:hint="eastAsia"/>
          <w:color w:val="000000"/>
          <w:sz w:val="24"/>
          <w:highlight w:val="none"/>
        </w:rPr>
        <w:t>项目在归阳工业园用地规划图位置</w:t>
      </w:r>
    </w:p>
    <w:p>
      <w:pPr>
        <w:snapToGrid w:val="0"/>
        <w:spacing w:line="360" w:lineRule="auto"/>
        <w:ind w:firstLine="480" w:firstLineChars="200"/>
        <w:rPr>
          <w:color w:val="000000"/>
          <w:sz w:val="24"/>
          <w:highlight w:val="none"/>
        </w:rPr>
      </w:pPr>
      <w:r>
        <w:rPr>
          <w:color w:val="000000"/>
          <w:sz w:val="24"/>
          <w:highlight w:val="none"/>
        </w:rPr>
        <w:t>附图3：本项目在衡阳市生态环境管控单元图位置</w:t>
      </w:r>
    </w:p>
    <w:p>
      <w:pPr>
        <w:snapToGrid w:val="0"/>
        <w:spacing w:line="360" w:lineRule="auto"/>
        <w:ind w:firstLine="480" w:firstLineChars="200"/>
        <w:rPr>
          <w:color w:val="000000"/>
          <w:sz w:val="24"/>
          <w:highlight w:val="none"/>
        </w:rPr>
      </w:pPr>
      <w:r>
        <w:rPr>
          <w:color w:val="000000"/>
          <w:sz w:val="24"/>
          <w:highlight w:val="none"/>
        </w:rPr>
        <w:t>附图4：项目四至图</w:t>
      </w:r>
    </w:p>
    <w:p>
      <w:pPr>
        <w:snapToGrid w:val="0"/>
        <w:spacing w:line="360" w:lineRule="auto"/>
        <w:ind w:firstLine="480" w:firstLineChars="200"/>
        <w:rPr>
          <w:color w:val="000000"/>
          <w:sz w:val="24"/>
          <w:highlight w:val="none"/>
        </w:rPr>
      </w:pPr>
      <w:r>
        <w:rPr>
          <w:color w:val="000000"/>
          <w:sz w:val="24"/>
          <w:highlight w:val="none"/>
        </w:rPr>
        <w:t>附图5：</w:t>
      </w:r>
      <w:r>
        <w:rPr>
          <w:rFonts w:hint="eastAsia"/>
          <w:color w:val="000000"/>
          <w:sz w:val="24"/>
          <w:highlight w:val="none"/>
          <w:lang w:val="en-US" w:eastAsia="zh-CN"/>
        </w:rPr>
        <w:t>总</w:t>
      </w:r>
      <w:r>
        <w:rPr>
          <w:color w:val="000000"/>
          <w:sz w:val="24"/>
          <w:highlight w:val="none"/>
        </w:rPr>
        <w:t>平面布置图</w:t>
      </w:r>
    </w:p>
    <w:p>
      <w:pPr>
        <w:snapToGrid w:val="0"/>
        <w:spacing w:line="360" w:lineRule="auto"/>
        <w:ind w:firstLine="480" w:firstLineChars="200"/>
        <w:rPr>
          <w:rFonts w:hint="eastAsia" w:ascii="Times New Roman" w:hAnsi="Times New Roman" w:eastAsia="宋体" w:cs="Times New Roman"/>
          <w:lang w:val="en-US" w:eastAsia="zh-CN"/>
        </w:rPr>
      </w:pPr>
      <w:r>
        <w:rPr>
          <w:color w:val="000000"/>
          <w:sz w:val="24"/>
          <w:highlight w:val="none"/>
        </w:rPr>
        <w:t>附图6：</w:t>
      </w:r>
      <w:r>
        <w:rPr>
          <w:rFonts w:hint="eastAsia" w:eastAsia="宋体"/>
          <w:lang w:val="en-US" w:eastAsia="zh-CN"/>
        </w:rPr>
        <w:t>拆解车间</w:t>
      </w:r>
      <w:r>
        <w:rPr>
          <w:rFonts w:hint="eastAsia" w:ascii="Times New Roman" w:hAnsi="Times New Roman" w:eastAsia="宋体" w:cs="Times New Roman"/>
          <w:lang w:val="en-US" w:eastAsia="zh-CN"/>
        </w:rPr>
        <w:t>平面布置图</w:t>
      </w:r>
    </w:p>
    <w:p>
      <w:pPr>
        <w:snapToGrid w:val="0"/>
        <w:spacing w:line="360" w:lineRule="auto"/>
        <w:ind w:firstLine="480" w:firstLineChars="200"/>
        <w:rPr>
          <w:color w:val="000000"/>
          <w:sz w:val="24"/>
          <w:highlight w:val="none"/>
        </w:rPr>
      </w:pPr>
      <w:r>
        <w:rPr>
          <w:color w:val="000000"/>
          <w:sz w:val="24"/>
          <w:highlight w:val="none"/>
        </w:rPr>
        <w:t>附图7：</w:t>
      </w:r>
      <w:r>
        <w:rPr>
          <w:rFonts w:hint="eastAsia" w:eastAsia="宋体"/>
          <w:lang w:val="en-US" w:eastAsia="zh-CN"/>
        </w:rPr>
        <w:t>项目分区防渗图</w:t>
      </w:r>
    </w:p>
    <w:p>
      <w:pPr>
        <w:snapToGrid w:val="0"/>
        <w:spacing w:line="360" w:lineRule="auto"/>
        <w:ind w:firstLine="480" w:firstLineChars="200"/>
        <w:rPr>
          <w:rFonts w:ascii="Times New Roman" w:hAnsi="Times New Roman" w:eastAsia="宋体" w:cs="Times New Roman"/>
          <w:color w:val="000000"/>
          <w:sz w:val="24"/>
          <w:highlight w:val="none"/>
        </w:rPr>
      </w:pPr>
      <w:r>
        <w:rPr>
          <w:rFonts w:ascii="Times New Roman" w:hAnsi="Times New Roman" w:eastAsia="宋体" w:cs="Times New Roman"/>
          <w:color w:val="000000"/>
          <w:sz w:val="24"/>
          <w:highlight w:val="none"/>
        </w:rPr>
        <w:t>附图8：项目所在地周边环境保护目标</w:t>
      </w:r>
    </w:p>
    <w:p>
      <w:pPr>
        <w:snapToGrid w:val="0"/>
        <w:spacing w:line="360" w:lineRule="auto"/>
        <w:ind w:firstLine="480" w:firstLineChars="200"/>
        <w:rPr>
          <w:rFonts w:hint="eastAsia" w:ascii="Times New Roman" w:hAnsi="Times New Roman" w:eastAsia="宋体" w:cs="Times New Roman"/>
          <w:color w:val="000000"/>
          <w:sz w:val="24"/>
          <w:highlight w:val="none"/>
          <w:lang w:val="en-US" w:eastAsia="zh-CN"/>
        </w:rPr>
      </w:pPr>
      <w:r>
        <w:rPr>
          <w:rFonts w:ascii="Times New Roman" w:hAnsi="Times New Roman" w:eastAsia="宋体" w:cs="Times New Roman"/>
          <w:color w:val="000000"/>
          <w:sz w:val="24"/>
          <w:highlight w:val="none"/>
        </w:rPr>
        <w:t>附图9：项目周边水系</w:t>
      </w:r>
      <w:r>
        <w:rPr>
          <w:rFonts w:hint="eastAsia" w:ascii="Times New Roman" w:hAnsi="Times New Roman" w:eastAsia="宋体" w:cs="Times New Roman"/>
          <w:color w:val="000000"/>
          <w:sz w:val="24"/>
          <w:highlight w:val="none"/>
          <w:lang w:val="en-US" w:eastAsia="zh-CN"/>
        </w:rPr>
        <w:t>图</w:t>
      </w:r>
    </w:p>
    <w:p>
      <w:pPr>
        <w:snapToGrid w:val="0"/>
        <w:spacing w:line="360" w:lineRule="auto"/>
        <w:ind w:firstLine="480" w:firstLineChars="200"/>
        <w:rPr>
          <w:rFonts w:hint="eastAsia" w:ascii="Times New Roman" w:hAnsi="Times New Roman" w:eastAsia="宋体" w:cs="Times New Roman"/>
          <w:color w:val="000000"/>
          <w:sz w:val="24"/>
          <w:highlight w:val="none"/>
          <w:lang w:val="en-US" w:eastAsia="zh-CN"/>
        </w:rPr>
      </w:pPr>
      <w:r>
        <w:rPr>
          <w:rFonts w:ascii="Times New Roman" w:hAnsi="Times New Roman" w:eastAsia="宋体" w:cs="Times New Roman"/>
          <w:color w:val="000000"/>
          <w:sz w:val="24"/>
          <w:highlight w:val="none"/>
        </w:rPr>
        <w:t>附图</w:t>
      </w:r>
      <w:r>
        <w:rPr>
          <w:rFonts w:hint="eastAsia" w:ascii="Times New Roman" w:hAnsi="Times New Roman" w:eastAsia="宋体" w:cs="Times New Roman"/>
          <w:color w:val="000000"/>
          <w:sz w:val="24"/>
          <w:highlight w:val="none"/>
          <w:lang w:val="en-US" w:eastAsia="zh-CN"/>
        </w:rPr>
        <w:t>10：引用的大气环境质量监测点位分布示意图</w:t>
      </w:r>
    </w:p>
    <w:p>
      <w:pPr>
        <w:snapToGrid w:val="0"/>
        <w:spacing w:line="360" w:lineRule="auto"/>
        <w:ind w:firstLine="480" w:firstLineChars="200"/>
        <w:rPr>
          <w:rFonts w:ascii="Times New Roman" w:hAnsi="Times New Roman" w:eastAsia="宋体" w:cs="Times New Roman"/>
          <w:color w:val="000000"/>
          <w:sz w:val="24"/>
          <w:highlight w:val="none"/>
        </w:rPr>
      </w:pPr>
      <w:r>
        <w:rPr>
          <w:rFonts w:ascii="Times New Roman" w:hAnsi="Times New Roman" w:eastAsia="宋体" w:cs="Times New Roman"/>
          <w:color w:val="000000"/>
          <w:sz w:val="24"/>
          <w:highlight w:val="none"/>
        </w:rPr>
        <w:t>附图</w:t>
      </w:r>
      <w:r>
        <w:rPr>
          <w:rFonts w:hint="eastAsia" w:ascii="Times New Roman" w:hAnsi="Times New Roman" w:eastAsia="宋体" w:cs="Times New Roman"/>
          <w:color w:val="000000"/>
          <w:sz w:val="24"/>
          <w:highlight w:val="none"/>
          <w:lang w:val="en-US" w:eastAsia="zh-CN"/>
        </w:rPr>
        <w:t>11：</w:t>
      </w:r>
      <w:r>
        <w:rPr>
          <w:rFonts w:ascii="Times New Roman" w:hAnsi="Times New Roman" w:eastAsia="宋体" w:cs="Times New Roman"/>
          <w:color w:val="000000"/>
          <w:sz w:val="24"/>
          <w:highlight w:val="none"/>
        </w:rPr>
        <w:t>项目污水排入</w:t>
      </w:r>
      <w:r>
        <w:rPr>
          <w:rFonts w:hint="eastAsia" w:ascii="Times New Roman" w:hAnsi="Times New Roman" w:eastAsia="宋体" w:cs="Times New Roman"/>
          <w:color w:val="000000"/>
          <w:sz w:val="24"/>
          <w:highlight w:val="none"/>
          <w:lang w:val="en-US" w:eastAsia="zh-CN"/>
        </w:rPr>
        <w:t>归阳污水</w:t>
      </w:r>
      <w:r>
        <w:rPr>
          <w:rFonts w:hint="eastAsia" w:ascii="Times New Roman" w:hAnsi="Times New Roman" w:eastAsia="宋体" w:cs="Times New Roman"/>
          <w:color w:val="000000"/>
          <w:sz w:val="24"/>
          <w:highlight w:val="none"/>
        </w:rPr>
        <w:t>厂</w:t>
      </w:r>
      <w:r>
        <w:rPr>
          <w:rFonts w:ascii="Times New Roman" w:hAnsi="Times New Roman" w:eastAsia="宋体" w:cs="Times New Roman"/>
          <w:color w:val="000000"/>
          <w:sz w:val="24"/>
          <w:highlight w:val="none"/>
        </w:rPr>
        <w:t>路径图</w:t>
      </w:r>
    </w:p>
    <w:p>
      <w:pPr>
        <w:pStyle w:val="22"/>
        <w:rPr>
          <w:rFonts w:hint="default"/>
          <w:lang w:val="en-US" w:eastAsia="zh-CN"/>
        </w:rPr>
      </w:pPr>
    </w:p>
    <w:p>
      <w:pPr>
        <w:spacing w:line="240" w:lineRule="auto"/>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pStyle w:val="15"/>
        <w:keepNext w:val="0"/>
        <w:keepLines w:val="0"/>
        <w:pageBreakBefore w:val="0"/>
        <w:widowControl/>
        <w:kinsoku/>
        <w:wordWrap/>
        <w:overflowPunct/>
        <w:topLinePunct w:val="0"/>
        <w:autoSpaceDE/>
        <w:autoSpaceDN/>
        <w:bidi w:val="0"/>
        <w:adjustRightInd/>
        <w:snapToGrid/>
        <w:spacing w:before="0" w:beforeAutospacing="0" w:after="0" w:afterAutospacing="0" w:line="240" w:lineRule="auto"/>
        <w:jc w:val="center"/>
        <w:textAlignment w:val="auto"/>
        <w:outlineLvl w:val="0"/>
        <w:rPr>
          <w:rFonts w:hint="eastAsia" w:ascii="Times New Roman" w:hAnsi="Times New Roman" w:eastAsia="宋体"/>
          <w:b/>
          <w:bCs/>
          <w:snapToGrid w:val="0"/>
          <w:color w:val="auto"/>
          <w:sz w:val="28"/>
          <w:szCs w:val="28"/>
          <w:u w:val="none" w:color="auto"/>
        </w:rPr>
      </w:pPr>
      <w:r>
        <w:rPr>
          <w:rFonts w:hint="eastAsia" w:ascii="Times New Roman" w:hAnsi="Times New Roman" w:eastAsia="宋体"/>
          <w:b/>
          <w:bCs/>
          <w:snapToGrid w:val="0"/>
          <w:color w:val="auto"/>
          <w:sz w:val="28"/>
          <w:szCs w:val="28"/>
          <w:u w:val="none" w:color="auto"/>
        </w:rPr>
        <w:t>一、建设项目基本情况</w:t>
      </w:r>
    </w:p>
    <w:tbl>
      <w:tblPr>
        <w:tblStyle w:val="18"/>
        <w:tblW w:w="9864"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0" w:type="dxa"/>
          <w:bottom w:w="0" w:type="dxa"/>
          <w:right w:w="0" w:type="dxa"/>
        </w:tblCellMar>
      </w:tblPr>
      <w:tblGrid>
        <w:gridCol w:w="1413"/>
        <w:gridCol w:w="2366"/>
        <w:gridCol w:w="2803"/>
        <w:gridCol w:w="3190"/>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1413" w:type="dxa"/>
            <w:tcMar>
              <w:top w:w="16" w:type="dxa"/>
              <w:left w:w="16" w:type="dxa"/>
              <w:right w:w="16" w:type="dxa"/>
            </w:tcMar>
            <w:vAlign w:val="center"/>
          </w:tcPr>
          <w:p>
            <w:pPr>
              <w:keepNext w:val="0"/>
              <w:keepLines w:val="0"/>
              <w:pageBreakBefore w:val="0"/>
              <w:widowControl w:val="0"/>
              <w:kinsoku/>
              <w:wordWrap/>
              <w:overflowPunct/>
              <w:topLinePunct w:val="0"/>
              <w:bidi w:val="0"/>
              <w:adjustRightInd w:val="0"/>
              <w:snapToGrid w:val="0"/>
              <w:spacing w:line="360" w:lineRule="exact"/>
              <w:jc w:val="center"/>
              <w:textAlignment w:val="auto"/>
              <w:rPr>
                <w:rFonts w:hint="default" w:ascii="Times New Roman" w:hAnsi="Times New Roman" w:eastAsia="宋体" w:cs="Times New Roman"/>
                <w:color w:val="auto"/>
                <w:sz w:val="24"/>
                <w:szCs w:val="24"/>
                <w:u w:val="none" w:color="auto"/>
              </w:rPr>
            </w:pPr>
            <w:r>
              <w:rPr>
                <w:rFonts w:hint="default" w:ascii="Times New Roman" w:hAnsi="Times New Roman" w:eastAsia="宋体" w:cs="Times New Roman"/>
                <w:color w:val="auto"/>
                <w:sz w:val="24"/>
                <w:szCs w:val="24"/>
                <w:u w:val="none" w:color="auto"/>
              </w:rPr>
              <w:t>建设项目名称</w:t>
            </w:r>
          </w:p>
        </w:tc>
        <w:tc>
          <w:tcPr>
            <w:tcW w:w="8359" w:type="dxa"/>
            <w:gridSpan w:val="3"/>
            <w:vAlign w:val="center"/>
          </w:tcPr>
          <w:p>
            <w:pPr>
              <w:adjustRightInd w:val="0"/>
              <w:snapToGrid w:val="0"/>
              <w:spacing w:line="240" w:lineRule="auto"/>
              <w:jc w:val="center"/>
              <w:rPr>
                <w:rFonts w:hint="default" w:ascii="Times New Roman" w:hAnsi="Times New Roman" w:eastAsia="宋体" w:cs="Times New Roman"/>
                <w:color w:val="auto"/>
                <w:sz w:val="24"/>
                <w:szCs w:val="24"/>
                <w:u w:val="none" w:color="auto"/>
                <w:lang w:eastAsia="zh-CN"/>
              </w:rPr>
            </w:pPr>
            <w:r>
              <w:rPr>
                <w:rFonts w:hint="default" w:ascii="Times New Roman" w:hAnsi="Times New Roman" w:eastAsia="宋体" w:cs="Times New Roman"/>
                <w:sz w:val="21"/>
                <w:szCs w:val="21"/>
                <w:lang w:val="en-US" w:eastAsia="zh-CN"/>
              </w:rPr>
              <w:t>湖南省鑫汇鑫环保科技有限公司报废汽车拆解再回收项目</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1413" w:type="dxa"/>
            <w:tcMar>
              <w:top w:w="16" w:type="dxa"/>
              <w:left w:w="16" w:type="dxa"/>
              <w:right w:w="16" w:type="dxa"/>
            </w:tcMar>
            <w:vAlign w:val="center"/>
          </w:tcPr>
          <w:p>
            <w:pPr>
              <w:keepNext w:val="0"/>
              <w:keepLines w:val="0"/>
              <w:pageBreakBefore w:val="0"/>
              <w:widowControl w:val="0"/>
              <w:kinsoku/>
              <w:wordWrap/>
              <w:overflowPunct/>
              <w:topLinePunct w:val="0"/>
              <w:bidi w:val="0"/>
              <w:adjustRightInd w:val="0"/>
              <w:snapToGrid w:val="0"/>
              <w:spacing w:line="360" w:lineRule="exact"/>
              <w:jc w:val="center"/>
              <w:textAlignment w:val="auto"/>
              <w:rPr>
                <w:rFonts w:hint="default" w:ascii="Times New Roman" w:hAnsi="Times New Roman" w:eastAsia="宋体" w:cs="Times New Roman"/>
                <w:color w:val="auto"/>
                <w:sz w:val="24"/>
                <w:szCs w:val="24"/>
                <w:u w:val="none" w:color="auto"/>
              </w:rPr>
            </w:pPr>
            <w:r>
              <w:rPr>
                <w:rFonts w:hint="default" w:ascii="Times New Roman" w:hAnsi="Times New Roman" w:eastAsia="宋体" w:cs="Times New Roman"/>
                <w:color w:val="auto"/>
                <w:sz w:val="24"/>
                <w:szCs w:val="24"/>
                <w:u w:val="none" w:color="auto"/>
              </w:rPr>
              <w:t>项目代码</w:t>
            </w:r>
          </w:p>
        </w:tc>
        <w:tc>
          <w:tcPr>
            <w:tcW w:w="8359" w:type="dxa"/>
            <w:gridSpan w:val="3"/>
            <w:vAlign w:val="center"/>
          </w:tcPr>
          <w:p>
            <w:pPr>
              <w:adjustRightInd w:val="0"/>
              <w:snapToGrid w:val="0"/>
              <w:spacing w:line="240" w:lineRule="auto"/>
              <w:jc w:val="center"/>
              <w:rPr>
                <w:rFonts w:hint="default" w:ascii="Times New Roman" w:hAnsi="Times New Roman" w:eastAsia="宋体" w:cs="Times New Roman"/>
                <w:color w:val="auto"/>
                <w:sz w:val="24"/>
                <w:szCs w:val="24"/>
                <w:u w:val="none" w:color="auto"/>
                <w:lang w:val="en-US" w:eastAsia="zh-CN"/>
              </w:rPr>
            </w:pPr>
            <w:r>
              <w:rPr>
                <w:rFonts w:hint="default" w:ascii="Times New Roman" w:hAnsi="Times New Roman" w:eastAsia="宋体" w:cs="Times New Roman"/>
                <w:sz w:val="21"/>
                <w:szCs w:val="21"/>
                <w:lang w:val="en-US" w:eastAsia="zh-CN"/>
              </w:rPr>
              <w:t>2209-430426-04-01-697956</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1413" w:type="dxa"/>
            <w:tcMar>
              <w:top w:w="16" w:type="dxa"/>
              <w:left w:w="16" w:type="dxa"/>
              <w:right w:w="16" w:type="dxa"/>
            </w:tcMar>
            <w:vAlign w:val="center"/>
          </w:tcPr>
          <w:p>
            <w:pPr>
              <w:keepNext w:val="0"/>
              <w:keepLines w:val="0"/>
              <w:pageBreakBefore w:val="0"/>
              <w:widowControl w:val="0"/>
              <w:kinsoku/>
              <w:wordWrap/>
              <w:overflowPunct/>
              <w:topLinePunct w:val="0"/>
              <w:bidi w:val="0"/>
              <w:adjustRightInd w:val="0"/>
              <w:snapToGrid w:val="0"/>
              <w:spacing w:line="360" w:lineRule="exact"/>
              <w:jc w:val="center"/>
              <w:textAlignment w:val="auto"/>
              <w:rPr>
                <w:rFonts w:hint="default" w:ascii="Times New Roman" w:hAnsi="Times New Roman" w:eastAsia="宋体" w:cs="Times New Roman"/>
                <w:color w:val="auto"/>
                <w:sz w:val="24"/>
                <w:szCs w:val="24"/>
                <w:u w:val="none" w:color="auto"/>
              </w:rPr>
            </w:pPr>
            <w:r>
              <w:rPr>
                <w:rFonts w:hint="default" w:ascii="Times New Roman" w:hAnsi="Times New Roman" w:eastAsia="宋体" w:cs="Times New Roman"/>
                <w:color w:val="auto"/>
                <w:sz w:val="24"/>
                <w:szCs w:val="24"/>
                <w:u w:val="none" w:color="auto"/>
              </w:rPr>
              <w:t>建设单位联系人</w:t>
            </w:r>
          </w:p>
        </w:tc>
        <w:tc>
          <w:tcPr>
            <w:tcW w:w="2366" w:type="dxa"/>
            <w:vAlign w:val="center"/>
          </w:tcPr>
          <w:p>
            <w:pPr>
              <w:adjustRightInd w:val="0"/>
              <w:snapToGrid w:val="0"/>
              <w:spacing w:line="240" w:lineRule="auto"/>
              <w:jc w:val="center"/>
              <w:rPr>
                <w:rFonts w:hint="default" w:ascii="Times New Roman" w:hAnsi="Times New Roman" w:eastAsia="宋体" w:cs="Times New Roman"/>
                <w:color w:val="auto"/>
                <w:sz w:val="24"/>
                <w:szCs w:val="24"/>
                <w:u w:val="none" w:color="auto"/>
                <w:lang w:val="en-US" w:eastAsia="zh-CN"/>
              </w:rPr>
            </w:pPr>
            <w:r>
              <w:rPr>
                <w:rFonts w:hint="default" w:ascii="Times New Roman" w:hAnsi="Times New Roman" w:eastAsia="宋体" w:cs="Times New Roman"/>
                <w:sz w:val="21"/>
                <w:szCs w:val="21"/>
                <w:lang w:val="en-US" w:eastAsia="zh-CN"/>
              </w:rPr>
              <w:t>王伟林</w:t>
            </w:r>
          </w:p>
        </w:tc>
        <w:tc>
          <w:tcPr>
            <w:tcW w:w="2803" w:type="dxa"/>
            <w:vAlign w:val="center"/>
          </w:tcPr>
          <w:p>
            <w:pPr>
              <w:adjustRightInd w:val="0"/>
              <w:snapToGrid w:val="0"/>
              <w:spacing w:line="240" w:lineRule="auto"/>
              <w:jc w:val="center"/>
              <w:rPr>
                <w:rFonts w:hint="default" w:ascii="Times New Roman" w:hAnsi="Times New Roman" w:eastAsia="宋体" w:cs="Times New Roman"/>
                <w:color w:val="auto"/>
                <w:sz w:val="24"/>
                <w:szCs w:val="24"/>
                <w:u w:val="none" w:color="auto"/>
              </w:rPr>
            </w:pPr>
            <w:r>
              <w:rPr>
                <w:rFonts w:hint="default" w:ascii="Times New Roman" w:hAnsi="Times New Roman" w:eastAsia="宋体" w:cs="Times New Roman"/>
                <w:sz w:val="21"/>
                <w:szCs w:val="21"/>
              </w:rPr>
              <w:t>联系方式</w:t>
            </w:r>
          </w:p>
        </w:tc>
        <w:tc>
          <w:tcPr>
            <w:tcW w:w="3190" w:type="dxa"/>
            <w:vAlign w:val="center"/>
          </w:tcPr>
          <w:p>
            <w:pPr>
              <w:adjustRightInd w:val="0"/>
              <w:snapToGrid w:val="0"/>
              <w:spacing w:line="240" w:lineRule="auto"/>
              <w:jc w:val="center"/>
              <w:rPr>
                <w:rFonts w:hint="default" w:ascii="Times New Roman" w:hAnsi="Times New Roman" w:eastAsia="宋体" w:cs="Times New Roman"/>
                <w:color w:val="auto"/>
                <w:sz w:val="24"/>
                <w:szCs w:val="24"/>
                <w:u w:val="none" w:color="auto"/>
                <w:lang w:val="en-US" w:eastAsia="zh-CN"/>
              </w:rPr>
            </w:pPr>
            <w:r>
              <w:rPr>
                <w:rFonts w:hint="default" w:ascii="Times New Roman" w:hAnsi="Times New Roman" w:eastAsia="宋体" w:cs="Times New Roman"/>
                <w:sz w:val="21"/>
                <w:szCs w:val="21"/>
                <w:lang w:val="en-US" w:eastAsia="zh-CN"/>
              </w:rPr>
              <w:t>13107044296</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1413" w:type="dxa"/>
            <w:tcMar>
              <w:top w:w="16" w:type="dxa"/>
              <w:left w:w="16" w:type="dxa"/>
              <w:right w:w="16" w:type="dxa"/>
            </w:tcMar>
            <w:vAlign w:val="center"/>
          </w:tcPr>
          <w:p>
            <w:pPr>
              <w:keepNext w:val="0"/>
              <w:keepLines w:val="0"/>
              <w:pageBreakBefore w:val="0"/>
              <w:widowControl w:val="0"/>
              <w:kinsoku/>
              <w:wordWrap/>
              <w:overflowPunct/>
              <w:topLinePunct w:val="0"/>
              <w:bidi w:val="0"/>
              <w:adjustRightInd w:val="0"/>
              <w:snapToGrid w:val="0"/>
              <w:spacing w:line="360" w:lineRule="exact"/>
              <w:jc w:val="center"/>
              <w:textAlignment w:val="auto"/>
              <w:rPr>
                <w:rFonts w:hint="default" w:ascii="Times New Roman" w:hAnsi="Times New Roman" w:eastAsia="宋体" w:cs="Times New Roman"/>
                <w:color w:val="auto"/>
                <w:sz w:val="24"/>
                <w:szCs w:val="24"/>
                <w:u w:val="none" w:color="auto"/>
              </w:rPr>
            </w:pPr>
            <w:r>
              <w:rPr>
                <w:rFonts w:hint="default" w:ascii="Times New Roman" w:hAnsi="Times New Roman" w:eastAsia="宋体" w:cs="Times New Roman"/>
                <w:color w:val="auto"/>
                <w:sz w:val="24"/>
                <w:szCs w:val="24"/>
                <w:u w:val="none" w:color="auto"/>
              </w:rPr>
              <w:t>建设地点</w:t>
            </w:r>
          </w:p>
        </w:tc>
        <w:tc>
          <w:tcPr>
            <w:tcW w:w="8359" w:type="dxa"/>
            <w:gridSpan w:val="3"/>
            <w:vAlign w:val="center"/>
          </w:tcPr>
          <w:p>
            <w:pPr>
              <w:adjustRightInd w:val="0"/>
              <w:snapToGrid w:val="0"/>
              <w:spacing w:line="240" w:lineRule="auto"/>
              <w:jc w:val="center"/>
              <w:rPr>
                <w:rFonts w:hint="default" w:ascii="Times New Roman" w:hAnsi="Times New Roman" w:eastAsia="宋体" w:cs="Times New Roman"/>
                <w:color w:val="auto"/>
                <w:sz w:val="24"/>
                <w:szCs w:val="24"/>
                <w:u w:val="none" w:color="auto"/>
                <w:lang w:val="en-US" w:eastAsia="zh-CN"/>
              </w:rPr>
            </w:pPr>
            <w:r>
              <w:rPr>
                <w:rFonts w:hint="default" w:ascii="Times New Roman" w:hAnsi="Times New Roman" w:eastAsia="宋体" w:cs="Times New Roman"/>
                <w:sz w:val="21"/>
                <w:szCs w:val="21"/>
                <w:lang w:val="en-US" w:eastAsia="zh-CN"/>
              </w:rPr>
              <w:t>归阳工业园云鹤循环经济产业园</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1413" w:type="dxa"/>
            <w:tcMar>
              <w:top w:w="16" w:type="dxa"/>
              <w:left w:w="16" w:type="dxa"/>
              <w:right w:w="16" w:type="dxa"/>
            </w:tcMar>
            <w:vAlign w:val="center"/>
          </w:tcPr>
          <w:p>
            <w:pPr>
              <w:keepNext w:val="0"/>
              <w:keepLines w:val="0"/>
              <w:pageBreakBefore w:val="0"/>
              <w:widowControl w:val="0"/>
              <w:kinsoku/>
              <w:wordWrap/>
              <w:overflowPunct/>
              <w:topLinePunct w:val="0"/>
              <w:bidi w:val="0"/>
              <w:adjustRightInd w:val="0"/>
              <w:snapToGrid w:val="0"/>
              <w:spacing w:line="360" w:lineRule="exact"/>
              <w:jc w:val="center"/>
              <w:textAlignment w:val="auto"/>
              <w:rPr>
                <w:rFonts w:hint="default" w:ascii="Times New Roman" w:hAnsi="Times New Roman" w:eastAsia="宋体" w:cs="Times New Roman"/>
                <w:color w:val="auto"/>
                <w:sz w:val="24"/>
                <w:szCs w:val="24"/>
                <w:u w:val="none" w:color="auto"/>
              </w:rPr>
            </w:pPr>
            <w:r>
              <w:rPr>
                <w:rFonts w:hint="default" w:ascii="Times New Roman" w:hAnsi="Times New Roman" w:eastAsia="宋体" w:cs="Times New Roman"/>
                <w:color w:val="auto"/>
                <w:sz w:val="24"/>
                <w:szCs w:val="24"/>
                <w:u w:val="none" w:color="auto"/>
              </w:rPr>
              <w:t>地理坐标</w:t>
            </w:r>
          </w:p>
        </w:tc>
        <w:tc>
          <w:tcPr>
            <w:tcW w:w="8359" w:type="dxa"/>
            <w:gridSpan w:val="3"/>
            <w:vAlign w:val="center"/>
          </w:tcPr>
          <w:p>
            <w:pPr>
              <w:adjustRightInd w:val="0"/>
              <w:snapToGrid w:val="0"/>
              <w:spacing w:line="240" w:lineRule="auto"/>
              <w:jc w:val="center"/>
              <w:rPr>
                <w:rFonts w:hint="default" w:ascii="Times New Roman" w:hAnsi="Times New Roman" w:eastAsia="宋体" w:cs="Times New Roman"/>
                <w:color w:val="auto"/>
                <w:sz w:val="24"/>
                <w:szCs w:val="24"/>
                <w:u w:val="none" w:color="auto"/>
                <w:lang w:val="en-US" w:eastAsia="zh-CN"/>
              </w:rPr>
            </w:pPr>
            <w:r>
              <w:rPr>
                <w:rFonts w:hint="eastAsia" w:cs="Times New Roman"/>
                <w:sz w:val="21"/>
                <w:szCs w:val="21"/>
                <w:lang w:val="en-US" w:eastAsia="zh-CN"/>
              </w:rPr>
              <w:t>经度：</w:t>
            </w:r>
            <w:r>
              <w:rPr>
                <w:rFonts w:hint="default" w:ascii="Times New Roman" w:hAnsi="Times New Roman" w:eastAsia="宋体" w:cs="Times New Roman"/>
                <w:sz w:val="21"/>
                <w:szCs w:val="21"/>
                <w:lang w:val="en-US" w:eastAsia="zh-CN"/>
              </w:rPr>
              <w:t>112°12′10.35″</w:t>
            </w:r>
            <w:r>
              <w:rPr>
                <w:rFonts w:hint="eastAsia" w:cs="Times New Roman"/>
                <w:sz w:val="21"/>
                <w:szCs w:val="21"/>
                <w:lang w:val="en-US" w:eastAsia="zh-CN"/>
              </w:rPr>
              <w:t>，纬度：</w:t>
            </w:r>
            <w:r>
              <w:rPr>
                <w:rFonts w:hint="default" w:ascii="Times New Roman" w:hAnsi="Times New Roman" w:eastAsia="宋体" w:cs="Times New Roman"/>
                <w:sz w:val="21"/>
                <w:szCs w:val="21"/>
                <w:lang w:val="en-US" w:eastAsia="zh-CN"/>
              </w:rPr>
              <w:t>26°33′40.2</w:t>
            </w:r>
            <w:r>
              <w:rPr>
                <w:rFonts w:hint="eastAsia" w:cs="Times New Roman"/>
                <w:sz w:val="21"/>
                <w:szCs w:val="21"/>
                <w:lang w:val="en-US" w:eastAsia="zh-CN"/>
              </w:rPr>
              <w:t>1</w:t>
            </w:r>
            <w:r>
              <w:rPr>
                <w:rFonts w:hint="default" w:ascii="Times New Roman" w:hAnsi="Times New Roman" w:eastAsia="宋体" w:cs="Times New Roman"/>
                <w:sz w:val="21"/>
                <w:szCs w:val="21"/>
                <w:lang w:val="en-US" w:eastAsia="zh-CN"/>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1413" w:type="dxa"/>
            <w:tcMar>
              <w:top w:w="16" w:type="dxa"/>
              <w:left w:w="16" w:type="dxa"/>
              <w:right w:w="16" w:type="dxa"/>
            </w:tcMar>
            <w:vAlign w:val="center"/>
          </w:tcPr>
          <w:p>
            <w:pPr>
              <w:adjustRightInd w:val="0"/>
              <w:snapToGrid w:val="0"/>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国民经济</w:t>
            </w:r>
          </w:p>
          <w:p>
            <w:pPr>
              <w:adjustRightInd w:val="0"/>
              <w:snapToGrid w:val="0"/>
              <w:spacing w:line="240" w:lineRule="auto"/>
              <w:jc w:val="center"/>
              <w:rPr>
                <w:rFonts w:hint="default" w:ascii="Times New Roman" w:hAnsi="Times New Roman" w:eastAsia="宋体" w:cs="Times New Roman"/>
                <w:color w:val="auto"/>
                <w:sz w:val="24"/>
                <w:szCs w:val="24"/>
                <w:u w:val="none" w:color="auto"/>
              </w:rPr>
            </w:pPr>
            <w:r>
              <w:rPr>
                <w:rFonts w:hint="default" w:ascii="Times New Roman" w:hAnsi="Times New Roman" w:eastAsia="宋体" w:cs="Times New Roman"/>
                <w:sz w:val="21"/>
                <w:szCs w:val="21"/>
              </w:rPr>
              <w:t>行业类别</w:t>
            </w:r>
          </w:p>
        </w:tc>
        <w:tc>
          <w:tcPr>
            <w:tcW w:w="2366" w:type="dxa"/>
            <w:vAlign w:val="center"/>
          </w:tcPr>
          <w:p>
            <w:pPr>
              <w:adjustRightInd w:val="0"/>
              <w:snapToGrid w:val="0"/>
              <w:spacing w:line="240" w:lineRule="auto"/>
              <w:jc w:val="left"/>
              <w:rPr>
                <w:rFonts w:hint="default" w:ascii="Times New Roman" w:hAnsi="Times New Roman" w:eastAsia="宋体" w:cs="Times New Roman"/>
                <w:sz w:val="21"/>
                <w:szCs w:val="21"/>
              </w:rPr>
            </w:pPr>
            <w:r>
              <w:rPr>
                <w:rFonts w:hint="default" w:ascii="Times New Roman" w:hAnsi="Times New Roman" w:eastAsia="宋体" w:cs="Times New Roman"/>
                <w:sz w:val="21"/>
                <w:szCs w:val="21"/>
              </w:rPr>
              <w:t>C4210 金属废料和碎屑加工处理</w:t>
            </w:r>
          </w:p>
          <w:p>
            <w:pPr>
              <w:adjustRightInd w:val="0"/>
              <w:snapToGrid w:val="0"/>
              <w:spacing w:line="240" w:lineRule="auto"/>
              <w:jc w:val="left"/>
              <w:rPr>
                <w:rFonts w:hint="default" w:ascii="Times New Roman" w:hAnsi="Times New Roman" w:eastAsia="宋体" w:cs="Times New Roman"/>
                <w:color w:val="auto"/>
                <w:sz w:val="24"/>
                <w:szCs w:val="24"/>
                <w:u w:val="none" w:color="auto"/>
                <w:lang w:val="en-US" w:eastAsia="zh-CN"/>
              </w:rPr>
            </w:pPr>
            <w:r>
              <w:rPr>
                <w:rFonts w:hint="default" w:ascii="Times New Roman" w:hAnsi="Times New Roman" w:eastAsia="宋体" w:cs="Times New Roman"/>
                <w:sz w:val="21"/>
                <w:szCs w:val="21"/>
              </w:rPr>
              <w:t>C42</w:t>
            </w:r>
            <w:r>
              <w:rPr>
                <w:rFonts w:hint="default" w:ascii="Times New Roman" w:hAnsi="Times New Roman" w:eastAsia="宋体" w:cs="Times New Roman"/>
                <w:sz w:val="21"/>
                <w:szCs w:val="21"/>
                <w:lang w:val="en-US" w:eastAsia="zh-CN"/>
              </w:rPr>
              <w:t>2</w:t>
            </w:r>
            <w:r>
              <w:rPr>
                <w:rFonts w:hint="default" w:ascii="Times New Roman" w:hAnsi="Times New Roman" w:eastAsia="宋体" w:cs="Times New Roman"/>
                <w:sz w:val="21"/>
                <w:szCs w:val="21"/>
              </w:rPr>
              <w:t xml:space="preserve">0 </w:t>
            </w:r>
            <w:r>
              <w:rPr>
                <w:rFonts w:hint="default" w:ascii="Times New Roman" w:hAnsi="Times New Roman" w:eastAsia="宋体" w:cs="Times New Roman"/>
                <w:sz w:val="21"/>
                <w:szCs w:val="21"/>
                <w:lang w:val="en-US" w:eastAsia="zh-CN"/>
              </w:rPr>
              <w:t>非</w:t>
            </w:r>
            <w:r>
              <w:rPr>
                <w:rFonts w:hint="default" w:ascii="Times New Roman" w:hAnsi="Times New Roman" w:eastAsia="宋体" w:cs="Times New Roman"/>
                <w:sz w:val="21"/>
                <w:szCs w:val="21"/>
              </w:rPr>
              <w:t>金属废料和碎屑加工处理</w:t>
            </w:r>
          </w:p>
        </w:tc>
        <w:tc>
          <w:tcPr>
            <w:tcW w:w="2803" w:type="dxa"/>
            <w:vAlign w:val="center"/>
          </w:tcPr>
          <w:p>
            <w:pPr>
              <w:adjustRightInd w:val="0"/>
              <w:snapToGrid w:val="0"/>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建设项目</w:t>
            </w:r>
          </w:p>
          <w:p>
            <w:pPr>
              <w:adjustRightInd w:val="0"/>
              <w:snapToGrid w:val="0"/>
              <w:spacing w:line="240" w:lineRule="auto"/>
              <w:jc w:val="center"/>
              <w:rPr>
                <w:rFonts w:hint="default" w:ascii="Times New Roman" w:hAnsi="Times New Roman" w:eastAsia="宋体" w:cs="Times New Roman"/>
                <w:color w:val="auto"/>
                <w:sz w:val="24"/>
                <w:szCs w:val="24"/>
                <w:u w:val="none" w:color="auto"/>
              </w:rPr>
            </w:pPr>
            <w:r>
              <w:rPr>
                <w:rFonts w:hint="default" w:ascii="Times New Roman" w:hAnsi="Times New Roman" w:eastAsia="宋体" w:cs="Times New Roman"/>
                <w:sz w:val="21"/>
                <w:szCs w:val="21"/>
              </w:rPr>
              <w:t>行业类别</w:t>
            </w:r>
          </w:p>
        </w:tc>
        <w:tc>
          <w:tcPr>
            <w:tcW w:w="3190" w:type="dxa"/>
            <w:vAlign w:val="top"/>
          </w:tcPr>
          <w:p>
            <w:pPr>
              <w:adjustRightInd w:val="0"/>
              <w:snapToGrid w:val="0"/>
              <w:spacing w:line="240" w:lineRule="auto"/>
              <w:jc w:val="left"/>
              <w:rPr>
                <w:rFonts w:hint="default" w:ascii="Times New Roman" w:hAnsi="Times New Roman" w:eastAsia="宋体" w:cs="Times New Roman"/>
                <w:color w:val="auto"/>
                <w:sz w:val="24"/>
                <w:szCs w:val="24"/>
                <w:u w:val="none" w:color="auto"/>
                <w:lang w:val="en-US" w:eastAsia="zh-CN"/>
              </w:rPr>
            </w:pPr>
            <w:r>
              <w:rPr>
                <w:rFonts w:hint="default" w:ascii="Times New Roman" w:hAnsi="Times New Roman" w:eastAsia="宋体" w:cs="Times New Roman"/>
                <w:sz w:val="21"/>
                <w:szCs w:val="21"/>
              </w:rPr>
              <w:t>三十九、废弃资源综合利用业中42，85、废机动车金属废料和碎屑加工处理</w:t>
            </w:r>
            <w:r>
              <w:rPr>
                <w:rFonts w:hint="default" w:ascii="Times New Roman" w:hAnsi="Times New Roman" w:eastAsia="宋体" w:cs="Times New Roman"/>
                <w:sz w:val="21"/>
                <w:szCs w:val="21"/>
                <w:lang w:val="en-US" w:eastAsia="zh-CN"/>
              </w:rPr>
              <w:t>421；非金属废料和碎屑加工处理422（421和422均不含原料为危险废物的，均不含仅分拣和破碎的）</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0" w:hRule="atLeast"/>
          <w:jc w:val="center"/>
        </w:trPr>
        <w:tc>
          <w:tcPr>
            <w:tcW w:w="1413" w:type="dxa"/>
            <w:tcMar>
              <w:top w:w="16" w:type="dxa"/>
              <w:left w:w="16" w:type="dxa"/>
              <w:right w:w="16" w:type="dxa"/>
            </w:tcMar>
            <w:vAlign w:val="center"/>
          </w:tcPr>
          <w:p>
            <w:pPr>
              <w:keepNext w:val="0"/>
              <w:keepLines w:val="0"/>
              <w:pageBreakBefore w:val="0"/>
              <w:widowControl w:val="0"/>
              <w:kinsoku/>
              <w:wordWrap/>
              <w:overflowPunct/>
              <w:topLinePunct w:val="0"/>
              <w:bidi w:val="0"/>
              <w:adjustRightInd w:val="0"/>
              <w:snapToGrid w:val="0"/>
              <w:spacing w:line="360" w:lineRule="exact"/>
              <w:jc w:val="center"/>
              <w:textAlignment w:val="auto"/>
              <w:rPr>
                <w:rFonts w:hint="default" w:ascii="Times New Roman" w:hAnsi="Times New Roman" w:eastAsia="宋体" w:cs="Times New Roman"/>
                <w:color w:val="auto"/>
                <w:sz w:val="24"/>
                <w:szCs w:val="24"/>
                <w:u w:val="none" w:color="auto"/>
              </w:rPr>
            </w:pPr>
            <w:r>
              <w:rPr>
                <w:rFonts w:hint="default" w:ascii="Times New Roman" w:hAnsi="Times New Roman" w:eastAsia="宋体" w:cs="Times New Roman"/>
                <w:color w:val="auto"/>
                <w:sz w:val="24"/>
                <w:szCs w:val="24"/>
                <w:u w:val="none" w:color="auto"/>
              </w:rPr>
              <w:t>建设性质</w:t>
            </w:r>
          </w:p>
        </w:tc>
        <w:tc>
          <w:tcPr>
            <w:tcW w:w="2366" w:type="dxa"/>
            <w:vAlign w:val="center"/>
          </w:tcPr>
          <w:p>
            <w:pPr>
              <w:adjustRightInd w:val="0"/>
              <w:snapToGrid w:val="0"/>
              <w:spacing w:line="240" w:lineRule="auto"/>
              <w:jc w:val="left"/>
              <w:rPr>
                <w:rFonts w:hint="default" w:ascii="Times New Roman" w:hAnsi="Times New Roman" w:eastAsia="宋体" w:cs="Times New Roman"/>
                <w:sz w:val="21"/>
                <w:szCs w:val="21"/>
              </w:rPr>
            </w:pPr>
            <w:r>
              <w:rPr>
                <w:rFonts w:hint="default" w:ascii="Times New Roman" w:hAnsi="Times New Roman" w:eastAsia="宋体" w:cs="Times New Roman"/>
                <w:sz w:val="21"/>
                <w:szCs w:val="21"/>
                <w:lang w:eastAsia="zh-CN"/>
              </w:rPr>
              <w:t>☑</w:t>
            </w:r>
            <w:r>
              <w:rPr>
                <w:rFonts w:hint="default" w:ascii="Times New Roman" w:hAnsi="Times New Roman" w:eastAsia="宋体" w:cs="Times New Roman"/>
                <w:sz w:val="21"/>
                <w:szCs w:val="21"/>
              </w:rPr>
              <w:t>新建（迁建）</w:t>
            </w:r>
          </w:p>
          <w:p>
            <w:pPr>
              <w:adjustRightInd w:val="0"/>
              <w:snapToGrid w:val="0"/>
              <w:spacing w:line="240" w:lineRule="auto"/>
              <w:jc w:val="left"/>
              <w:rPr>
                <w:rFonts w:hint="default" w:ascii="Times New Roman" w:hAnsi="Times New Roman" w:eastAsia="宋体" w:cs="Times New Roman"/>
                <w:sz w:val="21"/>
                <w:szCs w:val="21"/>
              </w:rPr>
            </w:pPr>
            <w:r>
              <w:rPr>
                <w:rFonts w:hint="default" w:ascii="Times New Roman" w:hAnsi="Times New Roman" w:eastAsia="宋体" w:cs="Times New Roman"/>
                <w:sz w:val="21"/>
                <w:szCs w:val="21"/>
              </w:rPr>
              <w:sym w:font="Wingdings 2" w:char="00A3"/>
            </w:r>
            <w:r>
              <w:rPr>
                <w:rFonts w:hint="default" w:ascii="Times New Roman" w:hAnsi="Times New Roman" w:eastAsia="宋体" w:cs="Times New Roman"/>
                <w:sz w:val="21"/>
                <w:szCs w:val="21"/>
              </w:rPr>
              <w:t>改建</w:t>
            </w:r>
          </w:p>
          <w:p>
            <w:pPr>
              <w:adjustRightInd w:val="0"/>
              <w:snapToGrid w:val="0"/>
              <w:spacing w:line="240" w:lineRule="auto"/>
              <w:jc w:val="left"/>
              <w:rPr>
                <w:rFonts w:hint="default" w:ascii="Times New Roman" w:hAnsi="Times New Roman" w:eastAsia="宋体" w:cs="Times New Roman"/>
                <w:sz w:val="21"/>
                <w:szCs w:val="21"/>
              </w:rPr>
            </w:pPr>
            <w:r>
              <w:rPr>
                <w:rFonts w:hint="default" w:ascii="Times New Roman" w:hAnsi="Times New Roman" w:eastAsia="宋体" w:cs="Times New Roman"/>
                <w:sz w:val="21"/>
                <w:szCs w:val="21"/>
              </w:rPr>
              <w:sym w:font="Wingdings 2" w:char="00A3"/>
            </w:r>
            <w:r>
              <w:rPr>
                <w:rFonts w:hint="default" w:ascii="Times New Roman" w:hAnsi="Times New Roman" w:eastAsia="宋体" w:cs="Times New Roman"/>
                <w:sz w:val="21"/>
                <w:szCs w:val="21"/>
              </w:rPr>
              <w:t>扩建</w:t>
            </w:r>
          </w:p>
          <w:p>
            <w:pPr>
              <w:adjustRightInd w:val="0"/>
              <w:snapToGrid w:val="0"/>
              <w:spacing w:line="240" w:lineRule="auto"/>
              <w:jc w:val="left"/>
              <w:rPr>
                <w:rFonts w:hint="default" w:ascii="Times New Roman" w:hAnsi="Times New Roman" w:eastAsia="宋体" w:cs="Times New Roman"/>
                <w:color w:val="auto"/>
                <w:sz w:val="24"/>
                <w:szCs w:val="24"/>
                <w:u w:val="none" w:color="auto"/>
              </w:rPr>
            </w:pPr>
            <w:r>
              <w:rPr>
                <w:rFonts w:hint="default" w:ascii="Times New Roman" w:hAnsi="Times New Roman" w:eastAsia="宋体" w:cs="Times New Roman"/>
                <w:sz w:val="21"/>
                <w:szCs w:val="21"/>
              </w:rPr>
              <w:t>□技术改造</w:t>
            </w:r>
          </w:p>
        </w:tc>
        <w:tc>
          <w:tcPr>
            <w:tcW w:w="2803" w:type="dxa"/>
            <w:vAlign w:val="center"/>
          </w:tcPr>
          <w:p>
            <w:pPr>
              <w:adjustRightInd w:val="0"/>
              <w:snapToGrid w:val="0"/>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建设项目</w:t>
            </w:r>
          </w:p>
          <w:p>
            <w:pPr>
              <w:adjustRightInd w:val="0"/>
              <w:snapToGrid w:val="0"/>
              <w:spacing w:line="240" w:lineRule="auto"/>
              <w:jc w:val="center"/>
              <w:rPr>
                <w:rFonts w:hint="default" w:ascii="Times New Roman" w:hAnsi="Times New Roman" w:eastAsia="宋体" w:cs="Times New Roman"/>
                <w:color w:val="auto"/>
                <w:sz w:val="24"/>
                <w:szCs w:val="24"/>
                <w:u w:val="none" w:color="auto"/>
              </w:rPr>
            </w:pPr>
            <w:r>
              <w:rPr>
                <w:rFonts w:hint="default" w:ascii="Times New Roman" w:hAnsi="Times New Roman" w:eastAsia="宋体" w:cs="Times New Roman"/>
                <w:sz w:val="21"/>
                <w:szCs w:val="21"/>
              </w:rPr>
              <w:t>申报情形</w:t>
            </w:r>
          </w:p>
        </w:tc>
        <w:tc>
          <w:tcPr>
            <w:tcW w:w="3190" w:type="dxa"/>
            <w:vAlign w:val="center"/>
          </w:tcPr>
          <w:p>
            <w:pPr>
              <w:adjustRightInd w:val="0"/>
              <w:snapToGrid w:val="0"/>
              <w:spacing w:line="240" w:lineRule="auto"/>
              <w:jc w:val="left"/>
              <w:rPr>
                <w:rFonts w:hint="default" w:ascii="Times New Roman" w:hAnsi="Times New Roman" w:eastAsia="宋体" w:cs="Times New Roman"/>
                <w:sz w:val="21"/>
                <w:szCs w:val="21"/>
              </w:rPr>
            </w:pPr>
            <w:r>
              <w:rPr>
                <w:rFonts w:hint="default" w:ascii="Times New Roman" w:hAnsi="Times New Roman" w:eastAsia="宋体" w:cs="Times New Roman"/>
                <w:sz w:val="21"/>
                <w:szCs w:val="21"/>
              </w:rPr>
              <w:sym w:font="Wingdings 2" w:char="0052"/>
            </w:r>
            <w:r>
              <w:rPr>
                <w:rFonts w:hint="default" w:ascii="Times New Roman" w:hAnsi="Times New Roman" w:eastAsia="宋体" w:cs="Times New Roman"/>
                <w:sz w:val="21"/>
                <w:szCs w:val="21"/>
              </w:rPr>
              <w:t xml:space="preserve">首次申报项目             </w:t>
            </w:r>
          </w:p>
          <w:p>
            <w:pPr>
              <w:adjustRightInd w:val="0"/>
              <w:snapToGrid w:val="0"/>
              <w:spacing w:line="240" w:lineRule="auto"/>
              <w:jc w:val="left"/>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□不予批准后再次申报项目</w:t>
            </w:r>
          </w:p>
          <w:p>
            <w:pPr>
              <w:adjustRightInd w:val="0"/>
              <w:snapToGrid w:val="0"/>
              <w:spacing w:line="240" w:lineRule="auto"/>
              <w:jc w:val="left"/>
              <w:rPr>
                <w:rFonts w:hint="default" w:ascii="Times New Roman" w:hAnsi="Times New Roman" w:eastAsia="宋体" w:cs="Times New Roman"/>
                <w:sz w:val="21"/>
                <w:szCs w:val="21"/>
              </w:rPr>
            </w:pPr>
            <w:r>
              <w:rPr>
                <w:rFonts w:hint="default" w:ascii="Times New Roman" w:hAnsi="Times New Roman" w:eastAsia="宋体" w:cs="Times New Roman"/>
                <w:sz w:val="21"/>
                <w:szCs w:val="21"/>
              </w:rPr>
              <w:sym w:font="Wingdings 2" w:char="00A3"/>
            </w:r>
            <w:r>
              <w:rPr>
                <w:rFonts w:hint="default" w:ascii="Times New Roman" w:hAnsi="Times New Roman" w:eastAsia="宋体" w:cs="Times New Roman"/>
                <w:sz w:val="21"/>
                <w:szCs w:val="21"/>
              </w:rPr>
              <w:t xml:space="preserve">超五年重新审核项目     </w:t>
            </w:r>
          </w:p>
          <w:p>
            <w:pPr>
              <w:adjustRightInd w:val="0"/>
              <w:snapToGrid w:val="0"/>
              <w:spacing w:line="240" w:lineRule="auto"/>
              <w:jc w:val="left"/>
              <w:rPr>
                <w:rFonts w:hint="default" w:ascii="Times New Roman" w:hAnsi="Times New Roman" w:eastAsia="宋体" w:cs="Times New Roman"/>
                <w:color w:val="auto"/>
                <w:sz w:val="24"/>
                <w:szCs w:val="24"/>
                <w:u w:val="none" w:color="auto"/>
              </w:rPr>
            </w:pPr>
            <w:r>
              <w:rPr>
                <w:rFonts w:hint="default" w:ascii="Times New Roman" w:hAnsi="Times New Roman" w:eastAsia="宋体" w:cs="Times New Roman"/>
                <w:sz w:val="21"/>
                <w:szCs w:val="21"/>
              </w:rPr>
              <w:t>□重大变动重新报批项目</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1413" w:type="dxa"/>
            <w:tcMar>
              <w:top w:w="16" w:type="dxa"/>
              <w:left w:w="16" w:type="dxa"/>
              <w:right w:w="16" w:type="dxa"/>
            </w:tcMar>
            <w:vAlign w:val="center"/>
          </w:tcPr>
          <w:p>
            <w:pPr>
              <w:keepNext w:val="0"/>
              <w:keepLines w:val="0"/>
              <w:pageBreakBefore w:val="0"/>
              <w:widowControl w:val="0"/>
              <w:kinsoku/>
              <w:wordWrap/>
              <w:overflowPunct/>
              <w:topLinePunct w:val="0"/>
              <w:bidi w:val="0"/>
              <w:adjustRightInd w:val="0"/>
              <w:snapToGrid w:val="0"/>
              <w:spacing w:line="360" w:lineRule="exact"/>
              <w:jc w:val="center"/>
              <w:textAlignment w:val="auto"/>
              <w:rPr>
                <w:rFonts w:hint="default" w:ascii="Times New Roman" w:hAnsi="Times New Roman" w:eastAsia="宋体" w:cs="Times New Roman"/>
                <w:color w:val="auto"/>
                <w:sz w:val="24"/>
                <w:szCs w:val="24"/>
                <w:u w:val="none" w:color="auto"/>
              </w:rPr>
            </w:pPr>
            <w:r>
              <w:rPr>
                <w:rFonts w:hint="default" w:ascii="Times New Roman" w:hAnsi="Times New Roman" w:eastAsia="宋体" w:cs="Times New Roman"/>
                <w:color w:val="auto"/>
                <w:sz w:val="24"/>
                <w:szCs w:val="24"/>
                <w:u w:val="none" w:color="auto"/>
              </w:rPr>
              <w:t>项目审批（核准/备案）部门（选填）</w:t>
            </w:r>
          </w:p>
        </w:tc>
        <w:tc>
          <w:tcPr>
            <w:tcW w:w="2366" w:type="dxa"/>
            <w:vAlign w:val="center"/>
          </w:tcPr>
          <w:p>
            <w:pPr>
              <w:adjustRightInd w:val="0"/>
              <w:snapToGrid w:val="0"/>
              <w:spacing w:line="240" w:lineRule="auto"/>
              <w:jc w:val="center"/>
              <w:rPr>
                <w:rFonts w:hint="default" w:ascii="Times New Roman" w:hAnsi="Times New Roman" w:eastAsia="宋体" w:cs="Times New Roman"/>
                <w:color w:val="auto"/>
                <w:sz w:val="24"/>
                <w:szCs w:val="24"/>
                <w:u w:val="none" w:color="auto"/>
                <w:lang w:val="en-US" w:eastAsia="zh-CN"/>
              </w:rPr>
            </w:pPr>
            <w:r>
              <w:rPr>
                <w:rFonts w:hint="default" w:ascii="Times New Roman" w:hAnsi="Times New Roman" w:eastAsia="宋体" w:cs="Times New Roman"/>
                <w:sz w:val="21"/>
                <w:szCs w:val="21"/>
                <w:lang w:val="en-US" w:eastAsia="zh-CN"/>
              </w:rPr>
              <w:t>祁东县发展和改革局</w:t>
            </w:r>
          </w:p>
        </w:tc>
        <w:tc>
          <w:tcPr>
            <w:tcW w:w="2803" w:type="dxa"/>
            <w:vAlign w:val="center"/>
          </w:tcPr>
          <w:p>
            <w:pPr>
              <w:adjustRightInd w:val="0"/>
              <w:snapToGrid w:val="0"/>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项目审批（核准/</w:t>
            </w:r>
          </w:p>
          <w:p>
            <w:pPr>
              <w:adjustRightInd w:val="0"/>
              <w:snapToGrid w:val="0"/>
              <w:spacing w:line="240" w:lineRule="auto"/>
              <w:jc w:val="center"/>
              <w:rPr>
                <w:rFonts w:hint="default" w:ascii="Times New Roman" w:hAnsi="Times New Roman" w:eastAsia="宋体" w:cs="Times New Roman"/>
                <w:color w:val="auto"/>
                <w:sz w:val="24"/>
                <w:szCs w:val="24"/>
                <w:u w:val="none" w:color="auto"/>
              </w:rPr>
            </w:pPr>
            <w:r>
              <w:rPr>
                <w:rFonts w:hint="default" w:ascii="Times New Roman" w:hAnsi="Times New Roman" w:eastAsia="宋体" w:cs="Times New Roman"/>
                <w:sz w:val="21"/>
                <w:szCs w:val="21"/>
              </w:rPr>
              <w:t>备案）文号（选填）</w:t>
            </w:r>
          </w:p>
        </w:tc>
        <w:tc>
          <w:tcPr>
            <w:tcW w:w="3190" w:type="dxa"/>
            <w:vAlign w:val="center"/>
          </w:tcPr>
          <w:p>
            <w:pPr>
              <w:adjustRightInd w:val="0"/>
              <w:snapToGrid w:val="0"/>
              <w:spacing w:line="240" w:lineRule="auto"/>
              <w:jc w:val="center"/>
              <w:rPr>
                <w:rFonts w:hint="default" w:ascii="Times New Roman" w:hAnsi="Times New Roman" w:eastAsia="宋体" w:cs="Times New Roman"/>
                <w:color w:val="auto"/>
                <w:sz w:val="24"/>
                <w:szCs w:val="24"/>
                <w:u w:val="none" w:color="auto"/>
                <w:lang w:val="en-US" w:eastAsia="zh-CN"/>
              </w:rPr>
            </w:pPr>
            <w:r>
              <w:rPr>
                <w:rFonts w:hint="default" w:ascii="Times New Roman" w:hAnsi="Times New Roman" w:eastAsia="宋体" w:cs="Times New Roman"/>
                <w:sz w:val="21"/>
                <w:szCs w:val="21"/>
                <w:lang w:val="en-US" w:eastAsia="zh-CN"/>
              </w:rPr>
              <w:t>2209-430426-04-01-697956</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1413" w:type="dxa"/>
            <w:tcMar>
              <w:top w:w="16" w:type="dxa"/>
              <w:left w:w="16" w:type="dxa"/>
              <w:right w:w="16" w:type="dxa"/>
            </w:tcMar>
            <w:vAlign w:val="center"/>
          </w:tcPr>
          <w:p>
            <w:pPr>
              <w:keepNext w:val="0"/>
              <w:keepLines w:val="0"/>
              <w:pageBreakBefore w:val="0"/>
              <w:widowControl w:val="0"/>
              <w:kinsoku/>
              <w:wordWrap/>
              <w:overflowPunct/>
              <w:topLinePunct w:val="0"/>
              <w:bidi w:val="0"/>
              <w:adjustRightInd w:val="0"/>
              <w:snapToGrid w:val="0"/>
              <w:spacing w:line="360" w:lineRule="exact"/>
              <w:jc w:val="center"/>
              <w:textAlignment w:val="auto"/>
              <w:rPr>
                <w:rFonts w:hint="default" w:ascii="Times New Roman" w:hAnsi="Times New Roman" w:eastAsia="宋体" w:cs="Times New Roman"/>
                <w:color w:val="auto"/>
                <w:sz w:val="24"/>
                <w:szCs w:val="24"/>
                <w:u w:val="none" w:color="auto"/>
              </w:rPr>
            </w:pPr>
            <w:r>
              <w:rPr>
                <w:rFonts w:hint="default" w:ascii="Times New Roman" w:hAnsi="Times New Roman" w:eastAsia="宋体" w:cs="Times New Roman"/>
                <w:color w:val="auto"/>
                <w:sz w:val="24"/>
                <w:szCs w:val="24"/>
                <w:u w:val="none" w:color="auto"/>
              </w:rPr>
              <w:t>总投资（万元）</w:t>
            </w:r>
          </w:p>
        </w:tc>
        <w:tc>
          <w:tcPr>
            <w:tcW w:w="2366" w:type="dxa"/>
            <w:vAlign w:val="center"/>
          </w:tcPr>
          <w:p>
            <w:pPr>
              <w:adjustRightInd w:val="0"/>
              <w:snapToGrid w:val="0"/>
              <w:spacing w:line="240" w:lineRule="auto"/>
              <w:jc w:val="center"/>
              <w:rPr>
                <w:rFonts w:hint="default" w:ascii="Times New Roman" w:hAnsi="Times New Roman" w:eastAsia="宋体" w:cs="Times New Roman"/>
                <w:color w:val="auto"/>
                <w:sz w:val="24"/>
                <w:szCs w:val="24"/>
                <w:highlight w:val="none"/>
                <w:u w:val="none" w:color="auto"/>
                <w:lang w:val="en-US" w:eastAsia="zh-CN"/>
              </w:rPr>
            </w:pPr>
            <w:r>
              <w:rPr>
                <w:rFonts w:hint="default" w:ascii="Times New Roman" w:hAnsi="Times New Roman" w:eastAsia="宋体" w:cs="Times New Roman"/>
                <w:sz w:val="21"/>
                <w:szCs w:val="21"/>
                <w:lang w:val="en-US" w:eastAsia="zh-CN"/>
              </w:rPr>
              <w:t>2000</w:t>
            </w:r>
          </w:p>
        </w:tc>
        <w:tc>
          <w:tcPr>
            <w:tcW w:w="2803" w:type="dxa"/>
            <w:tcMar>
              <w:top w:w="16" w:type="dxa"/>
              <w:left w:w="16" w:type="dxa"/>
              <w:right w:w="16" w:type="dxa"/>
            </w:tcMar>
            <w:vAlign w:val="center"/>
          </w:tcPr>
          <w:p>
            <w:pPr>
              <w:adjustRightInd w:val="0"/>
              <w:snapToGrid w:val="0"/>
              <w:spacing w:line="240" w:lineRule="auto"/>
              <w:jc w:val="center"/>
              <w:rPr>
                <w:rFonts w:hint="default" w:ascii="Times New Roman" w:hAnsi="Times New Roman" w:eastAsia="宋体" w:cs="Times New Roman"/>
                <w:color w:val="auto"/>
                <w:sz w:val="24"/>
                <w:szCs w:val="24"/>
                <w:highlight w:val="none"/>
                <w:u w:val="none" w:color="auto"/>
              </w:rPr>
            </w:pPr>
            <w:r>
              <w:rPr>
                <w:rFonts w:hint="default" w:ascii="Times New Roman" w:hAnsi="Times New Roman" w:eastAsia="宋体" w:cs="Times New Roman"/>
                <w:sz w:val="21"/>
                <w:szCs w:val="21"/>
              </w:rPr>
              <w:t>环保投资（万元）</w:t>
            </w:r>
          </w:p>
        </w:tc>
        <w:tc>
          <w:tcPr>
            <w:tcW w:w="3190" w:type="dxa"/>
            <w:vAlign w:val="center"/>
          </w:tcPr>
          <w:p>
            <w:pPr>
              <w:adjustRightInd w:val="0"/>
              <w:snapToGrid w:val="0"/>
              <w:spacing w:line="240" w:lineRule="auto"/>
              <w:jc w:val="center"/>
              <w:rPr>
                <w:rFonts w:hint="default" w:ascii="Times New Roman" w:hAnsi="Times New Roman" w:eastAsia="宋体" w:cs="Times New Roman"/>
                <w:color w:val="auto"/>
                <w:sz w:val="24"/>
                <w:szCs w:val="24"/>
                <w:highlight w:val="none"/>
                <w:u w:val="none" w:color="auto"/>
                <w:lang w:val="en-US" w:eastAsia="zh-CN"/>
              </w:rPr>
            </w:pPr>
            <w:r>
              <w:rPr>
                <w:rFonts w:hint="default" w:ascii="Times New Roman" w:hAnsi="Times New Roman" w:eastAsia="宋体" w:cs="Times New Roman"/>
                <w:sz w:val="21"/>
                <w:szCs w:val="21"/>
                <w:lang w:val="en-US" w:eastAsia="zh-CN"/>
              </w:rPr>
              <w:t>50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1413" w:type="dxa"/>
            <w:tcMar>
              <w:top w:w="16" w:type="dxa"/>
              <w:left w:w="16" w:type="dxa"/>
              <w:right w:w="16" w:type="dxa"/>
            </w:tcMar>
            <w:vAlign w:val="center"/>
          </w:tcPr>
          <w:p>
            <w:pPr>
              <w:keepNext w:val="0"/>
              <w:keepLines w:val="0"/>
              <w:pageBreakBefore w:val="0"/>
              <w:widowControl w:val="0"/>
              <w:kinsoku/>
              <w:wordWrap/>
              <w:overflowPunct/>
              <w:topLinePunct w:val="0"/>
              <w:bidi w:val="0"/>
              <w:adjustRightInd w:val="0"/>
              <w:snapToGrid w:val="0"/>
              <w:spacing w:line="360" w:lineRule="exact"/>
              <w:jc w:val="center"/>
              <w:textAlignment w:val="auto"/>
              <w:rPr>
                <w:rFonts w:hint="default" w:ascii="Times New Roman" w:hAnsi="Times New Roman" w:eastAsia="宋体" w:cs="Times New Roman"/>
                <w:color w:val="auto"/>
                <w:sz w:val="24"/>
                <w:szCs w:val="24"/>
                <w:u w:val="none" w:color="auto"/>
              </w:rPr>
            </w:pPr>
            <w:r>
              <w:rPr>
                <w:rFonts w:hint="default" w:ascii="Times New Roman" w:hAnsi="Times New Roman" w:eastAsia="宋体" w:cs="Times New Roman"/>
                <w:color w:val="auto"/>
                <w:sz w:val="24"/>
                <w:szCs w:val="24"/>
                <w:u w:val="none" w:color="auto"/>
              </w:rPr>
              <w:t>环保投资占比（%）</w:t>
            </w:r>
          </w:p>
        </w:tc>
        <w:tc>
          <w:tcPr>
            <w:tcW w:w="2366" w:type="dxa"/>
            <w:vAlign w:val="center"/>
          </w:tcPr>
          <w:p>
            <w:pPr>
              <w:adjustRightInd w:val="0"/>
              <w:snapToGrid w:val="0"/>
              <w:spacing w:line="240" w:lineRule="auto"/>
              <w:jc w:val="center"/>
              <w:rPr>
                <w:rFonts w:hint="default" w:ascii="Times New Roman" w:hAnsi="Times New Roman" w:eastAsia="宋体" w:cs="Times New Roman"/>
                <w:color w:val="auto"/>
                <w:sz w:val="24"/>
                <w:szCs w:val="24"/>
                <w:highlight w:val="none"/>
                <w:u w:val="none" w:color="auto"/>
                <w:lang w:val="en-US" w:eastAsia="zh-CN"/>
              </w:rPr>
            </w:pPr>
            <w:r>
              <w:rPr>
                <w:rFonts w:hint="eastAsia" w:cs="Times New Roman"/>
                <w:sz w:val="21"/>
                <w:szCs w:val="21"/>
                <w:lang w:val="en-US" w:eastAsia="zh-CN"/>
              </w:rPr>
              <w:t>2.5</w:t>
            </w:r>
          </w:p>
        </w:tc>
        <w:tc>
          <w:tcPr>
            <w:tcW w:w="2803" w:type="dxa"/>
            <w:tcMar>
              <w:top w:w="16" w:type="dxa"/>
              <w:left w:w="16" w:type="dxa"/>
              <w:right w:w="16" w:type="dxa"/>
            </w:tcMar>
            <w:vAlign w:val="center"/>
          </w:tcPr>
          <w:p>
            <w:pPr>
              <w:adjustRightInd w:val="0"/>
              <w:snapToGrid w:val="0"/>
              <w:spacing w:line="240" w:lineRule="auto"/>
              <w:jc w:val="center"/>
              <w:rPr>
                <w:rFonts w:hint="default" w:ascii="Times New Roman" w:hAnsi="Times New Roman" w:eastAsia="宋体" w:cs="Times New Roman"/>
                <w:color w:val="auto"/>
                <w:sz w:val="24"/>
                <w:szCs w:val="24"/>
                <w:highlight w:val="none"/>
                <w:u w:val="none" w:color="auto"/>
              </w:rPr>
            </w:pPr>
            <w:r>
              <w:rPr>
                <w:rFonts w:hint="default" w:ascii="Times New Roman" w:hAnsi="Times New Roman" w:eastAsia="宋体" w:cs="Times New Roman"/>
                <w:sz w:val="21"/>
                <w:szCs w:val="21"/>
              </w:rPr>
              <w:t>施工工期</w:t>
            </w:r>
          </w:p>
        </w:tc>
        <w:tc>
          <w:tcPr>
            <w:tcW w:w="3190" w:type="dxa"/>
            <w:vAlign w:val="center"/>
          </w:tcPr>
          <w:p>
            <w:pPr>
              <w:adjustRightInd w:val="0"/>
              <w:snapToGrid w:val="0"/>
              <w:spacing w:line="240" w:lineRule="auto"/>
              <w:jc w:val="center"/>
              <w:rPr>
                <w:rFonts w:hint="default" w:ascii="Times New Roman" w:hAnsi="Times New Roman" w:eastAsia="宋体" w:cs="Times New Roman"/>
                <w:color w:val="auto"/>
                <w:sz w:val="24"/>
                <w:szCs w:val="24"/>
                <w:highlight w:val="none"/>
                <w:u w:val="none" w:color="auto"/>
                <w:lang w:val="en-US" w:eastAsia="zh-CN"/>
              </w:rPr>
            </w:pPr>
            <w:r>
              <w:rPr>
                <w:rFonts w:hint="default" w:ascii="Times New Roman" w:hAnsi="Times New Roman" w:eastAsia="宋体" w:cs="Times New Roman"/>
                <w:sz w:val="21"/>
                <w:szCs w:val="21"/>
                <w:lang w:val="en-US" w:eastAsia="zh-CN"/>
              </w:rPr>
              <w:t>2个月</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1413" w:type="dxa"/>
            <w:tcMar>
              <w:top w:w="16" w:type="dxa"/>
              <w:left w:w="16" w:type="dxa"/>
              <w:right w:w="16" w:type="dxa"/>
            </w:tcMar>
            <w:vAlign w:val="center"/>
          </w:tcPr>
          <w:p>
            <w:pPr>
              <w:keepNext w:val="0"/>
              <w:keepLines w:val="0"/>
              <w:pageBreakBefore w:val="0"/>
              <w:widowControl w:val="0"/>
              <w:kinsoku/>
              <w:wordWrap/>
              <w:overflowPunct/>
              <w:topLinePunct w:val="0"/>
              <w:bidi w:val="0"/>
              <w:adjustRightInd w:val="0"/>
              <w:snapToGrid w:val="0"/>
              <w:spacing w:line="360" w:lineRule="exact"/>
              <w:jc w:val="center"/>
              <w:textAlignment w:val="auto"/>
              <w:rPr>
                <w:rFonts w:hint="default" w:ascii="Times New Roman" w:hAnsi="Times New Roman" w:eastAsia="宋体" w:cs="Times New Roman"/>
                <w:color w:val="auto"/>
                <w:sz w:val="24"/>
                <w:szCs w:val="24"/>
                <w:u w:val="none" w:color="auto"/>
              </w:rPr>
            </w:pPr>
            <w:r>
              <w:rPr>
                <w:rFonts w:hint="default" w:ascii="Times New Roman" w:hAnsi="Times New Roman" w:eastAsia="宋体" w:cs="Times New Roman"/>
                <w:color w:val="auto"/>
                <w:sz w:val="24"/>
                <w:szCs w:val="24"/>
                <w:u w:val="none" w:color="auto"/>
              </w:rPr>
              <w:t>是否开工建设</w:t>
            </w:r>
          </w:p>
        </w:tc>
        <w:tc>
          <w:tcPr>
            <w:tcW w:w="2366" w:type="dxa"/>
            <w:vAlign w:val="center"/>
          </w:tcPr>
          <w:p>
            <w:pPr>
              <w:adjustRightInd w:val="0"/>
              <w:snapToGrid w:val="0"/>
              <w:spacing w:line="240" w:lineRule="auto"/>
              <w:jc w:val="left"/>
              <w:rPr>
                <w:rFonts w:hint="default" w:ascii="Times New Roman" w:hAnsi="Times New Roman" w:eastAsia="宋体" w:cs="Times New Roman"/>
                <w:sz w:val="21"/>
                <w:szCs w:val="21"/>
              </w:rPr>
            </w:pPr>
            <w:r>
              <w:rPr>
                <w:rFonts w:hint="default" w:ascii="Times New Roman" w:hAnsi="Times New Roman" w:eastAsia="宋体" w:cs="Times New Roman"/>
                <w:sz w:val="21"/>
                <w:szCs w:val="21"/>
              </w:rPr>
              <w:sym w:font="Wingdings 2" w:char="0052"/>
            </w:r>
            <w:r>
              <w:rPr>
                <w:rFonts w:hint="default" w:ascii="Times New Roman" w:hAnsi="Times New Roman" w:eastAsia="宋体" w:cs="Times New Roman"/>
                <w:sz w:val="21"/>
                <w:szCs w:val="21"/>
              </w:rPr>
              <w:t>否</w:t>
            </w:r>
          </w:p>
          <w:p>
            <w:pPr>
              <w:adjustRightInd w:val="0"/>
              <w:snapToGrid w:val="0"/>
              <w:spacing w:line="240" w:lineRule="auto"/>
              <w:jc w:val="left"/>
              <w:rPr>
                <w:rFonts w:hint="default" w:ascii="Times New Roman" w:hAnsi="Times New Roman" w:eastAsia="宋体" w:cs="Times New Roman"/>
                <w:color w:val="auto"/>
                <w:sz w:val="24"/>
                <w:szCs w:val="24"/>
                <w:u w:val="none" w:color="auto"/>
              </w:rPr>
            </w:pPr>
            <w:r>
              <w:rPr>
                <w:rFonts w:hint="default" w:ascii="Times New Roman" w:hAnsi="Times New Roman" w:eastAsia="宋体" w:cs="Times New Roman"/>
                <w:sz w:val="21"/>
                <w:szCs w:val="21"/>
              </w:rPr>
              <w:sym w:font="Wingdings 2" w:char="00A3"/>
            </w:r>
            <w:r>
              <w:rPr>
                <w:rFonts w:hint="default" w:ascii="Times New Roman" w:hAnsi="Times New Roman" w:eastAsia="宋体" w:cs="Times New Roman"/>
                <w:sz w:val="21"/>
                <w:szCs w:val="21"/>
              </w:rPr>
              <w:t xml:space="preserve">是：             </w:t>
            </w:r>
          </w:p>
        </w:tc>
        <w:tc>
          <w:tcPr>
            <w:tcW w:w="2803" w:type="dxa"/>
            <w:tcMar>
              <w:top w:w="16" w:type="dxa"/>
              <w:left w:w="16" w:type="dxa"/>
              <w:right w:w="16" w:type="dxa"/>
            </w:tcMar>
            <w:vAlign w:val="center"/>
          </w:tcPr>
          <w:p>
            <w:pPr>
              <w:adjustRightInd w:val="0"/>
              <w:snapToGrid w:val="0"/>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用地（用海）</w:t>
            </w:r>
          </w:p>
          <w:p>
            <w:pPr>
              <w:adjustRightInd w:val="0"/>
              <w:snapToGrid w:val="0"/>
              <w:spacing w:line="240" w:lineRule="auto"/>
              <w:jc w:val="center"/>
              <w:rPr>
                <w:rFonts w:hint="default" w:ascii="Times New Roman" w:hAnsi="Times New Roman" w:eastAsia="宋体" w:cs="Times New Roman"/>
                <w:color w:val="auto"/>
                <w:sz w:val="24"/>
                <w:szCs w:val="24"/>
                <w:u w:val="none" w:color="auto"/>
              </w:rPr>
            </w:pPr>
            <w:r>
              <w:rPr>
                <w:rFonts w:hint="default" w:ascii="Times New Roman" w:hAnsi="Times New Roman" w:eastAsia="宋体" w:cs="Times New Roman"/>
                <w:sz w:val="21"/>
                <w:szCs w:val="21"/>
              </w:rPr>
              <w:t>面积（m</w:t>
            </w:r>
            <w:r>
              <w:rPr>
                <w:rFonts w:hint="default" w:ascii="Times New Roman" w:hAnsi="Times New Roman" w:eastAsia="宋体" w:cs="Times New Roman"/>
                <w:sz w:val="21"/>
                <w:szCs w:val="21"/>
                <w:vertAlign w:val="superscript"/>
              </w:rPr>
              <w:t>2</w:t>
            </w:r>
            <w:r>
              <w:rPr>
                <w:rFonts w:hint="default" w:ascii="Times New Roman" w:hAnsi="Times New Roman" w:eastAsia="宋体" w:cs="Times New Roman"/>
                <w:sz w:val="21"/>
                <w:szCs w:val="21"/>
              </w:rPr>
              <w:t>）</w:t>
            </w:r>
          </w:p>
        </w:tc>
        <w:tc>
          <w:tcPr>
            <w:tcW w:w="3190" w:type="dxa"/>
            <w:vAlign w:val="center"/>
          </w:tcPr>
          <w:p>
            <w:pPr>
              <w:adjustRightInd w:val="0"/>
              <w:snapToGrid w:val="0"/>
              <w:spacing w:line="240" w:lineRule="auto"/>
              <w:jc w:val="center"/>
              <w:rPr>
                <w:rFonts w:hint="default" w:ascii="Times New Roman" w:hAnsi="Times New Roman" w:eastAsia="宋体" w:cs="Times New Roman"/>
                <w:color w:val="auto"/>
                <w:sz w:val="24"/>
                <w:szCs w:val="24"/>
                <w:u w:val="none" w:color="auto"/>
                <w:lang w:val="en-US" w:eastAsia="zh-CN"/>
              </w:rPr>
            </w:pPr>
            <w:r>
              <w:rPr>
                <w:rFonts w:hint="default" w:ascii="Times New Roman" w:hAnsi="Times New Roman" w:eastAsia="宋体" w:cs="Times New Roman"/>
                <w:sz w:val="21"/>
                <w:szCs w:val="21"/>
                <w:lang w:val="en-US" w:eastAsia="zh-CN"/>
              </w:rPr>
              <w:t>10666.72</w:t>
            </w:r>
            <w:r>
              <w:rPr>
                <w:rFonts w:hint="default" w:ascii="Times New Roman" w:hAnsi="Times New Roman" w:eastAsia="宋体" w:cs="Times New Roman"/>
                <w:sz w:val="21"/>
                <w:szCs w:val="21"/>
              </w:rPr>
              <w:t>m</w:t>
            </w:r>
            <w:r>
              <w:rPr>
                <w:rFonts w:hint="default" w:ascii="Times New Roman" w:hAnsi="Times New Roman" w:eastAsia="宋体" w:cs="Times New Roman"/>
                <w:sz w:val="21"/>
                <w:szCs w:val="21"/>
                <w:vertAlign w:val="superscript"/>
              </w:rPr>
              <w:t>2</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413" w:type="dxa"/>
            <w:vAlign w:val="center"/>
          </w:tcPr>
          <w:p>
            <w:pPr>
              <w:keepNext w:val="0"/>
              <w:keepLines w:val="0"/>
              <w:pageBreakBefore w:val="0"/>
              <w:widowControl w:val="0"/>
              <w:kinsoku/>
              <w:wordWrap/>
              <w:overflowPunct/>
              <w:topLinePunct w:val="0"/>
              <w:autoSpaceDE w:val="0"/>
              <w:autoSpaceDN w:val="0"/>
              <w:bidi w:val="0"/>
              <w:adjustRightInd w:val="0"/>
              <w:snapToGrid w:val="0"/>
              <w:spacing w:line="360" w:lineRule="exact"/>
              <w:jc w:val="center"/>
              <w:textAlignment w:val="auto"/>
              <w:rPr>
                <w:rFonts w:hint="default" w:ascii="Times New Roman" w:hAnsi="Times New Roman" w:eastAsia="宋体" w:cs="Times New Roman"/>
                <w:color w:val="auto"/>
                <w:kern w:val="0"/>
                <w:sz w:val="24"/>
                <w:szCs w:val="24"/>
                <w:u w:val="none" w:color="auto"/>
              </w:rPr>
            </w:pPr>
            <w:r>
              <w:rPr>
                <w:rFonts w:hint="default" w:ascii="Times New Roman" w:hAnsi="Times New Roman" w:eastAsia="宋体" w:cs="Times New Roman"/>
                <w:color w:val="auto"/>
                <w:kern w:val="0"/>
                <w:sz w:val="24"/>
                <w:szCs w:val="24"/>
                <w:u w:val="none" w:color="auto"/>
              </w:rPr>
              <w:t>专项评价设置情况</w:t>
            </w:r>
          </w:p>
        </w:tc>
        <w:tc>
          <w:tcPr>
            <w:tcW w:w="8359" w:type="dxa"/>
            <w:gridSpan w:val="3"/>
            <w:vAlign w:val="center"/>
          </w:tcPr>
          <w:p>
            <w:pPr>
              <w:adjustRightInd w:val="0"/>
              <w:snapToGrid w:val="0"/>
              <w:spacing w:line="240" w:lineRule="auto"/>
              <w:jc w:val="center"/>
              <w:rPr>
                <w:rFonts w:hint="default" w:ascii="Times New Roman" w:hAnsi="Times New Roman" w:eastAsia="宋体" w:cs="Times New Roman"/>
                <w:color w:val="auto"/>
                <w:kern w:val="0"/>
                <w:sz w:val="24"/>
                <w:szCs w:val="24"/>
                <w:u w:val="none" w:color="auto"/>
                <w:lang w:val="en-US" w:eastAsia="zh-CN"/>
              </w:rPr>
            </w:pPr>
            <w:r>
              <w:rPr>
                <w:rFonts w:hint="default" w:ascii="Times New Roman" w:hAnsi="Times New Roman" w:eastAsia="宋体" w:cs="Times New Roman"/>
                <w:sz w:val="21"/>
                <w:szCs w:val="21"/>
                <w:lang w:val="en-US" w:eastAsia="zh-CN"/>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66" w:hRule="atLeast"/>
          <w:jc w:val="center"/>
        </w:trPr>
        <w:tc>
          <w:tcPr>
            <w:tcW w:w="1413" w:type="dxa"/>
            <w:vAlign w:val="center"/>
          </w:tcPr>
          <w:p>
            <w:pPr>
              <w:keepNext w:val="0"/>
              <w:keepLines w:val="0"/>
              <w:pageBreakBefore w:val="0"/>
              <w:widowControl w:val="0"/>
              <w:kinsoku/>
              <w:wordWrap/>
              <w:overflowPunct/>
              <w:topLinePunct w:val="0"/>
              <w:autoSpaceDE w:val="0"/>
              <w:autoSpaceDN w:val="0"/>
              <w:bidi w:val="0"/>
              <w:adjustRightInd w:val="0"/>
              <w:snapToGrid w:val="0"/>
              <w:spacing w:line="360" w:lineRule="exact"/>
              <w:jc w:val="center"/>
              <w:textAlignment w:val="auto"/>
              <w:rPr>
                <w:rFonts w:hint="default" w:ascii="Times New Roman" w:hAnsi="Times New Roman" w:eastAsia="宋体" w:cs="Times New Roman"/>
                <w:color w:val="auto"/>
                <w:kern w:val="0"/>
                <w:sz w:val="24"/>
                <w:szCs w:val="24"/>
                <w:u w:val="none" w:color="auto"/>
              </w:rPr>
            </w:pPr>
            <w:r>
              <w:rPr>
                <w:rFonts w:hint="default" w:ascii="Times New Roman" w:hAnsi="Times New Roman" w:eastAsia="宋体" w:cs="Times New Roman"/>
                <w:color w:val="auto"/>
                <w:sz w:val="24"/>
                <w:szCs w:val="24"/>
                <w:u w:val="none" w:color="auto"/>
              </w:rPr>
              <w:t>规划情况</w:t>
            </w:r>
          </w:p>
        </w:tc>
        <w:tc>
          <w:tcPr>
            <w:tcW w:w="8359" w:type="dxa"/>
            <w:gridSpan w:val="3"/>
            <w:vAlign w:val="center"/>
          </w:tcPr>
          <w:p>
            <w:pPr>
              <w:adjustRightInd w:val="0"/>
              <w:snapToGrid w:val="0"/>
              <w:spacing w:line="240" w:lineRule="auto"/>
              <w:jc w:val="both"/>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规划名称：《祁东经济园区归阳工业园总体规划》（2012-2020年）</w:t>
            </w:r>
          </w:p>
          <w:p>
            <w:pPr>
              <w:adjustRightInd w:val="0"/>
              <w:snapToGrid w:val="0"/>
              <w:spacing w:line="240" w:lineRule="auto"/>
              <w:jc w:val="both"/>
              <w:rPr>
                <w:rFonts w:hint="default" w:ascii="Times New Roman" w:hAnsi="Times New Roman" w:eastAsia="宋体" w:cs="Times New Roman"/>
                <w:color w:val="auto"/>
                <w:kern w:val="0"/>
                <w:sz w:val="24"/>
                <w:szCs w:val="24"/>
                <w:u w:val="none" w:color="auto"/>
                <w:lang w:val="en-US" w:eastAsia="zh-CN"/>
              </w:rPr>
            </w:pPr>
            <w:r>
              <w:rPr>
                <w:rFonts w:hint="default" w:ascii="Times New Roman" w:hAnsi="Times New Roman" w:eastAsia="宋体" w:cs="Times New Roman"/>
                <w:sz w:val="21"/>
                <w:szCs w:val="21"/>
                <w:lang w:val="en-US" w:eastAsia="zh-CN"/>
              </w:rPr>
              <w:t>审批机关：湖南省人民政府</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434" w:hRule="atLeast"/>
          <w:jc w:val="center"/>
        </w:trPr>
        <w:tc>
          <w:tcPr>
            <w:tcW w:w="1413" w:type="dxa"/>
            <w:vAlign w:val="center"/>
          </w:tcPr>
          <w:p>
            <w:pPr>
              <w:keepNext w:val="0"/>
              <w:keepLines w:val="0"/>
              <w:pageBreakBefore w:val="0"/>
              <w:widowControl w:val="0"/>
              <w:kinsoku/>
              <w:wordWrap/>
              <w:overflowPunct/>
              <w:topLinePunct w:val="0"/>
              <w:bidi w:val="0"/>
              <w:adjustRightInd w:val="0"/>
              <w:snapToGrid w:val="0"/>
              <w:spacing w:line="360" w:lineRule="exact"/>
              <w:jc w:val="center"/>
              <w:textAlignment w:val="auto"/>
              <w:rPr>
                <w:rFonts w:hint="default" w:ascii="Times New Roman" w:hAnsi="Times New Roman" w:eastAsia="宋体" w:cs="Times New Roman"/>
                <w:color w:val="auto"/>
                <w:sz w:val="24"/>
                <w:szCs w:val="24"/>
                <w:u w:val="none" w:color="auto"/>
              </w:rPr>
            </w:pPr>
            <w:r>
              <w:rPr>
                <w:rFonts w:hint="default" w:ascii="Times New Roman" w:hAnsi="Times New Roman" w:eastAsia="宋体" w:cs="Times New Roman"/>
                <w:color w:val="auto"/>
                <w:sz w:val="24"/>
                <w:szCs w:val="24"/>
                <w:u w:val="none" w:color="auto"/>
              </w:rPr>
              <w:t>规划环境影响评价情况</w:t>
            </w:r>
          </w:p>
        </w:tc>
        <w:tc>
          <w:tcPr>
            <w:tcW w:w="8359" w:type="dxa"/>
            <w:gridSpan w:val="3"/>
            <w:vAlign w:val="center"/>
          </w:tcPr>
          <w:p>
            <w:pPr>
              <w:adjustRightInd w:val="0"/>
              <w:snapToGrid w:val="0"/>
              <w:spacing w:line="240" w:lineRule="auto"/>
              <w:jc w:val="left"/>
              <w:rPr>
                <w:rFonts w:hint="default" w:ascii="Times New Roman" w:hAnsi="Times New Roman" w:eastAsia="宋体" w:cs="Times New Roman"/>
                <w:sz w:val="21"/>
                <w:szCs w:val="21"/>
              </w:rPr>
            </w:pPr>
            <w:r>
              <w:rPr>
                <w:rFonts w:hint="default" w:ascii="Times New Roman" w:hAnsi="Times New Roman" w:eastAsia="宋体" w:cs="Times New Roman"/>
                <w:sz w:val="21"/>
                <w:szCs w:val="21"/>
              </w:rPr>
              <w:t>规划环境影响评价文件名称：《祁东经济开发区归阳工业园环境影响报告书》</w:t>
            </w:r>
          </w:p>
          <w:p>
            <w:pPr>
              <w:adjustRightInd w:val="0"/>
              <w:snapToGrid w:val="0"/>
              <w:spacing w:line="240" w:lineRule="auto"/>
              <w:jc w:val="left"/>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审批机关：湖南省环境保护厅（现湖南省生态环境厅）</w:t>
            </w:r>
          </w:p>
          <w:p>
            <w:pPr>
              <w:adjustRightInd w:val="0"/>
              <w:snapToGrid w:val="0"/>
              <w:spacing w:line="240" w:lineRule="auto"/>
              <w:jc w:val="left"/>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审批文件名称及文号：《湖南省环境保护厅（现湖南省生态环境厅）关于祁东经济开发区归阳工业园环境影响报告书的批复的函》（湘环评函[2014]89号）</w:t>
            </w:r>
          </w:p>
          <w:p>
            <w:pPr>
              <w:adjustRightInd w:val="0"/>
              <w:snapToGrid w:val="0"/>
              <w:spacing w:line="240" w:lineRule="auto"/>
              <w:jc w:val="left"/>
              <w:rPr>
                <w:rFonts w:hint="default" w:ascii="Times New Roman" w:hAnsi="Times New Roman" w:eastAsia="宋体" w:cs="Times New Roman"/>
                <w:sz w:val="21"/>
                <w:szCs w:val="21"/>
              </w:rPr>
            </w:pPr>
            <w:r>
              <w:rPr>
                <w:rFonts w:hint="default" w:ascii="Times New Roman" w:hAnsi="Times New Roman" w:eastAsia="宋体" w:cs="Times New Roman"/>
                <w:sz w:val="21"/>
                <w:szCs w:val="21"/>
              </w:rPr>
              <w:t>规划环境影响评价文件名称：《祁东经济开发区环境影响跟踪评价报告书》</w:t>
            </w:r>
          </w:p>
          <w:p>
            <w:pPr>
              <w:adjustRightInd w:val="0"/>
              <w:snapToGrid w:val="0"/>
              <w:spacing w:line="240" w:lineRule="auto"/>
              <w:jc w:val="left"/>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审批机关：湖南省生态环境厅</w:t>
            </w:r>
          </w:p>
          <w:p>
            <w:pPr>
              <w:adjustRightInd w:val="0"/>
              <w:snapToGrid w:val="0"/>
              <w:spacing w:line="240" w:lineRule="auto"/>
              <w:jc w:val="left"/>
              <w:rPr>
                <w:rFonts w:hint="eastAsia" w:ascii="Times New Roman" w:hAnsi="Times New Roman" w:eastAsia="宋体" w:cs="Times New Roman"/>
                <w:color w:val="auto"/>
                <w:sz w:val="24"/>
                <w:szCs w:val="24"/>
                <w:u w:val="none" w:color="auto"/>
                <w:lang w:val="en-US" w:eastAsia="zh-CN"/>
              </w:rPr>
            </w:pPr>
            <w:r>
              <w:rPr>
                <w:rFonts w:hint="default" w:ascii="Times New Roman" w:hAnsi="Times New Roman" w:eastAsia="宋体" w:cs="Times New Roman"/>
                <w:sz w:val="21"/>
                <w:szCs w:val="21"/>
              </w:rPr>
              <w:t>审批文件名称及文号：《湖南省生态环境厅关于</w:t>
            </w:r>
            <w:r>
              <w:rPr>
                <w:rFonts w:hint="eastAsia" w:cs="Times New Roman"/>
                <w:sz w:val="21"/>
                <w:szCs w:val="21"/>
                <w:lang w:val="en-US" w:eastAsia="zh-CN"/>
              </w:rPr>
              <w:t>湖南省</w:t>
            </w:r>
            <w:r>
              <w:rPr>
                <w:rFonts w:hint="default" w:ascii="Times New Roman" w:hAnsi="Times New Roman" w:eastAsia="宋体" w:cs="Times New Roman"/>
                <w:sz w:val="21"/>
                <w:szCs w:val="21"/>
              </w:rPr>
              <w:t>祁东经济开发区归阳工业园环境影响</w:t>
            </w:r>
            <w:r>
              <w:rPr>
                <w:rFonts w:hint="eastAsia" w:cs="Times New Roman"/>
                <w:sz w:val="21"/>
                <w:szCs w:val="21"/>
                <w:lang w:val="en-US" w:eastAsia="zh-CN"/>
              </w:rPr>
              <w:t>跟踪评价工作意见的</w:t>
            </w:r>
            <w:r>
              <w:rPr>
                <w:rFonts w:hint="default" w:ascii="Times New Roman" w:hAnsi="Times New Roman" w:eastAsia="宋体" w:cs="Times New Roman"/>
                <w:sz w:val="21"/>
                <w:szCs w:val="21"/>
              </w:rPr>
              <w:t>函》（湘环评函[20</w:t>
            </w:r>
            <w:r>
              <w:rPr>
                <w:rFonts w:hint="eastAsia" w:cs="Times New Roman"/>
                <w:sz w:val="21"/>
                <w:szCs w:val="21"/>
                <w:lang w:val="en-US" w:eastAsia="zh-CN"/>
              </w:rPr>
              <w:t>22</w:t>
            </w:r>
            <w:r>
              <w:rPr>
                <w:rFonts w:hint="default" w:ascii="Times New Roman" w:hAnsi="Times New Roman" w:eastAsia="宋体" w:cs="Times New Roman"/>
                <w:sz w:val="21"/>
                <w:szCs w:val="21"/>
              </w:rPr>
              <w:t>]</w:t>
            </w:r>
            <w:r>
              <w:rPr>
                <w:rFonts w:hint="eastAsia" w:cs="Times New Roman"/>
                <w:sz w:val="21"/>
                <w:szCs w:val="21"/>
                <w:lang w:val="en-US" w:eastAsia="zh-CN"/>
              </w:rPr>
              <w:t>90</w:t>
            </w:r>
            <w:r>
              <w:rPr>
                <w:rFonts w:hint="default" w:ascii="Times New Roman" w:hAnsi="Times New Roman" w:eastAsia="宋体" w:cs="Times New Roman"/>
                <w:sz w:val="21"/>
                <w:szCs w:val="21"/>
              </w:rPr>
              <w:t>号）</w:t>
            </w:r>
          </w:p>
        </w:tc>
      </w:tr>
    </w:tbl>
    <w:tbl>
      <w:tblPr>
        <w:tblStyle w:val="19"/>
        <w:tblW w:w="9311" w:type="dxa"/>
        <w:tblInd w:w="-59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09"/>
        <w:gridCol w:w="860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04" w:hRule="atLeast"/>
        </w:trPr>
        <w:tc>
          <w:tcPr>
            <w:tcW w:w="709" w:type="dxa"/>
            <w:vAlign w:val="center"/>
          </w:tcPr>
          <w:p>
            <w:pPr>
              <w:adjustRightInd w:val="0"/>
              <w:snapToGrid w:val="0"/>
              <w:spacing w:line="240" w:lineRule="auto"/>
              <w:jc w:val="left"/>
              <w:rPr>
                <w:vertAlign w:val="baseline"/>
              </w:rPr>
            </w:pPr>
            <w:r>
              <w:rPr>
                <w:rFonts w:hint="eastAsia" w:ascii="Times New Roman" w:hAnsi="Times New Roman" w:eastAsia="宋体" w:cs="宋体"/>
                <w:color w:val="auto"/>
                <w:sz w:val="24"/>
                <w:szCs w:val="24"/>
                <w:u w:val="none" w:color="auto"/>
              </w:rPr>
              <w:t>规划及规划环境影响评价符合性分析</w:t>
            </w:r>
          </w:p>
        </w:tc>
        <w:tc>
          <w:tcPr>
            <w:tcW w:w="8602" w:type="dxa"/>
            <w:vAlign w:val="center"/>
          </w:tcPr>
          <w:p>
            <w:pPr>
              <w:numPr>
                <w:ilvl w:val="0"/>
                <w:numId w:val="0"/>
              </w:numPr>
              <w:adjustRightInd w:val="0"/>
              <w:snapToGrid w:val="0"/>
              <w:spacing w:line="360" w:lineRule="auto"/>
              <w:ind w:firstLine="482" w:firstLineChars="200"/>
              <w:jc w:val="left"/>
              <w:rPr>
                <w:rFonts w:hint="eastAsia" w:ascii="Times New Roman" w:hAnsi="Times New Roman" w:eastAsia="宋体" w:cs="Times New Roman"/>
                <w:b/>
                <w:bCs/>
                <w:sz w:val="24"/>
                <w:szCs w:val="24"/>
              </w:rPr>
            </w:pPr>
            <w:r>
              <w:rPr>
                <w:rFonts w:hint="eastAsia" w:cs="Times New Roman"/>
                <w:b/>
                <w:bCs/>
                <w:sz w:val="24"/>
                <w:szCs w:val="24"/>
                <w:lang w:val="en-US" w:eastAsia="zh-CN"/>
              </w:rPr>
              <w:t>一、</w:t>
            </w:r>
            <w:r>
              <w:rPr>
                <w:rFonts w:hint="eastAsia" w:ascii="Times New Roman" w:hAnsi="Times New Roman" w:eastAsia="宋体" w:cs="Times New Roman"/>
                <w:b/>
                <w:bCs/>
                <w:sz w:val="24"/>
                <w:szCs w:val="24"/>
              </w:rPr>
              <w:t>本项目与祁东经济开发区归阳工业园环境影响报告书批复（湘环评函〔2014〕89号）符合性分析</w:t>
            </w:r>
          </w:p>
          <w:p>
            <w:pPr>
              <w:adjustRightInd w:val="0"/>
              <w:snapToGrid w:val="0"/>
              <w:spacing w:line="240" w:lineRule="auto"/>
              <w:jc w:val="center"/>
              <w:rPr>
                <w:rFonts w:hint="eastAsia" w:ascii="Times New Roman" w:hAnsi="Times New Roman" w:eastAsia="宋体" w:cs="Times New Roman"/>
                <w:b/>
                <w:bCs/>
                <w:sz w:val="21"/>
                <w:szCs w:val="21"/>
                <w:lang w:val="en-US" w:eastAsia="zh-CN"/>
              </w:rPr>
            </w:pPr>
            <w:r>
              <w:rPr>
                <w:rFonts w:hint="eastAsia" w:ascii="Times New Roman" w:hAnsi="Times New Roman" w:eastAsia="宋体" w:cs="Times New Roman"/>
                <w:b/>
                <w:bCs/>
                <w:sz w:val="21"/>
                <w:szCs w:val="21"/>
                <w:lang w:val="en-US" w:eastAsia="zh-CN"/>
              </w:rPr>
              <w:t>表1-1 本项目与祁东经济开发区归阳工业园环境影响报告书批复符合性分析</w:t>
            </w:r>
          </w:p>
          <w:tbl>
            <w:tblPr>
              <w:tblStyle w:val="18"/>
              <w:tblW w:w="4997"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4673"/>
              <w:gridCol w:w="3252"/>
              <w:gridCol w:w="42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800"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批复要求</w:t>
                  </w:r>
                </w:p>
              </w:tc>
              <w:tc>
                <w:tcPr>
                  <w:tcW w:w="1949"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拟建项目情况</w:t>
                  </w:r>
                </w:p>
              </w:tc>
              <w:tc>
                <w:tcPr>
                  <w:tcW w:w="250"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是否符合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800"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祁东经济开发区归阳工业园位于祁东归阳镇东部，规划四至范围北靠白河，南临湘江，西至建设路，东接创业路，规划用地面积2.4km</w:t>
                  </w:r>
                  <w:r>
                    <w:rPr>
                      <w:rFonts w:hint="eastAsia" w:ascii="Times New Roman" w:hAnsi="Times New Roman" w:eastAsia="宋体" w:cs="Times New Roman"/>
                      <w:sz w:val="21"/>
                      <w:szCs w:val="21"/>
                      <w:vertAlign w:val="superscript"/>
                    </w:rPr>
                    <w:t>2</w:t>
                  </w:r>
                  <w:r>
                    <w:rPr>
                      <w:rFonts w:hint="eastAsia" w:ascii="Times New Roman" w:hAnsi="Times New Roman" w:eastAsia="宋体" w:cs="Times New Roman"/>
                      <w:sz w:val="21"/>
                      <w:szCs w:val="21"/>
                    </w:rPr>
                    <w:t>；园区规划产业定位为重点发展机械制造、电子信息（不含线路板制造）、食品农副产品加工等产业。园区规划工业用地面积163.916公顷，占总用地面积的68.26%；物流仓储用地7.93公顷，占3.30%，内部功能布局自西向东依次布置居住行政科研产业区、机电产业区、食品加工产业区，在园区东南角结合千吨级码头设置物流储运区。</w:t>
                  </w:r>
                </w:p>
              </w:tc>
              <w:tc>
                <w:tcPr>
                  <w:tcW w:w="1949"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rPr>
                    <w:t>本项目位于</w:t>
                  </w:r>
                  <w:r>
                    <w:rPr>
                      <w:rFonts w:ascii="Times New Roman" w:hAnsi="Times New Roman" w:eastAsia="宋体" w:cs="Times New Roman"/>
                      <w:sz w:val="21"/>
                      <w:szCs w:val="21"/>
                    </w:rPr>
                    <w:t>祁东经济开发区归阳工业园</w:t>
                  </w:r>
                  <w:r>
                    <w:rPr>
                      <w:rFonts w:hint="eastAsia" w:ascii="Times New Roman" w:hAnsi="Times New Roman" w:eastAsia="宋体" w:cs="Times New Roman"/>
                      <w:sz w:val="21"/>
                      <w:szCs w:val="21"/>
                      <w:lang w:val="en-US" w:eastAsia="zh-CN"/>
                    </w:rPr>
                    <w:t>云鹤循环经济产业园</w:t>
                  </w:r>
                  <w:r>
                    <w:rPr>
                      <w:rFonts w:hint="eastAsia" w:ascii="Times New Roman" w:hAnsi="Times New Roman" w:eastAsia="宋体" w:cs="Times New Roman"/>
                      <w:sz w:val="21"/>
                      <w:szCs w:val="21"/>
                    </w:rPr>
                    <w:t>，用地位于</w:t>
                  </w:r>
                  <w:r>
                    <w:rPr>
                      <w:rFonts w:ascii="Times New Roman" w:hAnsi="Times New Roman" w:eastAsia="宋体" w:cs="Times New Roman"/>
                      <w:sz w:val="21"/>
                      <w:szCs w:val="21"/>
                    </w:rPr>
                    <w:t>祁东经济开发区归阳工业园</w:t>
                  </w:r>
                  <w:r>
                    <w:rPr>
                      <w:rFonts w:hint="eastAsia" w:ascii="Times New Roman" w:hAnsi="Times New Roman" w:eastAsia="宋体" w:cs="Times New Roman"/>
                      <w:sz w:val="21"/>
                      <w:szCs w:val="21"/>
                    </w:rPr>
                    <w:t>内规划的</w:t>
                  </w:r>
                  <w:r>
                    <w:rPr>
                      <w:rFonts w:hint="eastAsia" w:ascii="Times New Roman" w:hAnsi="Times New Roman" w:eastAsia="宋体" w:cs="Times New Roman"/>
                      <w:sz w:val="21"/>
                      <w:szCs w:val="21"/>
                      <w:lang w:val="en-US" w:eastAsia="zh-CN"/>
                    </w:rPr>
                    <w:t>工业用地</w:t>
                  </w:r>
                  <w:r>
                    <w:rPr>
                      <w:rFonts w:hint="eastAsia" w:ascii="Times New Roman" w:hAnsi="Times New Roman" w:eastAsia="宋体" w:cs="Times New Roman"/>
                      <w:sz w:val="21"/>
                      <w:szCs w:val="21"/>
                    </w:rPr>
                    <w:t>，项目</w:t>
                  </w:r>
                  <w:r>
                    <w:rPr>
                      <w:rFonts w:hint="eastAsia" w:ascii="Times New Roman" w:hAnsi="Times New Roman" w:eastAsia="宋体" w:cs="Times New Roman"/>
                      <w:sz w:val="21"/>
                      <w:szCs w:val="21"/>
                      <w:lang w:val="en-US" w:eastAsia="zh-CN"/>
                    </w:rPr>
                    <w:t>从事报废汽车回收拆解，属于</w:t>
                  </w:r>
                  <w:r>
                    <w:rPr>
                      <w:rFonts w:hint="eastAsia" w:ascii="Times New Roman" w:hAnsi="Times New Roman" w:eastAsia="宋体" w:cs="Times New Roman"/>
                      <w:sz w:val="21"/>
                      <w:szCs w:val="21"/>
                    </w:rPr>
                    <w:t>废弃资源综合利用业</w:t>
                  </w:r>
                  <w:r>
                    <w:rPr>
                      <w:rFonts w:hint="eastAsia" w:ascii="Times New Roman" w:hAnsi="Times New Roman" w:eastAsia="宋体" w:cs="Times New Roman"/>
                      <w:sz w:val="21"/>
                      <w:szCs w:val="21"/>
                      <w:lang w:eastAsia="zh-CN"/>
                    </w:rPr>
                    <w:t>。</w:t>
                  </w:r>
                </w:p>
              </w:tc>
              <w:tc>
                <w:tcPr>
                  <w:tcW w:w="250"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800"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严格执行园区企业准入制度，入园项目选址必须符合湖南省湘江保护条例、园区总体发展规划、用地规划、环保规划及总体产业定位要求，不得引进国家明令淘汰和禁止发展的能耗物耗高、环境污染严重、不符合产业政策的建设项目，严格限制气型污染企业进入，禁止涉重金属企业入驻。</w:t>
                  </w:r>
                </w:p>
              </w:tc>
              <w:tc>
                <w:tcPr>
                  <w:tcW w:w="1949"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本项目选址符合湖南省湘江保护条例、园区总体发展规划、用地规划、环保规划及总体产业定位要求，不属于国家明令淘汰和禁止发展的能耗物耗高、环境污染严重、不符合产业政策的建设项目，不属于气型污染企业，不属于涉重金属企业。</w:t>
                  </w:r>
                </w:p>
              </w:tc>
              <w:tc>
                <w:tcPr>
                  <w:tcW w:w="250"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800"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落实园区水污染控制措施。园区排水实施雨污分流，加快园区污水处理厂、排水管网等配套基础设施建设，截污、排污管网必须与路网建设、区域开发、项目引进同步进行，保障园区污废水实现统一处理。园区污水处理厂建设应兼顾归阳镇镇区污水处理要求，尾水排放执行《城镇污水处理厂污染物排放标准》（GB18918-2002）中的一级B标准，经专用管道排入湘江，园区污水厂建成投产运营前，现有企业废水应经自行处理满足《污水综合排放标准》（GB8978-1996）中的一级标准方可外排，并限制新引进水型污染企业。</w:t>
                  </w:r>
                </w:p>
              </w:tc>
              <w:tc>
                <w:tcPr>
                  <w:tcW w:w="1949"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highlight w:val="none"/>
                    </w:rPr>
                    <w:t>园区配套建设的归阳污水处理厂已于2017年10月建成并投入运行，主要是处理园区企业污水及归阳镇污水，根据现场调查，本项目所在区域污水管网已与归阳污水处理厂接通，项目营运期外排废水在厂区内处理站预处理后可经园区污水管网引至归阳污水处理厂处理，达标后外排至湘江。</w:t>
                  </w:r>
                </w:p>
              </w:tc>
              <w:tc>
                <w:tcPr>
                  <w:tcW w:w="250"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800"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按报告书要求做好园区大气污染控制措施。管委会应积极推广清洁能源，严格控制新建4t/h以下燃煤锅炉，并控制园区燃煤含硫率在1%以内。建立园区清洁生产管理考核机制，对各企业工艺废气产出的生产节点，应配置废气收集与处理净化装置，确保达标排放；加强生产工艺研究与技术改进，采取有效措施，减少入园企业工艺废气的无组织排放；入园企业各生产装置排放的废气须经处理达到相应的行业排放标准及《大气污染物综合排放标准》中二级标准要求。合理优化工业布局，在不同性质的工业企业问设置合理的间隔距离，防止相互干扰。</w:t>
                  </w:r>
                </w:p>
              </w:tc>
              <w:tc>
                <w:tcPr>
                  <w:tcW w:w="1949" w:type="pc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rPr>
                    <w:t>本项目</w:t>
                  </w:r>
                  <w:r>
                    <w:rPr>
                      <w:rFonts w:hint="eastAsia" w:ascii="Times New Roman" w:hAnsi="Times New Roman" w:eastAsia="宋体" w:cs="Times New Roman"/>
                      <w:sz w:val="21"/>
                      <w:szCs w:val="21"/>
                      <w:lang w:val="en-US" w:eastAsia="zh-CN"/>
                    </w:rPr>
                    <w:t>不设置燃煤锅炉。</w:t>
                  </w:r>
                </w:p>
              </w:tc>
              <w:tc>
                <w:tcPr>
                  <w:tcW w:w="250"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800"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做好园区工业固体废物和生活垃圾的分类收集、转运、综合利用和无害化处理，建立统一的固废收集、贮存、运输、综合利用和安全处置的运营管理体系。推行清洁生产，减少固体废物产生量；加强固体废物的资源化进程，提高综合利用率；规范固体废物处理措施，严防二次污染。</w:t>
                  </w:r>
                </w:p>
              </w:tc>
              <w:tc>
                <w:tcPr>
                  <w:tcW w:w="1949"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highlight w:val="none"/>
                    </w:rPr>
                    <w:t>本项目营运期产生的固体废物在厂区内分类收集暂存，定期处置，不会产生二次污染。</w:t>
                  </w:r>
                </w:p>
              </w:tc>
              <w:tc>
                <w:tcPr>
                  <w:tcW w:w="250"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符合</w:t>
                  </w:r>
                </w:p>
              </w:tc>
            </w:tr>
          </w:tbl>
          <w:p>
            <w:pPr>
              <w:adjustRightInd w:val="0"/>
              <w:snapToGrid w:val="0"/>
              <w:spacing w:line="360" w:lineRule="auto"/>
              <w:ind w:firstLine="480" w:firstLineChars="200"/>
              <w:jc w:val="left"/>
              <w:rPr>
                <w:rFonts w:hint="eastAsia" w:ascii="Times New Roman" w:hAnsi="Times New Roman" w:eastAsia="宋体" w:cs="Times New Roman"/>
                <w:sz w:val="24"/>
                <w:szCs w:val="24"/>
              </w:rPr>
            </w:pPr>
            <w:r>
              <w:rPr>
                <w:rFonts w:hint="eastAsia" w:ascii="Times New Roman" w:hAnsi="Times New Roman" w:eastAsia="宋体" w:cs="Times New Roman"/>
                <w:sz w:val="24"/>
                <w:szCs w:val="24"/>
              </w:rPr>
              <w:t>根据上表分析可知，本项目建设符合祁东经济开发区归阳工业园环境影响报告书批复要求。</w:t>
            </w:r>
          </w:p>
          <w:p>
            <w:pPr>
              <w:adjustRightInd w:val="0"/>
              <w:snapToGrid w:val="0"/>
              <w:spacing w:line="360" w:lineRule="auto"/>
              <w:ind w:firstLine="482" w:firstLineChars="200"/>
              <w:jc w:val="left"/>
              <w:rPr>
                <w:rFonts w:hint="eastAsia" w:ascii="Times New Roman" w:hAnsi="Times New Roman" w:eastAsia="宋体" w:cs="Times New Roman"/>
                <w:b/>
                <w:bCs/>
                <w:sz w:val="24"/>
                <w:szCs w:val="24"/>
                <w:lang w:val="en-US" w:eastAsia="zh-CN"/>
              </w:rPr>
            </w:pPr>
            <w:r>
              <w:rPr>
                <w:rFonts w:hint="eastAsia" w:ascii="Times New Roman" w:hAnsi="Times New Roman" w:eastAsia="宋体" w:cs="Times New Roman"/>
                <w:b/>
                <w:bCs/>
                <w:sz w:val="24"/>
                <w:szCs w:val="24"/>
                <w:lang w:val="en-US" w:eastAsia="zh-CN"/>
              </w:rPr>
              <w:t>二、本项目与归阳工业园影响跟踪评价报告书批复落实情况表符合性分析</w:t>
            </w:r>
          </w:p>
          <w:p>
            <w:pPr>
              <w:adjustRightInd w:val="0"/>
              <w:snapToGrid w:val="0"/>
              <w:spacing w:line="360" w:lineRule="auto"/>
              <w:ind w:firstLine="480" w:firstLineChars="200"/>
              <w:jc w:val="left"/>
              <w:rPr>
                <w:rFonts w:hint="default" w:ascii="Times New Roman" w:hAnsi="Times New Roman" w:eastAsia="宋体" w:cs="Times New Roman"/>
                <w:sz w:val="21"/>
                <w:szCs w:val="21"/>
              </w:rPr>
            </w:pPr>
            <w:r>
              <w:rPr>
                <w:rFonts w:hint="default" w:ascii="Times New Roman" w:hAnsi="Times New Roman" w:eastAsia="宋体" w:cs="Times New Roman"/>
                <w:sz w:val="24"/>
                <w:szCs w:val="24"/>
                <w:lang w:val="en-US" w:eastAsia="zh-CN"/>
              </w:rPr>
              <w:t>2</w:t>
            </w:r>
            <w:r>
              <w:rPr>
                <w:rFonts w:hint="default" w:ascii="Times New Roman" w:hAnsi="Times New Roman" w:eastAsia="宋体" w:cs="Times New Roman"/>
                <w:sz w:val="24"/>
                <w:szCs w:val="24"/>
              </w:rPr>
              <w:t>021年11月祁东县经济开发区委托湖南汇恒环境保护科技发展有限公司编制了《祁东经济开发区环境影响跟踪评价报告书》，并于2022年4月8日通过湖南省生态环境厅组织的专家论证，跟踪评价工作意见函：湘环评函[2022]90号。祁东经济开发区环境影响跟踪评价报告书批复落实情况见</w:t>
            </w:r>
            <w:r>
              <w:rPr>
                <w:rFonts w:hint="eastAsia" w:ascii="Times New Roman" w:hAnsi="Times New Roman" w:eastAsia="宋体" w:cs="Times New Roman"/>
                <w:sz w:val="24"/>
                <w:szCs w:val="24"/>
                <w:lang w:val="en-US" w:eastAsia="zh-CN"/>
              </w:rPr>
              <w:t>下</w:t>
            </w:r>
            <w:r>
              <w:rPr>
                <w:rFonts w:hint="default" w:ascii="Times New Roman" w:hAnsi="Times New Roman" w:eastAsia="宋体" w:cs="Times New Roman"/>
                <w:sz w:val="24"/>
                <w:szCs w:val="24"/>
              </w:rPr>
              <w:t>表</w:t>
            </w:r>
          </w:p>
          <w:p>
            <w:pPr>
              <w:adjustRightInd w:val="0"/>
              <w:snapToGrid w:val="0"/>
              <w:spacing w:line="240" w:lineRule="auto"/>
              <w:jc w:val="center"/>
              <w:rPr>
                <w:rFonts w:hint="eastAsia" w:ascii="Times New Roman" w:hAnsi="Times New Roman" w:eastAsia="宋体" w:cs="Times New Roman"/>
                <w:b/>
                <w:bCs/>
                <w:sz w:val="21"/>
                <w:szCs w:val="21"/>
                <w:lang w:val="en-US" w:eastAsia="zh-CN"/>
              </w:rPr>
            </w:pPr>
            <w:r>
              <w:rPr>
                <w:rFonts w:hint="eastAsia" w:ascii="Times New Roman" w:hAnsi="Times New Roman" w:eastAsia="宋体" w:cs="Times New Roman"/>
                <w:b/>
                <w:bCs/>
                <w:sz w:val="21"/>
                <w:szCs w:val="21"/>
                <w:lang w:val="en-US" w:eastAsia="zh-CN"/>
              </w:rPr>
              <w:t>表1-2 本项目与归阳工业园影响跟踪评价报告书批复符合性分析</w:t>
            </w:r>
          </w:p>
          <w:tbl>
            <w:tblPr>
              <w:tblStyle w:val="18"/>
              <w:tblW w:w="4997"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5119"/>
              <w:gridCol w:w="2623"/>
              <w:gridCol w:w="609"/>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3064"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批复要求</w:t>
                  </w:r>
                </w:p>
              </w:tc>
              <w:tc>
                <w:tcPr>
                  <w:tcW w:w="1570"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拟建项目情况</w:t>
                  </w:r>
                </w:p>
              </w:tc>
              <w:tc>
                <w:tcPr>
                  <w:tcW w:w="364"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是否符合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3064"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进一步严格产业环境准入。园区后续发展与规划调整须符合“三线一单”环境准入要求及《报告书》提出的环境准入条件和负面清单要求，后续不得引进与园区产业定位相冲突的产业。对不符合园区用地规划、产业定位的现有污染排放企业，应按《报告书》要求强化污染防治措施，禁止新增污染物排放量，对于已有的化工产业应遵守国、省关于化工产业的法律法规和相关政策并严格执行相关禁止性要求。</w:t>
                  </w:r>
                </w:p>
              </w:tc>
              <w:tc>
                <w:tcPr>
                  <w:tcW w:w="1570" w:type="pc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rPr>
                  </w:pPr>
                  <w:r>
                    <w:rPr>
                      <w:rFonts w:hint="default" w:ascii="Times New Roman" w:hAnsi="Times New Roman" w:eastAsia="宋体" w:cs="Times New Roman"/>
                      <w:sz w:val="21"/>
                      <w:szCs w:val="21"/>
                      <w:lang w:val="en-US" w:eastAsia="zh-CN"/>
                    </w:rPr>
                    <w:t>本项目为</w:t>
                  </w:r>
                  <w:r>
                    <w:rPr>
                      <w:rFonts w:hint="eastAsia" w:ascii="Times New Roman" w:hAnsi="Times New Roman" w:eastAsia="宋体" w:cs="Times New Roman"/>
                      <w:sz w:val="21"/>
                      <w:szCs w:val="21"/>
                    </w:rPr>
                    <w:t>废弃资源综合利用业</w:t>
                  </w:r>
                  <w:r>
                    <w:rPr>
                      <w:rFonts w:hint="default" w:ascii="Times New Roman" w:hAnsi="Times New Roman" w:eastAsia="宋体" w:cs="Times New Roman"/>
                      <w:sz w:val="21"/>
                      <w:szCs w:val="21"/>
                      <w:lang w:val="en-US" w:eastAsia="zh-CN"/>
                    </w:rPr>
                    <w:t>，</w:t>
                  </w:r>
                  <w:r>
                    <w:rPr>
                      <w:rFonts w:hint="eastAsia" w:ascii="Times New Roman" w:hAnsi="Times New Roman" w:eastAsia="宋体" w:cs="Times New Roman"/>
                      <w:sz w:val="21"/>
                      <w:szCs w:val="21"/>
                      <w:lang w:val="en-US" w:eastAsia="zh-CN"/>
                    </w:rPr>
                    <w:t>不属于园区限制类和禁止类产业</w:t>
                  </w:r>
                  <w:r>
                    <w:rPr>
                      <w:rFonts w:hint="default" w:ascii="Times New Roman" w:hAnsi="Times New Roman" w:eastAsia="宋体" w:cs="Times New Roman"/>
                      <w:sz w:val="21"/>
                      <w:szCs w:val="21"/>
                      <w:lang w:val="en-US" w:eastAsia="zh-CN"/>
                    </w:rPr>
                    <w:t>。详细的环境准入符合性见表1-</w:t>
                  </w:r>
                  <w:r>
                    <w:rPr>
                      <w:rFonts w:hint="eastAsia" w:ascii="Times New Roman" w:hAnsi="Times New Roman" w:eastAsia="宋体" w:cs="Times New Roman"/>
                      <w:sz w:val="21"/>
                      <w:szCs w:val="21"/>
                      <w:lang w:val="en-US" w:eastAsia="zh-CN"/>
                    </w:rPr>
                    <w:t>3</w:t>
                  </w:r>
                  <w:r>
                    <w:rPr>
                      <w:rFonts w:hint="default" w:ascii="Times New Roman" w:hAnsi="Times New Roman" w:eastAsia="宋体" w:cs="Times New Roman"/>
                      <w:sz w:val="21"/>
                      <w:szCs w:val="21"/>
                      <w:lang w:val="en-US" w:eastAsia="zh-CN"/>
                    </w:rPr>
                    <w:t>。</w:t>
                  </w:r>
                </w:p>
              </w:tc>
              <w:tc>
                <w:tcPr>
                  <w:tcW w:w="364"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3064"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 xml:space="preserve">进一步落实园区污染管控措施。加强园区雨污流系统、污水收集管网的管理和维护，确保园区生产、生活废水应收尽收。加快园区污水处理厂(归阳镇污水处理厂)的入河排污口手续办理，并确保按期投入运行，后续园区不得超过污水处理厂处理能力引进废水排放项目。加强园区大气污染防治，重点推动园区企业加强对 </w:t>
                  </w:r>
                  <w:r>
                    <w:rPr>
                      <w:rFonts w:hint="eastAsia" w:ascii="Times New Roman" w:hAnsi="Times New Roman" w:eastAsia="宋体" w:cs="Times New Roman"/>
                      <w:sz w:val="21"/>
                      <w:szCs w:val="21"/>
                      <w:lang w:eastAsia="zh-CN"/>
                    </w:rPr>
                    <w:t>VOCs</w:t>
                  </w:r>
                  <w:r>
                    <w:rPr>
                      <w:rFonts w:hint="eastAsia" w:ascii="Times New Roman" w:hAnsi="Times New Roman" w:eastAsia="宋体" w:cs="Times New Roman"/>
                      <w:sz w:val="21"/>
                      <w:szCs w:val="21"/>
                    </w:rPr>
                    <w:t xml:space="preserve"> 排放的治理,加大对园区内重点排污单位废气治理措施运行情况及废气无组织排放的监管力度，对治理设施不能有效运行的企业，应及时采取整改措施。做好工业固体废物和生活垃圾的分类收集、转运、综合利用和无害化处理，建立完善的固废管理体系。对危险废物</w:t>
                  </w:r>
                </w:p>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应严格按照国家有关规定综合利用或妥善处置，对危险废物产生企业和经营单位，应强化日常环境监管。对园区内环保手续不完善的企业全面整改，严格落实排污许可制度和污染物排放总量控制，减少污染物的排放量。园区应落实第三方环境治理工作相关政策要求，强化对重点产排污企业的监管与服务。</w:t>
                  </w:r>
                </w:p>
              </w:tc>
              <w:tc>
                <w:tcPr>
                  <w:tcW w:w="1570"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highlight w:val="none"/>
                      <w:lang w:eastAsia="zh-CN"/>
                    </w:rPr>
                  </w:pPr>
                  <w:r>
                    <w:rPr>
                      <w:rFonts w:hint="eastAsia" w:ascii="Times New Roman" w:hAnsi="Times New Roman" w:eastAsia="宋体" w:cs="Times New Roman"/>
                      <w:sz w:val="21"/>
                      <w:szCs w:val="21"/>
                      <w:highlight w:val="none"/>
                      <w:lang w:eastAsia="zh-CN"/>
                    </w:rPr>
                    <w:t>①本项目各项生产废水和生活污水均排入归阳污水处理厂处理，本项目污水排放量较小，仅占归阳污水处理厂</w:t>
                  </w:r>
                  <w:r>
                    <w:rPr>
                      <w:rFonts w:hint="default" w:ascii="Times New Roman" w:hAnsi="Times New Roman" w:eastAsia="宋体" w:cs="Times New Roman"/>
                      <w:sz w:val="21"/>
                      <w:szCs w:val="21"/>
                      <w:highlight w:val="none"/>
                    </w:rPr>
                    <w:t>日处理量的</w:t>
                  </w:r>
                  <w:r>
                    <w:rPr>
                      <w:rFonts w:hint="default" w:ascii="Times New Roman" w:hAnsi="Times New Roman" w:eastAsia="宋体" w:cs="Times New Roman"/>
                      <w:sz w:val="21"/>
                      <w:szCs w:val="21"/>
                      <w:highlight w:val="none"/>
                      <w:lang w:val="en-US" w:eastAsia="zh-CN"/>
                    </w:rPr>
                    <w:t>0.</w:t>
                  </w:r>
                  <w:r>
                    <w:rPr>
                      <w:rFonts w:hint="eastAsia" w:cs="Times New Roman"/>
                      <w:sz w:val="21"/>
                      <w:szCs w:val="21"/>
                      <w:highlight w:val="none"/>
                      <w:lang w:val="en-US" w:eastAsia="zh-CN"/>
                    </w:rPr>
                    <w:t>143</w:t>
                  </w:r>
                  <w:r>
                    <w:rPr>
                      <w:rFonts w:hint="default" w:ascii="Times New Roman" w:hAnsi="Times New Roman" w:eastAsia="宋体" w:cs="Times New Roman"/>
                      <w:sz w:val="21"/>
                      <w:szCs w:val="21"/>
                      <w:highlight w:val="none"/>
                    </w:rPr>
                    <w:t>%</w:t>
                  </w:r>
                  <w:r>
                    <w:rPr>
                      <w:rFonts w:hint="eastAsia" w:ascii="Times New Roman" w:hAnsi="Times New Roman" w:eastAsia="宋体" w:cs="Times New Roman"/>
                      <w:sz w:val="21"/>
                      <w:szCs w:val="21"/>
                      <w:highlight w:val="none"/>
                      <w:lang w:eastAsia="zh-CN"/>
                    </w:rPr>
                    <w:t>；</w:t>
                  </w:r>
                </w:p>
                <w:p>
                  <w:pPr>
                    <w:adjustRightInd w:val="0"/>
                    <w:snapToGrid w:val="0"/>
                    <w:spacing w:line="240" w:lineRule="auto"/>
                    <w:jc w:val="center"/>
                    <w:rPr>
                      <w:rFonts w:hint="eastAsia" w:ascii="Times New Roman" w:hAnsi="Times New Roman" w:eastAsia="宋体" w:cs="Times New Roman"/>
                      <w:sz w:val="21"/>
                      <w:szCs w:val="21"/>
                      <w:highlight w:val="none"/>
                      <w:lang w:val="en-US" w:eastAsia="zh-CN"/>
                    </w:rPr>
                  </w:pPr>
                  <w:r>
                    <w:rPr>
                      <w:rFonts w:hint="eastAsia" w:ascii="Times New Roman" w:hAnsi="Times New Roman" w:eastAsia="宋体" w:cs="Times New Roman"/>
                      <w:sz w:val="21"/>
                      <w:szCs w:val="21"/>
                      <w:highlight w:val="none"/>
                      <w:lang w:eastAsia="zh-CN"/>
                    </w:rPr>
                    <w:t>②本项目生产废气</w:t>
                  </w:r>
                  <w:r>
                    <w:rPr>
                      <w:rFonts w:hint="eastAsia" w:cs="Times New Roman"/>
                      <w:sz w:val="21"/>
                      <w:szCs w:val="21"/>
                      <w:highlight w:val="none"/>
                      <w:lang w:val="en-US" w:eastAsia="zh-CN"/>
                    </w:rPr>
                    <w:t>无组织排放，</w:t>
                  </w:r>
                  <w:r>
                    <w:rPr>
                      <w:rFonts w:hint="eastAsia" w:ascii="Times New Roman" w:hAnsi="Times New Roman" w:eastAsia="宋体" w:cs="Times New Roman"/>
                      <w:sz w:val="21"/>
                      <w:szCs w:val="21"/>
                      <w:highlight w:val="none"/>
                      <w:lang w:val="en-US" w:eastAsia="zh-CN"/>
                    </w:rPr>
                    <w:t>VOCs排放量较小；</w:t>
                  </w:r>
                </w:p>
                <w:p>
                  <w:pPr>
                    <w:adjustRightInd w:val="0"/>
                    <w:snapToGrid w:val="0"/>
                    <w:spacing w:line="240" w:lineRule="auto"/>
                    <w:jc w:val="center"/>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highlight w:val="none"/>
                      <w:lang w:val="en-US" w:eastAsia="zh-CN"/>
                    </w:rPr>
                    <w:t>③本项目各类固体废物均可得到妥善处置。</w:t>
                  </w:r>
                </w:p>
              </w:tc>
              <w:tc>
                <w:tcPr>
                  <w:tcW w:w="364"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3064"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加强对环境敏感点的保护。严格做好控规，杜绝在规划的工业用地上新增环境敏感目标，防止发生居民再次安置和次生环境问题，对于具体项目环评设置防护距离和拆迁要求的，要确保予以落实.</w:t>
                  </w:r>
                </w:p>
              </w:tc>
              <w:tc>
                <w:tcPr>
                  <w:tcW w:w="1570" w:type="pc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本项目拟建地周边500m</w:t>
                  </w:r>
                  <w:r>
                    <w:rPr>
                      <w:rFonts w:hint="eastAsia" w:cs="Times New Roman"/>
                      <w:sz w:val="21"/>
                      <w:szCs w:val="21"/>
                      <w:lang w:val="en-US" w:eastAsia="zh-CN"/>
                    </w:rPr>
                    <w:t>有三个</w:t>
                  </w:r>
                  <w:r>
                    <w:rPr>
                      <w:rFonts w:hint="eastAsia" w:ascii="Times New Roman" w:hAnsi="Times New Roman" w:eastAsia="宋体" w:cs="Times New Roman"/>
                      <w:sz w:val="21"/>
                      <w:szCs w:val="21"/>
                      <w:lang w:val="en-US" w:eastAsia="zh-CN"/>
                    </w:rPr>
                    <w:t>环境敏感目标。</w:t>
                  </w:r>
                  <w:r>
                    <w:rPr>
                      <w:rFonts w:hint="eastAsia" w:ascii="Times New Roman" w:hAnsi="Times New Roman" w:eastAsia="宋体" w:cs="Times New Roman"/>
                      <w:sz w:val="21"/>
                      <w:szCs w:val="21"/>
                    </w:rPr>
                    <w:t>加强对环境敏感点的保护。严格做好控规，杜绝在规划的工业用地上新增环境敏感目标，防止发生居民再次安置和次生环境问题</w:t>
                  </w:r>
                </w:p>
              </w:tc>
              <w:tc>
                <w:tcPr>
                  <w:tcW w:w="364"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3064"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做好园区后续开发过程中生态环境保护。施工期对</w:t>
                  </w:r>
                  <w:r>
                    <w:rPr>
                      <w:rFonts w:hint="eastAsia" w:ascii="Times New Roman" w:hAnsi="Times New Roman" w:eastAsia="宋体" w:cs="Times New Roman"/>
                      <w:sz w:val="21"/>
                      <w:szCs w:val="21"/>
                      <w:lang w:eastAsia="zh-CN"/>
                    </w:rPr>
                    <w:t>土</w:t>
                  </w:r>
                  <w:r>
                    <w:rPr>
                      <w:rFonts w:hint="eastAsia" w:ascii="Times New Roman" w:hAnsi="Times New Roman" w:eastAsia="宋体" w:cs="Times New Roman"/>
                      <w:sz w:val="21"/>
                      <w:szCs w:val="21"/>
                    </w:rPr>
                    <w:t>石方开挖、堆存及回填要实施围挡、护坡等措施，裸露地及时恢复植被，防止开发建设中的扬尘污染和水土流失</w:t>
                  </w:r>
                </w:p>
              </w:tc>
              <w:tc>
                <w:tcPr>
                  <w:tcW w:w="1570"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本评价已提出施工期生态环境保护要求。要求本项目</w:t>
                  </w:r>
                  <w:r>
                    <w:rPr>
                      <w:rFonts w:hint="eastAsia" w:ascii="Times New Roman" w:hAnsi="Times New Roman" w:eastAsia="宋体" w:cs="Times New Roman"/>
                      <w:sz w:val="21"/>
                      <w:szCs w:val="21"/>
                    </w:rPr>
                    <w:t>施工期对</w:t>
                  </w:r>
                  <w:r>
                    <w:rPr>
                      <w:rFonts w:hint="eastAsia" w:ascii="Times New Roman" w:hAnsi="Times New Roman" w:eastAsia="宋体" w:cs="Times New Roman"/>
                      <w:sz w:val="21"/>
                      <w:szCs w:val="21"/>
                      <w:lang w:eastAsia="zh-CN"/>
                    </w:rPr>
                    <w:t>土</w:t>
                  </w:r>
                  <w:r>
                    <w:rPr>
                      <w:rFonts w:hint="eastAsia" w:ascii="Times New Roman" w:hAnsi="Times New Roman" w:eastAsia="宋体" w:cs="Times New Roman"/>
                      <w:sz w:val="21"/>
                      <w:szCs w:val="21"/>
                    </w:rPr>
                    <w:t>石方开挖、堆存及回填要实施围挡、护坡等措施，裸露地及时恢复植被，防止开发建设中的扬尘污染和水土流失</w:t>
                  </w:r>
                </w:p>
              </w:tc>
              <w:tc>
                <w:tcPr>
                  <w:tcW w:w="364"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符合</w:t>
                  </w:r>
                </w:p>
              </w:tc>
            </w:tr>
          </w:tbl>
          <w:p>
            <w:pPr>
              <w:adjustRightInd w:val="0"/>
              <w:snapToGrid w:val="0"/>
              <w:spacing w:line="360" w:lineRule="auto"/>
              <w:ind w:firstLine="480" w:firstLineChars="200"/>
              <w:jc w:val="left"/>
              <w:rPr>
                <w:rFonts w:hint="eastAsia" w:ascii="Times New Roman" w:hAnsi="Times New Roman" w:eastAsia="宋体" w:cs="Times New Roman"/>
                <w:sz w:val="24"/>
                <w:szCs w:val="24"/>
              </w:rPr>
            </w:pPr>
            <w:r>
              <w:rPr>
                <w:rFonts w:hint="eastAsia" w:ascii="Times New Roman" w:hAnsi="Times New Roman" w:eastAsia="宋体" w:cs="Times New Roman"/>
                <w:sz w:val="24"/>
                <w:szCs w:val="24"/>
              </w:rPr>
              <w:t>根据上表分析可知，本项目建设符合祁东经济开发区归阳工业园影响跟踪评价报告书批复要求。</w:t>
            </w:r>
          </w:p>
          <w:p>
            <w:pPr>
              <w:adjustRightInd w:val="0"/>
              <w:snapToGrid w:val="0"/>
              <w:spacing w:line="360" w:lineRule="auto"/>
              <w:ind w:firstLine="482" w:firstLineChars="200"/>
              <w:jc w:val="left"/>
              <w:rPr>
                <w:rFonts w:hint="eastAsia" w:ascii="Times New Roman" w:hAnsi="Times New Roman" w:eastAsia="宋体" w:cs="Times New Roman"/>
                <w:b/>
                <w:bCs/>
                <w:sz w:val="24"/>
                <w:szCs w:val="24"/>
              </w:rPr>
            </w:pPr>
            <w:r>
              <w:rPr>
                <w:rFonts w:hint="eastAsia" w:ascii="Times New Roman" w:hAnsi="Times New Roman" w:eastAsia="宋体" w:cs="Times New Roman"/>
                <w:b/>
                <w:bCs/>
                <w:sz w:val="24"/>
                <w:szCs w:val="24"/>
                <w:lang w:val="en-US" w:eastAsia="zh-CN"/>
              </w:rPr>
              <w:t>三、本项目</w:t>
            </w:r>
            <w:r>
              <w:rPr>
                <w:rFonts w:hint="eastAsia" w:ascii="Times New Roman" w:hAnsi="Times New Roman" w:eastAsia="宋体" w:cs="Times New Roman"/>
                <w:b/>
                <w:bCs/>
                <w:sz w:val="24"/>
                <w:szCs w:val="24"/>
              </w:rPr>
              <w:t>与园区企业</w:t>
            </w:r>
            <w:r>
              <w:rPr>
                <w:rFonts w:hint="eastAsia" w:ascii="Times New Roman" w:hAnsi="Times New Roman" w:eastAsia="宋体" w:cs="Times New Roman"/>
                <w:b/>
                <w:bCs/>
                <w:sz w:val="24"/>
                <w:szCs w:val="24"/>
                <w:lang w:val="en-US" w:eastAsia="zh-CN"/>
              </w:rPr>
              <w:t>环境</w:t>
            </w:r>
            <w:r>
              <w:rPr>
                <w:rFonts w:hint="eastAsia" w:ascii="Times New Roman" w:hAnsi="Times New Roman" w:eastAsia="宋体" w:cs="Times New Roman"/>
                <w:b/>
                <w:bCs/>
                <w:sz w:val="24"/>
                <w:szCs w:val="24"/>
              </w:rPr>
              <w:t>准入</w:t>
            </w:r>
            <w:r>
              <w:rPr>
                <w:rFonts w:hint="eastAsia" w:ascii="Times New Roman" w:hAnsi="Times New Roman" w:eastAsia="宋体" w:cs="Times New Roman"/>
                <w:b/>
                <w:bCs/>
                <w:sz w:val="24"/>
                <w:szCs w:val="24"/>
                <w:lang w:val="en-US" w:eastAsia="zh-CN"/>
              </w:rPr>
              <w:t>行业负面清单</w:t>
            </w:r>
            <w:r>
              <w:rPr>
                <w:rFonts w:hint="eastAsia" w:ascii="Times New Roman" w:hAnsi="Times New Roman" w:eastAsia="宋体" w:cs="Times New Roman"/>
                <w:b/>
                <w:bCs/>
                <w:sz w:val="24"/>
                <w:szCs w:val="24"/>
              </w:rPr>
              <w:t>符合性分析</w:t>
            </w:r>
          </w:p>
          <w:p>
            <w:pPr>
              <w:adjustRightInd w:val="0"/>
              <w:snapToGrid w:val="0"/>
              <w:spacing w:line="360" w:lineRule="auto"/>
              <w:ind w:firstLine="480" w:firstLineChars="200"/>
              <w:jc w:val="left"/>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《祁东经济开发区环境影响跟踪评价报告书》中提出了归阳工业园环境准入行业负面清单，本项目与其符合性见下表所示</w:t>
            </w:r>
            <w:r>
              <w:rPr>
                <w:rFonts w:hint="eastAsia" w:cs="Times New Roman"/>
                <w:sz w:val="24"/>
                <w:szCs w:val="24"/>
                <w:lang w:val="en-US" w:eastAsia="zh-CN"/>
              </w:rPr>
              <w:t>：</w:t>
            </w:r>
          </w:p>
          <w:p>
            <w:pPr>
              <w:adjustRightInd w:val="0"/>
              <w:snapToGrid w:val="0"/>
              <w:spacing w:line="240" w:lineRule="auto"/>
              <w:jc w:val="center"/>
              <w:rPr>
                <w:rFonts w:hint="default" w:ascii="Times New Roman" w:hAnsi="Times New Roman" w:eastAsia="宋体" w:cs="Times New Roman"/>
                <w:b/>
                <w:bCs/>
                <w:sz w:val="21"/>
                <w:szCs w:val="21"/>
                <w:lang w:val="en-US" w:eastAsia="zh-CN"/>
              </w:rPr>
            </w:pPr>
            <w:r>
              <w:rPr>
                <w:rFonts w:hint="eastAsia" w:ascii="Times New Roman" w:hAnsi="Times New Roman" w:eastAsia="宋体" w:cs="Times New Roman"/>
                <w:b/>
                <w:bCs/>
                <w:sz w:val="21"/>
                <w:szCs w:val="21"/>
                <w:lang w:val="en-US" w:eastAsia="zh-CN"/>
              </w:rPr>
              <w:t>表1-3本项目与归阳工业园环境准入负面清单符合性分析</w:t>
            </w:r>
          </w:p>
          <w:tbl>
            <w:tblPr>
              <w:tblStyle w:val="18"/>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817"/>
              <w:gridCol w:w="659"/>
              <w:gridCol w:w="1247"/>
              <w:gridCol w:w="3422"/>
              <w:gridCol w:w="1758"/>
              <w:gridCol w:w="45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blHeader/>
                <w:jc w:val="center"/>
              </w:trPr>
              <w:tc>
                <w:tcPr>
                  <w:tcW w:w="860" w:type="dxa"/>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类别</w:t>
                  </w:r>
                </w:p>
              </w:tc>
              <w:tc>
                <w:tcPr>
                  <w:tcW w:w="5884" w:type="dxa"/>
                  <w:gridSpan w:val="3"/>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具体内容</w:t>
                  </w:r>
                </w:p>
              </w:tc>
              <w:tc>
                <w:tcPr>
                  <w:tcW w:w="1926"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拟建项目情况</w:t>
                  </w:r>
                </w:p>
              </w:tc>
              <w:tc>
                <w:tcPr>
                  <w:tcW w:w="459" w:type="dxa"/>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符合性</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60" w:type="dxa"/>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控制产业结构、规模，严把企业引进关</w:t>
                  </w:r>
                </w:p>
              </w:tc>
              <w:tc>
                <w:tcPr>
                  <w:tcW w:w="5884" w:type="dxa"/>
                  <w:gridSpan w:val="3"/>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湖南祁东经开区归阳工业园主要产业布局为：机械、电子、食品三大产业、高新技术产业、能源产业及其他产业区。</w:t>
                  </w:r>
                </w:p>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项目引进原则：</w:t>
                  </w:r>
                </w:p>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①符合国家产业政策和清洁生产要求；②符合归阳工业园产业规划的产业发展方向；③采用低能耗、污染防治技术成熟；④废水必须经过预处理达到污水处理厂进水水质标准才可入管网，不涉及重金属废水排放；</w:t>
                  </w:r>
                </w:p>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⑤土地集约利用度高。</w:t>
                  </w:r>
                </w:p>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优化产业定位和功能布局，严格控制气型污染物排放量大的企业入园，对入园企业提出限制，禁止水泥行业、铸造行业、焦化、石油化工行业等具有高架点源的企业入园。对入园企业燃料提出限制，倡导集中供热，采用天然气作为燃料，减小工业园废气对城区的影响。</w:t>
                  </w:r>
                </w:p>
              </w:tc>
              <w:tc>
                <w:tcPr>
                  <w:tcW w:w="1926"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rPr>
                  </w:pPr>
                  <w:r>
                    <w:rPr>
                      <w:rFonts w:hint="default" w:ascii="Times New Roman" w:hAnsi="Times New Roman" w:eastAsia="宋体" w:cs="Times New Roman"/>
                      <w:sz w:val="21"/>
                      <w:szCs w:val="21"/>
                      <w:lang w:val="en-US" w:eastAsia="zh-CN"/>
                    </w:rPr>
                    <w:t>本项目为废弃资源综合利用业，</w:t>
                  </w:r>
                  <w:r>
                    <w:rPr>
                      <w:rFonts w:hint="eastAsia" w:ascii="Times New Roman" w:hAnsi="Times New Roman" w:eastAsia="宋体" w:cs="Times New Roman"/>
                      <w:sz w:val="21"/>
                      <w:szCs w:val="21"/>
                      <w:lang w:val="en-US" w:eastAsia="zh-CN"/>
                    </w:rPr>
                    <w:t>符合园区主要产业布局。本项目不涉及重金属及持久性有机物，</w:t>
                  </w:r>
                  <w:r>
                    <w:rPr>
                      <w:rFonts w:hint="eastAsia" w:ascii="Times New Roman" w:hAnsi="Times New Roman" w:eastAsia="宋体" w:cs="Times New Roman"/>
                      <w:sz w:val="21"/>
                      <w:szCs w:val="21"/>
                      <w:highlight w:val="none"/>
                      <w:lang w:val="en-US" w:eastAsia="zh-CN"/>
                    </w:rPr>
                    <w:t>废水经预处理达标后排放管网汇入园区污水处理厂处理。本项目使用电能为</w:t>
                  </w:r>
                  <w:r>
                    <w:rPr>
                      <w:rFonts w:hint="eastAsia" w:ascii="Times New Roman" w:hAnsi="Times New Roman" w:eastAsia="宋体" w:cs="Times New Roman"/>
                      <w:sz w:val="21"/>
                      <w:szCs w:val="21"/>
                      <w:lang w:val="en-US" w:eastAsia="zh-CN"/>
                    </w:rPr>
                    <w:t>能源，不属于园区禁止的</w:t>
                  </w:r>
                  <w:r>
                    <w:rPr>
                      <w:rFonts w:hint="eastAsia" w:ascii="Times New Roman" w:hAnsi="Times New Roman" w:eastAsia="宋体" w:cs="Times New Roman"/>
                      <w:sz w:val="21"/>
                      <w:szCs w:val="21"/>
                    </w:rPr>
                    <w:t>水泥行业、铸造行业、焦化、石油化工行业等具有高架点源的企业</w:t>
                  </w:r>
                </w:p>
              </w:tc>
              <w:tc>
                <w:tcPr>
                  <w:tcW w:w="459"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4" w:hRule="atLeast"/>
                <w:jc w:val="center"/>
              </w:trPr>
              <w:tc>
                <w:tcPr>
                  <w:tcW w:w="860" w:type="dxa"/>
                  <w:vMerge w:val="restar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园区企业入区的准入条件</w:t>
                  </w:r>
                </w:p>
              </w:tc>
              <w:tc>
                <w:tcPr>
                  <w:tcW w:w="715"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鼓励类</w:t>
                  </w:r>
                </w:p>
              </w:tc>
              <w:tc>
                <w:tcPr>
                  <w:tcW w:w="5169" w:type="dxa"/>
                  <w:gridSpan w:val="2"/>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一类工业用地及二类工业用地：机械、电子、食品三大产业、高新技术产业、能源产业及其他产业区。</w:t>
                  </w:r>
                </w:p>
              </w:tc>
              <w:tc>
                <w:tcPr>
                  <w:tcW w:w="1926" w:type="dxa"/>
                  <w:vMerge w:val="restar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本项目用地为二类工业用地，</w:t>
                  </w:r>
                  <w:r>
                    <w:rPr>
                      <w:rFonts w:hint="default" w:ascii="Times New Roman" w:hAnsi="Times New Roman" w:eastAsia="宋体" w:cs="Times New Roman"/>
                      <w:sz w:val="21"/>
                      <w:szCs w:val="21"/>
                      <w:lang w:val="en-US" w:eastAsia="zh-CN"/>
                    </w:rPr>
                    <w:t>为</w:t>
                  </w:r>
                  <w:r>
                    <w:rPr>
                      <w:rFonts w:hint="eastAsia" w:ascii="Times New Roman" w:hAnsi="Times New Roman" w:eastAsia="宋体" w:cs="Times New Roman"/>
                      <w:sz w:val="21"/>
                      <w:szCs w:val="21"/>
                    </w:rPr>
                    <w:t>废弃资源综合利用业</w:t>
                  </w:r>
                  <w:r>
                    <w:rPr>
                      <w:rFonts w:hint="eastAsia" w:ascii="Times New Roman" w:hAnsi="Times New Roman" w:eastAsia="宋体" w:cs="Times New Roman"/>
                      <w:sz w:val="21"/>
                      <w:szCs w:val="21"/>
                      <w:lang w:val="en-US" w:eastAsia="zh-CN"/>
                    </w:rPr>
                    <w:t>项目，不是园区限制类和禁止类项目。</w:t>
                  </w:r>
                </w:p>
              </w:tc>
              <w:tc>
                <w:tcPr>
                  <w:tcW w:w="459" w:type="dxa"/>
                  <w:vMerge w:val="restar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4" w:hRule="atLeast"/>
                <w:jc w:val="center"/>
              </w:trPr>
              <w:tc>
                <w:tcPr>
                  <w:tcW w:w="860" w:type="dxa"/>
                  <w:vMerge w:val="continue"/>
                  <w:tcBorders>
                    <w:tl2br w:val="nil"/>
                    <w:tr2bl w:val="nil"/>
                  </w:tcBorders>
                  <w:vAlign w:val="center"/>
                </w:tcPr>
                <w:p>
                  <w:pPr>
                    <w:adjustRightInd w:val="0"/>
                    <w:snapToGrid w:val="0"/>
                    <w:spacing w:line="240" w:lineRule="auto"/>
                    <w:jc w:val="center"/>
                    <w:rPr>
                      <w:rFonts w:ascii="Times New Roman" w:hAnsi="Times New Roman" w:eastAsia="宋体" w:cs="Times New Roman"/>
                      <w:sz w:val="21"/>
                      <w:szCs w:val="21"/>
                    </w:rPr>
                  </w:pPr>
                </w:p>
              </w:tc>
              <w:tc>
                <w:tcPr>
                  <w:tcW w:w="715"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允许类</w:t>
                  </w:r>
                </w:p>
              </w:tc>
              <w:tc>
                <w:tcPr>
                  <w:tcW w:w="5169" w:type="dxa"/>
                  <w:gridSpan w:val="2"/>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一类工业用地：服装、针织、缝纫，皮鞋、胶鞋、塑料；文化用品、工艺、体育用品、五金机械、家用电器、电子仪器、精密仪器。二类工业用地：污水排放量小的糖果、饮料 、干湿冻制品，污水排放量小的日用化工、医药制造、食品、农副产品深加工等，先进机械制造业，污染物小的生物工程和新材料加工等。</w:t>
                  </w:r>
                </w:p>
              </w:tc>
              <w:tc>
                <w:tcPr>
                  <w:tcW w:w="1926" w:type="dxa"/>
                  <w:vMerge w:val="continue"/>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459" w:type="dxa"/>
                  <w:vMerge w:val="continue"/>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4" w:hRule="atLeast"/>
                <w:jc w:val="center"/>
              </w:trPr>
              <w:tc>
                <w:tcPr>
                  <w:tcW w:w="860" w:type="dxa"/>
                  <w:vMerge w:val="continue"/>
                  <w:tcBorders>
                    <w:tl2br w:val="nil"/>
                    <w:tr2bl w:val="nil"/>
                  </w:tcBorders>
                  <w:vAlign w:val="center"/>
                </w:tcPr>
                <w:p>
                  <w:pPr>
                    <w:adjustRightInd w:val="0"/>
                    <w:snapToGrid w:val="0"/>
                    <w:spacing w:line="240" w:lineRule="auto"/>
                    <w:jc w:val="center"/>
                    <w:rPr>
                      <w:rFonts w:ascii="Times New Roman" w:hAnsi="Times New Roman" w:eastAsia="宋体" w:cs="Times New Roman"/>
                      <w:sz w:val="21"/>
                      <w:szCs w:val="21"/>
                    </w:rPr>
                  </w:pPr>
                </w:p>
              </w:tc>
              <w:tc>
                <w:tcPr>
                  <w:tcW w:w="715"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限制类</w:t>
                  </w:r>
                </w:p>
              </w:tc>
              <w:tc>
                <w:tcPr>
                  <w:tcW w:w="5169" w:type="dxa"/>
                  <w:gridSpan w:val="2"/>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一类工业用地：耗水量大的一类工业；二类工业用地：制革工业、电镀工业、食品工业的畜禽初加工（包括屠宰）、味精、发酵酿造；使用铅、砷、铬、镉等含重金属、剧毒物质为原料的项目，水耗、能耗较高的工业项目；现有生产能力大、市场容量小的项目。</w:t>
                  </w:r>
                </w:p>
              </w:tc>
              <w:tc>
                <w:tcPr>
                  <w:tcW w:w="1926" w:type="dxa"/>
                  <w:vMerge w:val="continue"/>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459" w:type="dxa"/>
                  <w:vMerge w:val="continue"/>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4" w:hRule="atLeast"/>
                <w:jc w:val="center"/>
              </w:trPr>
              <w:tc>
                <w:tcPr>
                  <w:tcW w:w="860" w:type="dxa"/>
                  <w:vMerge w:val="continue"/>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715"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禁止类</w:t>
                  </w:r>
                </w:p>
              </w:tc>
              <w:tc>
                <w:tcPr>
                  <w:tcW w:w="5169" w:type="dxa"/>
                  <w:gridSpan w:val="2"/>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一类工业用地：规划为一类工业用地只能引入一类工业，不得引进二类工业及其它高污染行业。</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二类工业用地：国家明令禁止的“十五小”“新五小”，造纸工业、炼油工业、农药工业、水处理设施不完善的企业禁止开工生产，冶炼有色金属、黑色金属，致癌、致畸、致突变产品的生产项目，来料加工的海外废金属、塑料、纸张工业；电力工业的小火力发电，大量排放二氧化硫和氮氧化物的工业项目。禁止涉及重金属排放的企业入驻，禁止引入化工类企业。</w:t>
                  </w:r>
                </w:p>
              </w:tc>
              <w:tc>
                <w:tcPr>
                  <w:tcW w:w="1926" w:type="dxa"/>
                  <w:vMerge w:val="continue"/>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459" w:type="dxa"/>
                  <w:vMerge w:val="continue"/>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76" w:hRule="atLeast"/>
                <w:jc w:val="center"/>
              </w:trPr>
              <w:tc>
                <w:tcPr>
                  <w:tcW w:w="860" w:type="dxa"/>
                  <w:vMerge w:val="restar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环境准入负面清单</w:t>
                  </w:r>
                </w:p>
              </w:tc>
              <w:tc>
                <w:tcPr>
                  <w:tcW w:w="715" w:type="dxa"/>
                  <w:vMerge w:val="restar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空间布局约束</w:t>
                  </w:r>
                </w:p>
              </w:tc>
              <w:tc>
                <w:tcPr>
                  <w:tcW w:w="1393" w:type="dxa"/>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rPr>
                    <w:t>生态保护红线</w:t>
                  </w:r>
                </w:p>
              </w:tc>
              <w:tc>
                <w:tcPr>
                  <w:tcW w:w="3776" w:type="dxa"/>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归阳工业园规划红线范围不涉及生态保护红线。</w:t>
                  </w:r>
                </w:p>
              </w:tc>
              <w:tc>
                <w:tcPr>
                  <w:tcW w:w="1926" w:type="dxa"/>
                  <w:vMerge w:val="restar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本项目</w:t>
                  </w:r>
                  <w:r>
                    <w:rPr>
                      <w:rFonts w:hint="eastAsia" w:ascii="Times New Roman" w:hAnsi="Times New Roman" w:eastAsia="宋体" w:cs="Times New Roman"/>
                      <w:sz w:val="21"/>
                      <w:szCs w:val="21"/>
                      <w:highlight w:val="none"/>
                      <w:lang w:val="en-US" w:eastAsia="zh-CN"/>
                    </w:rPr>
                    <w:t>废水经预处理达标后排放管网汇入园区污水处理厂处理。本</w:t>
                  </w:r>
                  <w:r>
                    <w:rPr>
                      <w:rFonts w:hint="eastAsia" w:ascii="Times New Roman" w:hAnsi="Times New Roman" w:eastAsia="宋体" w:cs="Times New Roman"/>
                      <w:sz w:val="21"/>
                      <w:szCs w:val="21"/>
                      <w:lang w:val="en-US" w:eastAsia="zh-CN"/>
                    </w:rPr>
                    <w:t>项目不属于气型污染物排放量的企业</w:t>
                  </w:r>
                  <w:r>
                    <w:rPr>
                      <w:rFonts w:hint="eastAsia" w:cs="Times New Roman"/>
                      <w:sz w:val="21"/>
                      <w:szCs w:val="21"/>
                      <w:lang w:val="en-US" w:eastAsia="zh-CN"/>
                    </w:rPr>
                    <w:t>，废气排放量较小</w:t>
                  </w:r>
                  <w:r>
                    <w:rPr>
                      <w:rFonts w:hint="eastAsia" w:ascii="Times New Roman" w:hAnsi="Times New Roman" w:eastAsia="宋体" w:cs="Times New Roman"/>
                      <w:sz w:val="21"/>
                      <w:szCs w:val="21"/>
                      <w:lang w:val="en-US" w:eastAsia="zh-CN"/>
                    </w:rPr>
                    <w:t>，也不属于园区禁止的</w:t>
                  </w:r>
                  <w:r>
                    <w:rPr>
                      <w:rFonts w:hint="eastAsia" w:ascii="Times New Roman" w:hAnsi="Times New Roman" w:eastAsia="宋体" w:cs="Times New Roman"/>
                      <w:sz w:val="21"/>
                      <w:szCs w:val="21"/>
                    </w:rPr>
                    <w:t>水泥行业、铸造行业、焦化、石油化工行业等具有高架点源的企业</w:t>
                  </w:r>
                  <w:r>
                    <w:rPr>
                      <w:rFonts w:hint="eastAsia" w:ascii="Times New Roman" w:hAnsi="Times New Roman" w:eastAsia="宋体" w:cs="Times New Roman"/>
                      <w:sz w:val="21"/>
                      <w:szCs w:val="21"/>
                      <w:lang w:eastAsia="zh-CN"/>
                    </w:rPr>
                    <w:t>。</w:t>
                  </w:r>
                </w:p>
              </w:tc>
              <w:tc>
                <w:tcPr>
                  <w:tcW w:w="459" w:type="dxa"/>
                  <w:vMerge w:val="restar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33" w:hRule="atLeast"/>
                <w:jc w:val="center"/>
              </w:trPr>
              <w:tc>
                <w:tcPr>
                  <w:tcW w:w="860" w:type="dxa"/>
                  <w:vMerge w:val="continue"/>
                  <w:tcBorders>
                    <w:tl2br w:val="nil"/>
                    <w:tr2bl w:val="nil"/>
                  </w:tcBorders>
                  <w:vAlign w:val="center"/>
                </w:tcPr>
                <w:p>
                  <w:pPr>
                    <w:adjustRightInd w:val="0"/>
                    <w:snapToGrid w:val="0"/>
                    <w:spacing w:line="240" w:lineRule="auto"/>
                    <w:jc w:val="center"/>
                    <w:rPr>
                      <w:rFonts w:ascii="Times New Roman" w:hAnsi="Times New Roman" w:eastAsia="宋体" w:cs="Times New Roman"/>
                      <w:sz w:val="21"/>
                      <w:szCs w:val="21"/>
                    </w:rPr>
                  </w:pPr>
                </w:p>
              </w:tc>
              <w:tc>
                <w:tcPr>
                  <w:tcW w:w="715" w:type="dxa"/>
                  <w:vMerge w:val="continue"/>
                  <w:tcBorders>
                    <w:tl2br w:val="nil"/>
                    <w:tr2bl w:val="nil"/>
                  </w:tcBorders>
                  <w:vAlign w:val="center"/>
                </w:tcPr>
                <w:p>
                  <w:pPr>
                    <w:adjustRightInd w:val="0"/>
                    <w:snapToGrid w:val="0"/>
                    <w:spacing w:line="240" w:lineRule="auto"/>
                    <w:jc w:val="center"/>
                    <w:rPr>
                      <w:rFonts w:ascii="Times New Roman" w:hAnsi="Times New Roman" w:eastAsia="宋体" w:cs="Times New Roman"/>
                      <w:sz w:val="21"/>
                      <w:szCs w:val="21"/>
                    </w:rPr>
                  </w:pPr>
                </w:p>
              </w:tc>
              <w:tc>
                <w:tcPr>
                  <w:tcW w:w="1393" w:type="dxa"/>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rPr>
                    <w:t>其他生态空间</w:t>
                  </w:r>
                </w:p>
              </w:tc>
              <w:tc>
                <w:tcPr>
                  <w:tcW w:w="3776" w:type="dxa"/>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禁止对归阳工业园规划保留的山体、林地及地质敏感地带进行开挖，禁止在自然山体及林地防护距离内进行施工活动。</w:t>
                  </w:r>
                </w:p>
              </w:tc>
              <w:tc>
                <w:tcPr>
                  <w:tcW w:w="1926" w:type="dxa"/>
                  <w:vMerge w:val="continue"/>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rPr>
                  </w:pPr>
                </w:p>
              </w:tc>
              <w:tc>
                <w:tcPr>
                  <w:tcW w:w="459" w:type="dxa"/>
                  <w:vMerge w:val="continue"/>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944" w:hRule="atLeast"/>
                <w:jc w:val="center"/>
              </w:trPr>
              <w:tc>
                <w:tcPr>
                  <w:tcW w:w="860" w:type="dxa"/>
                  <w:vMerge w:val="continue"/>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rPr>
                  </w:pPr>
                </w:p>
              </w:tc>
              <w:tc>
                <w:tcPr>
                  <w:tcW w:w="715" w:type="dxa"/>
                  <w:vMerge w:val="continue"/>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rPr>
                  </w:pPr>
                </w:p>
              </w:tc>
              <w:tc>
                <w:tcPr>
                  <w:tcW w:w="1393" w:type="dxa"/>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rPr>
                    <w:t>水环境优先保护区</w:t>
                  </w:r>
                </w:p>
              </w:tc>
              <w:tc>
                <w:tcPr>
                  <w:tcW w:w="3776" w:type="dxa"/>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归阳工业园涉及的地表水体：清河、白水、湘江。企业严格实行雨污分流，尽早完成工业区污水提升泵站的建设和管网连接。园区污水经过企业处理达标后全部进去园区污水处理厂处理达标后排至湘江。禁止引入涉及重金属排放的企业。</w:t>
                  </w:r>
                </w:p>
              </w:tc>
              <w:tc>
                <w:tcPr>
                  <w:tcW w:w="1926" w:type="dxa"/>
                  <w:vMerge w:val="continue"/>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rPr>
                  </w:pPr>
                </w:p>
              </w:tc>
              <w:tc>
                <w:tcPr>
                  <w:tcW w:w="459" w:type="dxa"/>
                  <w:vMerge w:val="continue"/>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33" w:hRule="atLeast"/>
                <w:jc w:val="center"/>
              </w:trPr>
              <w:tc>
                <w:tcPr>
                  <w:tcW w:w="860" w:type="dxa"/>
                  <w:vMerge w:val="continue"/>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rPr>
                  </w:pPr>
                </w:p>
              </w:tc>
              <w:tc>
                <w:tcPr>
                  <w:tcW w:w="715" w:type="dxa"/>
                  <w:vMerge w:val="continue"/>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rPr>
                  </w:pPr>
                </w:p>
              </w:tc>
              <w:tc>
                <w:tcPr>
                  <w:tcW w:w="1393" w:type="dxa"/>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rPr>
                    <w:t>大气环境优先保护区</w:t>
                  </w:r>
                </w:p>
              </w:tc>
              <w:tc>
                <w:tcPr>
                  <w:tcW w:w="3776" w:type="dxa"/>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优化产业定位和功能布局，严格控制气型污染物排放量大的（如建材）企业入园，对入园企业提出限制，禁止水泥行业、铸造行业、焦化、石油化工行业等具有高架点源的企业入园，工业园不新增三类工业用地。</w:t>
                  </w:r>
                </w:p>
              </w:tc>
              <w:tc>
                <w:tcPr>
                  <w:tcW w:w="1926" w:type="dxa"/>
                  <w:vMerge w:val="continue"/>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rPr>
                  </w:pPr>
                </w:p>
              </w:tc>
              <w:tc>
                <w:tcPr>
                  <w:tcW w:w="459" w:type="dxa"/>
                  <w:vMerge w:val="continue"/>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33" w:hRule="atLeast"/>
                <w:jc w:val="center"/>
              </w:trPr>
              <w:tc>
                <w:tcPr>
                  <w:tcW w:w="860" w:type="dxa"/>
                  <w:vMerge w:val="continue"/>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rPr>
                  </w:pPr>
                </w:p>
              </w:tc>
              <w:tc>
                <w:tcPr>
                  <w:tcW w:w="715" w:type="dxa"/>
                  <w:vMerge w:val="restar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污染</w:t>
                  </w:r>
                </w:p>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物排</w:t>
                  </w:r>
                </w:p>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放管</w:t>
                  </w:r>
                </w:p>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束</w:t>
                  </w:r>
                </w:p>
              </w:tc>
              <w:tc>
                <w:tcPr>
                  <w:tcW w:w="1393" w:type="dxa"/>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rPr>
                    <w:t>水环境工业污染源重点管控区</w:t>
                  </w:r>
                </w:p>
              </w:tc>
              <w:tc>
                <w:tcPr>
                  <w:tcW w:w="3776" w:type="dxa"/>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归阳工业园应加强环境管理和监测体系，督促各企业废水处理系统正常运行，杜绝废水超标排放污染地表水体。企业内严格实行雨污分流，企业生产污水需要进行预处理后排入工业园污水处理厂进行处理，污水厂尾水出水水质按《城镇污水处理厂污染物排放标准》（GB18918-2002）一级标准的B标准排至湘江。</w:t>
                  </w:r>
                </w:p>
              </w:tc>
              <w:tc>
                <w:tcPr>
                  <w:tcW w:w="1926"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highlight w:val="none"/>
                      <w:lang w:val="en-US" w:eastAsia="zh-CN"/>
                    </w:rPr>
                    <w:t>本项目废水经预处理达标后排入归阳污水处理厂处理。</w:t>
                  </w:r>
                </w:p>
              </w:tc>
              <w:tc>
                <w:tcPr>
                  <w:tcW w:w="459" w:type="dxa"/>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33" w:hRule="atLeast"/>
                <w:jc w:val="center"/>
              </w:trPr>
              <w:tc>
                <w:tcPr>
                  <w:tcW w:w="860" w:type="dxa"/>
                  <w:vMerge w:val="continue"/>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rPr>
                  </w:pPr>
                </w:p>
              </w:tc>
              <w:tc>
                <w:tcPr>
                  <w:tcW w:w="715" w:type="dxa"/>
                  <w:vMerge w:val="continue"/>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rPr>
                  </w:pPr>
                </w:p>
              </w:tc>
              <w:tc>
                <w:tcPr>
                  <w:tcW w:w="1393" w:type="dxa"/>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rPr>
                    <w:t>大气环境布局敏感重点管控区</w:t>
                  </w:r>
                </w:p>
              </w:tc>
              <w:tc>
                <w:tcPr>
                  <w:tcW w:w="3776" w:type="dxa"/>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1）不得新建 10 吨/以下的燃煤锅炉，使用 10 吨及以上蒸吨的燃煤锅炉时必须配套锅炉脱硫除尘设施，备用锅炉必须采用天然气或轻质柴油。加快推进“煤改气”、“煤改电”工程建设。</w:t>
                  </w:r>
                </w:p>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2）国家明令禁止的“十五小”“新五小”，造纸工业、炼油工业、农药工业、水处理设施不完善的企业禁止开工生产，冶炼有色金属、黑色金属，致癌、致畸、致突变产品的生产项目，来料加工的海外废金属、塑料、纸张工业；电力工业的小火力发电，大量排放二氧化硫和氮氧化物的工业项目禁止引入。</w:t>
                  </w:r>
                </w:p>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（3）园区应加强环境管理和监测体系，督促各企业废气处理装置正常运行，确保入园企业各生产装置排放的废气经处理达到相应的排放标准。</w:t>
                  </w:r>
                </w:p>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4）加强园区规划实施过程中施工扬尘监管，积极推进绿色施工，建设工程施工现场应全封闭设置围挡墙，严禁敞开式作业，施工现场道路应进行地面硬化。渣土运输车辆应采取密闭措施，推行道路机械化清扫等低尘作业方式。大型煤堆、料堆要实现封闭储存或建设防风抑尘设施。</w:t>
                  </w:r>
                </w:p>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（5）园区内餐饮服务经营场所应安装高效油烟净化设施，推广使用高效净化型家用吸油烟机。</w:t>
                  </w:r>
                </w:p>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（6）禁止引进不符合经开区产业定位和用地性质的企业。</w:t>
                  </w:r>
                </w:p>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7）各企业应加强生产工艺研究与技术改进，采取有效措施，减少工艺废气的无组织排放；对有工艺废气产出的生产节点，配置废气收集与净化处理装置，确保达标排放；产生有害废气的企业须严格按项目环评要求设置大气防护距离。</w:t>
                  </w:r>
                </w:p>
              </w:tc>
              <w:tc>
                <w:tcPr>
                  <w:tcW w:w="1926"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本项目不设置锅炉，不属于</w:t>
                  </w:r>
                  <w:r>
                    <w:rPr>
                      <w:rFonts w:hint="eastAsia" w:ascii="Times New Roman" w:hAnsi="Times New Roman" w:eastAsia="宋体" w:cs="Times New Roman"/>
                      <w:sz w:val="21"/>
                      <w:szCs w:val="21"/>
                    </w:rPr>
                    <w:t>国家明令禁止的“十五小”“新五小”</w:t>
                  </w:r>
                  <w:r>
                    <w:rPr>
                      <w:rFonts w:hint="eastAsia" w:ascii="Times New Roman" w:hAnsi="Times New Roman" w:eastAsia="宋体" w:cs="Times New Roman"/>
                      <w:sz w:val="21"/>
                      <w:szCs w:val="21"/>
                      <w:lang w:val="en-US" w:eastAsia="zh-CN"/>
                    </w:rPr>
                    <w:t>企业。本项目不涉及有毒有害气体，根据大气环境影响分析结论，无需设置大气防护距离。</w:t>
                  </w:r>
                </w:p>
              </w:tc>
              <w:tc>
                <w:tcPr>
                  <w:tcW w:w="459" w:type="dxa"/>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33" w:hRule="atLeast"/>
                <w:jc w:val="center"/>
              </w:trPr>
              <w:tc>
                <w:tcPr>
                  <w:tcW w:w="860" w:type="dxa"/>
                  <w:vMerge w:val="continue"/>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rPr>
                  </w:pPr>
                </w:p>
              </w:tc>
              <w:tc>
                <w:tcPr>
                  <w:tcW w:w="715" w:type="dxa"/>
                  <w:vMerge w:val="restar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环境</w:t>
                  </w:r>
                </w:p>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风险</w:t>
                  </w:r>
                </w:p>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防控</w:t>
                  </w:r>
                </w:p>
              </w:tc>
              <w:tc>
                <w:tcPr>
                  <w:tcW w:w="1393" w:type="dxa"/>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各优先保护单元；</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rPr>
                    <w:t>大气环境工业污染源重点管控区</w:t>
                  </w:r>
                </w:p>
              </w:tc>
              <w:tc>
                <w:tcPr>
                  <w:tcW w:w="3776" w:type="dxa"/>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（1）禁止水泥行业、铸造行业、焦化、石油化工行业等具有高架点源的企业入园，规划的三类用地除已经建设的顺隆公司，工业园不再新增三类工业用地。</w:t>
                  </w:r>
                </w:p>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（2）禁止新建 10 蒸吨/时及以下燃煤锅炉。</w:t>
                  </w:r>
                </w:p>
              </w:tc>
              <w:tc>
                <w:tcPr>
                  <w:tcW w:w="1926"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本项目不设置锅炉，也不属于园区禁止的</w:t>
                  </w:r>
                  <w:r>
                    <w:rPr>
                      <w:rFonts w:hint="eastAsia" w:ascii="Times New Roman" w:hAnsi="Times New Roman" w:eastAsia="宋体" w:cs="Times New Roman"/>
                      <w:sz w:val="21"/>
                      <w:szCs w:val="21"/>
                    </w:rPr>
                    <w:t>水泥行业、铸造行业、焦化、石油化工行业等具有高架点源的企业</w:t>
                  </w:r>
                  <w:r>
                    <w:rPr>
                      <w:rFonts w:hint="eastAsia" w:ascii="Times New Roman" w:hAnsi="Times New Roman" w:eastAsia="宋体" w:cs="Times New Roman"/>
                      <w:sz w:val="21"/>
                      <w:szCs w:val="21"/>
                      <w:lang w:eastAsia="zh-CN"/>
                    </w:rPr>
                    <w:t>。</w:t>
                  </w:r>
                </w:p>
              </w:tc>
              <w:tc>
                <w:tcPr>
                  <w:tcW w:w="459" w:type="dxa"/>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072" w:hRule="atLeast"/>
                <w:jc w:val="center"/>
              </w:trPr>
              <w:tc>
                <w:tcPr>
                  <w:tcW w:w="860" w:type="dxa"/>
                  <w:vMerge w:val="continue"/>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rPr>
                  </w:pPr>
                </w:p>
              </w:tc>
              <w:tc>
                <w:tcPr>
                  <w:tcW w:w="715" w:type="dxa"/>
                  <w:vMerge w:val="continue"/>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rPr>
                  </w:pPr>
                </w:p>
              </w:tc>
              <w:tc>
                <w:tcPr>
                  <w:tcW w:w="1393" w:type="dxa"/>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rPr>
                    <w:t>建设用地污染风险重点管控区</w:t>
                  </w:r>
                </w:p>
              </w:tc>
              <w:tc>
                <w:tcPr>
                  <w:tcW w:w="3776" w:type="dxa"/>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1）各企业应加强生产管理，根据《建设项目环境风险评价技术导则》（HJ169-2018）、《企业突发环境事件风险分级方法》（HJ941-2018）等法律法规、技术规范的要求，制定突发环境事件应急预案，并落实环境风险防控措施。</w:t>
                  </w:r>
                </w:p>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2）园区禁止引入涉重金属、持久性有机物等有毒有害污染物的工业企业。进入经开区的企业应尽可能使用低毒害或无毒无害的原辅材料，根据《建设项目环境风险评价技术导则》（HJ169-2018）、《企业突发环境事件风险分级方法》（HJ941-2018）等法律法规、技术规范的要求，编制突发环境事件应急预案，并落实环境风险防控措施。</w:t>
                  </w:r>
                </w:p>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（3）园区内加油站、油库等风险源建设前必须进行相应的环境影响评价及安全评价，杜绝风险事故的发生。</w:t>
                  </w:r>
                </w:p>
              </w:tc>
              <w:tc>
                <w:tcPr>
                  <w:tcW w:w="1926"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本项目不涉及重金属、持久性有机物。环评要求建设单位编制突发环境事件应急预案，并落实风险防控措施，定期开展演练。</w:t>
                  </w:r>
                </w:p>
              </w:tc>
              <w:tc>
                <w:tcPr>
                  <w:tcW w:w="459" w:type="dxa"/>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916" w:hRule="atLeast"/>
                <w:jc w:val="center"/>
              </w:trPr>
              <w:tc>
                <w:tcPr>
                  <w:tcW w:w="860" w:type="dxa"/>
                  <w:vMerge w:val="continue"/>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rPr>
                  </w:pPr>
                </w:p>
              </w:tc>
              <w:tc>
                <w:tcPr>
                  <w:tcW w:w="715" w:type="dxa"/>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资源</w:t>
                  </w:r>
                </w:p>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开发</w:t>
                  </w:r>
                </w:p>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效率</w:t>
                  </w:r>
                </w:p>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要求</w:t>
                  </w:r>
                </w:p>
              </w:tc>
              <w:tc>
                <w:tcPr>
                  <w:tcW w:w="1393" w:type="dxa"/>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rPr>
                    <w:t>高污染燃料禁燃区</w:t>
                  </w:r>
                </w:p>
              </w:tc>
              <w:tc>
                <w:tcPr>
                  <w:tcW w:w="3776" w:type="dxa"/>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不得新建 10 吨/以下的燃煤锅炉，使用 10 吨及以上蒸吨的燃煤锅炉时必须配套锅炉脱硫除尘设施，备用锅炉必须采用天然气或轻质柴油。加快推进“煤改气”、“煤改电”工程建设。</w:t>
                  </w:r>
                </w:p>
              </w:tc>
              <w:tc>
                <w:tcPr>
                  <w:tcW w:w="1926"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本项目不设置锅炉</w:t>
                  </w:r>
                </w:p>
              </w:tc>
              <w:tc>
                <w:tcPr>
                  <w:tcW w:w="459" w:type="dxa"/>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bl>
          <w:p>
            <w:pPr>
              <w:adjustRightInd w:val="0"/>
              <w:snapToGrid w:val="0"/>
              <w:spacing w:line="240" w:lineRule="auto"/>
              <w:jc w:val="left"/>
              <w:rPr>
                <w:vertAlign w:val="baseli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9" w:type="dxa"/>
            <w:vAlign w:val="center"/>
          </w:tcPr>
          <w:p>
            <w:pPr>
              <w:adjustRightInd w:val="0"/>
              <w:snapToGrid w:val="0"/>
              <w:spacing w:line="240" w:lineRule="auto"/>
              <w:jc w:val="left"/>
              <w:rPr>
                <w:rFonts w:hint="eastAsia" w:ascii="Times New Roman" w:hAnsi="Times New Roman" w:eastAsia="宋体" w:cs="宋体"/>
                <w:color w:val="auto"/>
                <w:sz w:val="24"/>
                <w:szCs w:val="24"/>
                <w:u w:val="none" w:color="auto"/>
              </w:rPr>
            </w:pPr>
            <w:r>
              <w:rPr>
                <w:rFonts w:hint="eastAsia" w:ascii="宋体" w:hAnsi="宋体" w:cs="宋体"/>
                <w:kern w:val="0"/>
                <w:szCs w:val="21"/>
              </w:rPr>
              <w:t>其他符合性分析</w:t>
            </w:r>
          </w:p>
        </w:tc>
        <w:tc>
          <w:tcPr>
            <w:tcW w:w="8602" w:type="dxa"/>
            <w:vAlign w:val="center"/>
          </w:tcPr>
          <w:p>
            <w:pPr>
              <w:pStyle w:val="25"/>
              <w:bidi w:val="0"/>
              <w:jc w:val="left"/>
              <w:rPr>
                <w:rFonts w:hint="eastAsia" w:eastAsia="宋体"/>
                <w:lang w:val="en-US" w:eastAsia="zh-CN"/>
              </w:rPr>
            </w:pPr>
            <w:r>
              <w:rPr>
                <w:rFonts w:hint="eastAsia"/>
                <w:b/>
                <w:bCs/>
                <w:lang w:val="en-US" w:eastAsia="zh-CN"/>
              </w:rPr>
              <w:t>1、产业政策符合性分析</w:t>
            </w:r>
          </w:p>
          <w:p>
            <w:pPr>
              <w:pStyle w:val="25"/>
              <w:bidi w:val="0"/>
              <w:jc w:val="left"/>
            </w:pPr>
            <w:r>
              <w:rPr>
                <w:rFonts w:hint="eastAsia"/>
              </w:rPr>
              <w:t>本项目为报废机动车拆解建设项目</w:t>
            </w:r>
            <w:r>
              <w:rPr>
                <w:rFonts w:hint="eastAsia" w:ascii="宋体" w:hAnsi="宋体" w:eastAsia="宋体" w:cs="宋体"/>
              </w:rPr>
              <w:t>，</w:t>
            </w:r>
            <w:r>
              <w:rPr>
                <w:rFonts w:hint="eastAsia"/>
              </w:rPr>
              <w:t>根据国家发展和改革委员会第29号令《产业结构调整指导目录》（2019年本</w:t>
            </w:r>
            <w:r>
              <w:rPr>
                <w:rFonts w:hint="eastAsia" w:ascii="宋体" w:hAnsi="宋体" w:eastAsia="宋体" w:cs="宋体"/>
              </w:rPr>
              <w:t>，</w:t>
            </w:r>
            <w:r>
              <w:rPr>
                <w:rFonts w:hint="eastAsia"/>
              </w:rPr>
              <w:t>2021年修改）</w:t>
            </w:r>
            <w:r>
              <w:rPr>
                <w:rFonts w:hint="eastAsia" w:ascii="宋体" w:hAnsi="宋体" w:eastAsia="宋体" w:cs="宋体"/>
              </w:rPr>
              <w:t>，</w:t>
            </w:r>
            <w:r>
              <w:rPr>
                <w:rFonts w:hint="eastAsia"/>
              </w:rPr>
              <w:t>本项目属于鼓励类</w:t>
            </w:r>
            <w:r>
              <w:rPr>
                <w:rFonts w:hint="eastAsia" w:ascii="宋体" w:hAnsi="宋体" w:eastAsia="宋体" w:cs="宋体"/>
              </w:rPr>
              <w:t>“</w:t>
            </w:r>
            <w:r>
              <w:rPr>
                <w:rFonts w:hint="eastAsia"/>
              </w:rPr>
              <w:t>四十三、环境保护与资源节约综合利用</w:t>
            </w:r>
            <w:r>
              <w:rPr>
                <w:rFonts w:hint="eastAsia" w:ascii="宋体" w:hAnsi="宋体" w:eastAsia="宋体" w:cs="宋体"/>
              </w:rPr>
              <w:t>”</w:t>
            </w:r>
            <w:r>
              <w:rPr>
                <w:rFonts w:hint="eastAsia"/>
              </w:rPr>
              <w:t>中的第5条</w:t>
            </w:r>
            <w:r>
              <w:rPr>
                <w:rFonts w:hint="eastAsia" w:ascii="宋体" w:hAnsi="宋体" w:eastAsia="宋体" w:cs="宋体"/>
              </w:rPr>
              <w:t>“</w:t>
            </w:r>
            <w:r>
              <w:rPr>
                <w:rFonts w:hint="eastAsia"/>
              </w:rPr>
              <w:t>区域性废旧汽车、废旧</w:t>
            </w:r>
            <w:r>
              <w:rPr>
                <w:rFonts w:hint="eastAsia"/>
                <w:lang w:eastAsia="zh-CN"/>
              </w:rPr>
              <w:t>电器</w:t>
            </w:r>
            <w:r>
              <w:rPr>
                <w:rFonts w:hint="eastAsia"/>
              </w:rPr>
              <w:t>电子产品、废旧船舶、废钢铁、废旧木材、废旧橡胶等资源循环利用基地建设</w:t>
            </w:r>
            <w:r>
              <w:rPr>
                <w:rFonts w:hint="eastAsia" w:ascii="宋体" w:hAnsi="宋体" w:eastAsia="宋体" w:cs="宋体"/>
              </w:rPr>
              <w:t>”。</w:t>
            </w:r>
          </w:p>
          <w:p>
            <w:pPr>
              <w:pStyle w:val="25"/>
              <w:bidi w:val="0"/>
              <w:jc w:val="left"/>
              <w:rPr>
                <w:rFonts w:hint="eastAsia" w:ascii="宋体" w:hAnsi="宋体" w:eastAsia="宋体" w:cs="宋体"/>
                <w:lang w:val="en-US" w:eastAsia="zh-CN"/>
              </w:rPr>
            </w:pPr>
            <w:r>
              <w:rPr>
                <w:rFonts w:hint="eastAsia"/>
                <w:lang w:val="en-US" w:eastAsia="zh-CN"/>
              </w:rPr>
              <w:t>综上所述</w:t>
            </w:r>
            <w:r>
              <w:rPr>
                <w:rFonts w:hint="eastAsia" w:ascii="宋体" w:hAnsi="宋体" w:eastAsia="宋体" w:cs="宋体"/>
                <w:lang w:val="en-US" w:eastAsia="zh-CN"/>
              </w:rPr>
              <w:t>，</w:t>
            </w:r>
            <w:r>
              <w:rPr>
                <w:rFonts w:hint="eastAsia"/>
                <w:lang w:val="en-US" w:eastAsia="zh-CN"/>
              </w:rPr>
              <w:t>本项目符合国家产业政策</w:t>
            </w:r>
            <w:r>
              <w:rPr>
                <w:rFonts w:hint="eastAsia" w:ascii="宋体" w:hAnsi="宋体" w:eastAsia="宋体" w:cs="宋体"/>
                <w:lang w:val="en-US" w:eastAsia="zh-CN"/>
              </w:rPr>
              <w:t>。</w:t>
            </w:r>
          </w:p>
          <w:p>
            <w:pPr>
              <w:keepNext w:val="0"/>
              <w:keepLines w:val="0"/>
              <w:pageBreakBefore w:val="0"/>
              <w:widowControl w:val="0"/>
              <w:kinsoku/>
              <w:wordWrap/>
              <w:overflowPunct/>
              <w:topLinePunct w:val="0"/>
              <w:bidi w:val="0"/>
              <w:spacing w:line="360" w:lineRule="auto"/>
              <w:ind w:firstLine="482" w:firstLineChars="200"/>
              <w:textAlignment w:val="auto"/>
              <w:rPr>
                <w:rFonts w:hint="eastAsia" w:ascii="Times New Roman" w:hAnsi="Times New Roman" w:eastAsia="宋体"/>
                <w:b/>
                <w:color w:val="auto"/>
                <w:sz w:val="24"/>
                <w:szCs w:val="24"/>
                <w:u w:val="none" w:color="auto"/>
              </w:rPr>
            </w:pPr>
            <w:r>
              <w:rPr>
                <w:rFonts w:hint="eastAsia" w:ascii="Times New Roman" w:hAnsi="Times New Roman" w:eastAsia="宋体"/>
                <w:b/>
                <w:color w:val="auto"/>
                <w:sz w:val="24"/>
                <w:szCs w:val="24"/>
                <w:u w:val="none" w:color="auto"/>
              </w:rPr>
              <w:t>2、项目选址符合性分析</w:t>
            </w:r>
          </w:p>
          <w:p>
            <w:pPr>
              <w:pStyle w:val="44"/>
              <w:ind w:firstLine="420"/>
              <w:rPr>
                <w:snapToGrid w:val="0"/>
                <w:color w:val="auto"/>
                <w:sz w:val="24"/>
                <w:szCs w:val="24"/>
                <w:u w:color="auto"/>
              </w:rPr>
            </w:pPr>
            <w:r>
              <w:rPr>
                <w:rFonts w:hint="eastAsia"/>
                <w:snapToGrid w:val="0"/>
                <w:color w:val="auto"/>
                <w:sz w:val="24"/>
                <w:szCs w:val="24"/>
                <w:u w:color="auto"/>
              </w:rPr>
              <w:t>对照国家国土资源部、发改委2012年5月23日联合发布实施的《限制用地项目目录（2012年本）》和《禁止用地项目目录（2012年本）》，本项目不在其发布的限制用地和禁止用地范围内，因此本项目的建设符合国家相关用地政策。</w:t>
            </w:r>
          </w:p>
          <w:p>
            <w:pPr>
              <w:pStyle w:val="44"/>
              <w:ind w:firstLine="420"/>
              <w:rPr>
                <w:rFonts w:hint="eastAsia"/>
                <w:snapToGrid w:val="0"/>
                <w:color w:val="auto"/>
                <w:sz w:val="24"/>
                <w:szCs w:val="24"/>
                <w:u w:color="auto"/>
              </w:rPr>
            </w:pPr>
            <w:r>
              <w:rPr>
                <w:rFonts w:hint="eastAsia" w:ascii="Times New Roman" w:hAnsi="Times New Roman" w:eastAsia="宋体"/>
                <w:color w:val="auto"/>
                <w:sz w:val="24"/>
                <w:szCs w:val="24"/>
                <w:u w:color="auto"/>
                <w:lang w:val="en-US" w:eastAsia="zh-CN"/>
              </w:rPr>
              <w:t>本</w:t>
            </w:r>
            <w:r>
              <w:rPr>
                <w:rFonts w:hint="eastAsia" w:ascii="Times New Roman" w:hAnsi="Times New Roman" w:eastAsia="宋体"/>
                <w:color w:val="auto"/>
                <w:sz w:val="24"/>
                <w:szCs w:val="24"/>
                <w:u w:color="auto"/>
              </w:rPr>
              <w:t>项目位于</w:t>
            </w:r>
            <w:r>
              <w:rPr>
                <w:rFonts w:hint="eastAsia"/>
                <w:color w:val="auto"/>
                <w:sz w:val="24"/>
                <w:szCs w:val="24"/>
                <w:u w:color="auto"/>
                <w:lang w:eastAsia="zh-CN"/>
              </w:rPr>
              <w:t>湖南省衡阳市</w:t>
            </w:r>
            <w:r>
              <w:rPr>
                <w:rFonts w:hint="eastAsia"/>
                <w:color w:val="auto"/>
                <w:sz w:val="24"/>
                <w:szCs w:val="24"/>
                <w:u w:color="auto"/>
                <w:lang w:val="en-US" w:eastAsia="zh-CN"/>
              </w:rPr>
              <w:t>祁东县归阳工业园云鹤循环经济产业园</w:t>
            </w:r>
            <w:r>
              <w:rPr>
                <w:rFonts w:hint="eastAsia" w:ascii="Times New Roman" w:hAnsi="Times New Roman" w:eastAsia="宋体"/>
                <w:color w:val="auto"/>
                <w:sz w:val="24"/>
                <w:szCs w:val="24"/>
                <w:u w:color="auto"/>
              </w:rPr>
              <w:t>，</w:t>
            </w:r>
            <w:r>
              <w:rPr>
                <w:rFonts w:hint="eastAsia"/>
                <w:color w:val="auto"/>
                <w:sz w:val="24"/>
                <w:szCs w:val="24"/>
                <w:u w:color="auto"/>
                <w:lang w:val="en-US" w:eastAsia="zh-CN"/>
              </w:rPr>
              <w:t>项目总用地面10666.67m</w:t>
            </w:r>
            <w:r>
              <w:rPr>
                <w:rFonts w:hint="eastAsia"/>
                <w:color w:val="auto"/>
                <w:sz w:val="24"/>
                <w:szCs w:val="24"/>
                <w:u w:color="auto"/>
                <w:vertAlign w:val="superscript"/>
                <w:lang w:val="en-US" w:eastAsia="zh-CN"/>
              </w:rPr>
              <w:t>2</w:t>
            </w:r>
            <w:r>
              <w:rPr>
                <w:rFonts w:hint="eastAsia"/>
                <w:color w:val="auto"/>
                <w:sz w:val="24"/>
                <w:szCs w:val="24"/>
                <w:u w:color="auto"/>
                <w:lang w:val="en-US" w:eastAsia="zh-CN"/>
              </w:rPr>
              <w:t>，</w:t>
            </w:r>
            <w:r>
              <w:rPr>
                <w:rFonts w:hint="eastAsia" w:ascii="Times New Roman" w:hAnsi="Times New Roman" w:eastAsia="宋体"/>
                <w:color w:val="auto"/>
                <w:sz w:val="24"/>
                <w:szCs w:val="24"/>
                <w:u w:color="auto"/>
                <w:lang w:val="en-US" w:eastAsia="zh-CN"/>
              </w:rPr>
              <w:t>属于工业用地。</w:t>
            </w:r>
            <w:r>
              <w:rPr>
                <w:rFonts w:hint="eastAsia"/>
                <w:snapToGrid w:val="0"/>
                <w:color w:val="auto"/>
                <w:sz w:val="24"/>
                <w:szCs w:val="24"/>
                <w:u w:color="auto"/>
              </w:rPr>
              <w:t>项目选址不在城市居民区、商业区、饮用水水源保护区及其他环境敏感区内，且避开环境威胁的地带、地段和地区，未占用基本农田，也未占用生态公益林地，项目选址合理。</w:t>
            </w:r>
          </w:p>
          <w:p>
            <w:pPr>
              <w:pStyle w:val="44"/>
              <w:ind w:firstLine="420"/>
              <w:rPr>
                <w:rFonts w:hint="eastAsia"/>
                <w:snapToGrid w:val="0"/>
                <w:color w:val="auto"/>
                <w:sz w:val="24"/>
                <w:szCs w:val="24"/>
                <w:u w:color="auto"/>
              </w:rPr>
            </w:pPr>
            <w:r>
              <w:rPr>
                <w:rFonts w:hint="eastAsia"/>
                <w:snapToGrid w:val="0"/>
                <w:color w:val="auto"/>
                <w:sz w:val="24"/>
                <w:szCs w:val="24"/>
                <w:u w:color="auto"/>
              </w:rPr>
              <w:t>根据工程分析可知，项目运营期产生的大气污染物在严格按照本环评要求执行后，对周边环境影响较小，项目排放的各污染物经治理后对敏感目标的影响均在允许范围内。项目建成后产生的污染物采取有效的治理措施后均能达到国家的有关排放标准要求，不会导致项目所在地区环境功能类别的改变，对当地环境影响较小，因此本项目的选址合理。</w:t>
            </w:r>
          </w:p>
          <w:p>
            <w:pPr>
              <w:keepNext w:val="0"/>
              <w:keepLines w:val="0"/>
              <w:pageBreakBefore w:val="0"/>
              <w:kinsoku/>
              <w:wordWrap/>
              <w:overflowPunct/>
              <w:topLinePunct w:val="0"/>
              <w:autoSpaceDE/>
              <w:autoSpaceDN/>
              <w:bidi w:val="0"/>
              <w:adjustRightInd/>
              <w:snapToGrid/>
              <w:spacing w:line="360" w:lineRule="auto"/>
              <w:ind w:firstLine="482" w:firstLineChars="200"/>
              <w:textAlignment w:val="auto"/>
              <w:rPr>
                <w:rFonts w:hint="eastAsia" w:ascii="Times New Roman" w:hAnsi="Times New Roman" w:eastAsia="宋体"/>
                <w:b/>
                <w:color w:val="auto"/>
                <w:sz w:val="24"/>
                <w:szCs w:val="24"/>
                <w:u w:val="none" w:color="auto"/>
              </w:rPr>
            </w:pPr>
            <w:r>
              <w:rPr>
                <w:rFonts w:hint="eastAsia" w:ascii="Times New Roman" w:hAnsi="Times New Roman" w:eastAsia="宋体"/>
                <w:b/>
                <w:color w:val="auto"/>
                <w:sz w:val="24"/>
                <w:szCs w:val="24"/>
                <w:u w:val="none" w:color="auto"/>
              </w:rPr>
              <w:t>3、“三线一单”相符性分析</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宋体"/>
                <w:color w:val="auto"/>
                <w:kern w:val="0"/>
                <w:sz w:val="24"/>
                <w:szCs w:val="24"/>
                <w:u w:val="none" w:color="auto"/>
                <w:lang w:val="en-US" w:eastAsia="zh-CN" w:bidi="ar"/>
              </w:rPr>
            </w:pPr>
            <w:r>
              <w:rPr>
                <w:rFonts w:hint="eastAsia" w:ascii="Times New Roman" w:hAnsi="Times New Roman" w:eastAsia="宋体" w:cs="宋体"/>
                <w:color w:val="auto"/>
                <w:kern w:val="0"/>
                <w:sz w:val="24"/>
                <w:szCs w:val="24"/>
                <w:u w:val="none" w:color="auto"/>
                <w:lang w:val="en-US" w:eastAsia="zh-CN" w:bidi="ar"/>
              </w:rPr>
              <w:t>（1）生态保护红线</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宋体"/>
                <w:color w:val="auto"/>
                <w:kern w:val="0"/>
                <w:sz w:val="24"/>
                <w:szCs w:val="24"/>
                <w:u w:val="none" w:color="auto"/>
                <w:lang w:val="en-US" w:eastAsia="zh-CN" w:bidi="ar"/>
              </w:rPr>
            </w:pPr>
            <w:r>
              <w:rPr>
                <w:rFonts w:hint="eastAsia" w:ascii="Times New Roman" w:hAnsi="Times New Roman" w:eastAsia="宋体"/>
                <w:color w:val="auto"/>
                <w:sz w:val="24"/>
                <w:szCs w:val="24"/>
                <w:u w:color="auto"/>
                <w:lang w:val="en-US" w:eastAsia="zh-CN"/>
              </w:rPr>
              <w:t>本</w:t>
            </w:r>
            <w:r>
              <w:rPr>
                <w:rFonts w:hint="eastAsia" w:ascii="Times New Roman" w:hAnsi="Times New Roman" w:eastAsia="宋体"/>
                <w:color w:val="auto"/>
                <w:sz w:val="24"/>
                <w:szCs w:val="24"/>
                <w:u w:color="auto"/>
              </w:rPr>
              <w:t>项目位于</w:t>
            </w:r>
            <w:r>
              <w:rPr>
                <w:rFonts w:hint="eastAsia"/>
                <w:color w:val="auto"/>
                <w:sz w:val="24"/>
                <w:szCs w:val="24"/>
                <w:u w:color="auto"/>
                <w:lang w:eastAsia="zh-CN"/>
              </w:rPr>
              <w:t>湖南省衡阳市</w:t>
            </w:r>
            <w:r>
              <w:rPr>
                <w:rFonts w:hint="eastAsia"/>
                <w:color w:val="auto"/>
                <w:sz w:val="24"/>
                <w:szCs w:val="24"/>
                <w:u w:color="auto"/>
                <w:lang w:val="en-US" w:eastAsia="zh-CN"/>
              </w:rPr>
              <w:t>祁东县归阳工业园云鹤循环经济产业园</w:t>
            </w:r>
            <w:r>
              <w:rPr>
                <w:rFonts w:ascii="Times New Roman" w:hAnsi="Times New Roman" w:eastAsia="宋体" w:cs="宋体"/>
                <w:color w:val="auto"/>
                <w:sz w:val="24"/>
                <w:szCs w:val="24"/>
              </w:rPr>
              <w:t>，用地性质为工业用地，项目地不属于衡阳市生态红线范围、自然保护区（核心区、缓冲区）、风景名胜区、森林公园、饮用水水源保护区、重要湖泊周边、文物古迹所在地、地质遗迹保护区、基本农田保护区，不在《湖南省生态保护红线》（湘政发〔2018〕20号）中划定的9条生态保护红线范围内，符合生态红线保护要求</w:t>
            </w:r>
            <w:r>
              <w:rPr>
                <w:rFonts w:hint="eastAsia" w:ascii="Times New Roman" w:hAnsi="Times New Roman" w:eastAsia="宋体" w:cs="宋体"/>
                <w:color w:val="auto"/>
                <w:sz w:val="24"/>
                <w:szCs w:val="24"/>
                <w:lang w:eastAsia="zh-CN"/>
              </w:rPr>
              <w:t>。</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宋体"/>
                <w:color w:val="auto"/>
                <w:kern w:val="0"/>
                <w:sz w:val="24"/>
                <w:szCs w:val="24"/>
                <w:u w:val="none" w:color="auto"/>
                <w:lang w:val="en-US" w:eastAsia="zh-CN" w:bidi="ar"/>
              </w:rPr>
            </w:pPr>
            <w:r>
              <w:rPr>
                <w:rFonts w:hint="eastAsia" w:ascii="Times New Roman" w:hAnsi="Times New Roman" w:eastAsia="宋体" w:cs="宋体"/>
                <w:color w:val="auto"/>
                <w:kern w:val="0"/>
                <w:sz w:val="24"/>
                <w:szCs w:val="24"/>
                <w:u w:val="none" w:color="auto"/>
                <w:lang w:val="en-US" w:eastAsia="zh-CN" w:bidi="ar"/>
              </w:rPr>
              <w:t>（2）环境质量底线</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Times New Roman" w:hAnsi="Times New Roman" w:eastAsia="宋体" w:cs="宋体"/>
                <w:color w:val="auto"/>
                <w:kern w:val="0"/>
                <w:sz w:val="24"/>
                <w:szCs w:val="24"/>
                <w:u w:val="none" w:color="auto"/>
                <w:lang w:val="en-US" w:eastAsia="zh-CN" w:bidi="ar"/>
              </w:rPr>
            </w:pPr>
            <w:r>
              <w:t>区域环境空气属于《环境空气质量标准》（GB3095-2012）中二类功能区、地表水水环境功能属于《地表水环境质量标准》（GB3838-2002）中Ⅲ类功能区、区域声环境属于《声环境质量标准》（GB3096-2008）中3类功能区。</w:t>
            </w:r>
            <w:r>
              <w:rPr>
                <w:rFonts w:ascii="Times New Roman" w:hAnsi="Times New Roman" w:eastAsia="宋体" w:cs="宋体"/>
                <w:color w:val="auto"/>
                <w:sz w:val="24"/>
                <w:szCs w:val="24"/>
              </w:rPr>
              <w:t>项目产生的污染物经采取相应的防护措施后可做到达标排放，不会降低区域环境质量等级，对环境影响不大，符合环境质量底线要求</w:t>
            </w:r>
            <w:r>
              <w:rPr>
                <w:rFonts w:hint="eastAsia" w:ascii="Times New Roman" w:hAnsi="Times New Roman" w:eastAsia="宋体" w:cs="宋体"/>
                <w:color w:val="auto"/>
                <w:sz w:val="24"/>
                <w:szCs w:val="24"/>
                <w:lang w:eastAsia="zh-CN"/>
              </w:rPr>
              <w:t>。</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宋体"/>
                <w:color w:val="auto"/>
                <w:kern w:val="0"/>
                <w:sz w:val="24"/>
                <w:szCs w:val="24"/>
                <w:u w:val="none" w:color="auto"/>
                <w:lang w:val="en-US" w:eastAsia="zh-CN" w:bidi="ar"/>
              </w:rPr>
            </w:pPr>
            <w:r>
              <w:rPr>
                <w:rFonts w:hint="eastAsia" w:ascii="Times New Roman" w:hAnsi="Times New Roman" w:eastAsia="宋体" w:cs="宋体"/>
                <w:color w:val="auto"/>
                <w:kern w:val="0"/>
                <w:sz w:val="24"/>
                <w:szCs w:val="24"/>
                <w:u w:val="none" w:color="auto"/>
                <w:lang w:val="en-US" w:eastAsia="zh-CN" w:bidi="ar"/>
              </w:rPr>
              <w:t>（3）资源利用上线</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Times New Roman" w:hAnsi="Times New Roman" w:eastAsia="宋体" w:cs="宋体"/>
                <w:color w:val="auto"/>
                <w:kern w:val="0"/>
                <w:sz w:val="24"/>
                <w:szCs w:val="24"/>
                <w:u w:val="none" w:color="auto"/>
                <w:lang w:val="en-US" w:eastAsia="zh-CN" w:bidi="ar"/>
              </w:rPr>
            </w:pPr>
            <w:r>
              <w:rPr>
                <w:rFonts w:ascii="Times New Roman" w:hAnsi="Times New Roman" w:eastAsia="宋体" w:cs="宋体"/>
                <w:color w:val="auto"/>
                <w:sz w:val="24"/>
                <w:szCs w:val="24"/>
              </w:rPr>
              <w:t>本项目</w:t>
            </w:r>
            <w:r>
              <w:rPr>
                <w:rFonts w:hint="eastAsia" w:ascii="Times New Roman" w:hAnsi="Times New Roman" w:eastAsia="宋体" w:cs="宋体"/>
                <w:color w:val="auto"/>
                <w:sz w:val="24"/>
                <w:szCs w:val="24"/>
                <w:lang w:val="en-US" w:eastAsia="zh-CN"/>
              </w:rPr>
              <w:t>为汽车拆解项目</w:t>
            </w:r>
            <w:r>
              <w:rPr>
                <w:rFonts w:ascii="Times New Roman" w:hAnsi="Times New Roman" w:eastAsia="宋体" w:cs="宋体"/>
                <w:color w:val="auto"/>
                <w:sz w:val="24"/>
                <w:szCs w:val="24"/>
              </w:rPr>
              <w:t>，项目不属于高耗能、高耗水的企业。项目所在地属于工业用地，不涉及基本农田，土地资源消耗符合要求；本项目运营期通过内部管理、设备选择、原辅材料的选用和管理、废物回收利用、污染治理等多方面采取合理可行的清洁生产措施，以“节能、降耗、减污”为目标，有效地控制资源利用。因此，本项目的建设符合资源利用上线</w:t>
            </w:r>
            <w:r>
              <w:rPr>
                <w:rFonts w:hint="eastAsia" w:ascii="Times New Roman" w:hAnsi="Times New Roman" w:eastAsia="宋体" w:cs="宋体"/>
                <w:color w:val="auto"/>
                <w:sz w:val="24"/>
                <w:szCs w:val="24"/>
                <w:lang w:eastAsia="zh-CN"/>
              </w:rPr>
              <w:t>。</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宋体"/>
                <w:color w:val="auto"/>
                <w:kern w:val="0"/>
                <w:sz w:val="24"/>
                <w:szCs w:val="24"/>
                <w:u w:val="none" w:color="auto"/>
                <w:lang w:val="en-US" w:eastAsia="zh-CN" w:bidi="ar"/>
              </w:rPr>
            </w:pPr>
            <w:r>
              <w:rPr>
                <w:rFonts w:hint="eastAsia" w:ascii="Times New Roman" w:hAnsi="Times New Roman" w:eastAsia="宋体" w:cs="宋体"/>
                <w:color w:val="auto"/>
                <w:kern w:val="0"/>
                <w:sz w:val="24"/>
                <w:szCs w:val="24"/>
                <w:u w:val="none" w:color="auto"/>
                <w:lang w:val="en-US" w:eastAsia="zh-CN" w:bidi="ar"/>
              </w:rPr>
              <w:t>（4）生态环境准入清单</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Times New Roman" w:hAnsi="Times New Roman" w:eastAsia="宋体" w:cs="宋体"/>
                <w:color w:val="auto"/>
                <w:sz w:val="24"/>
                <w:szCs w:val="24"/>
                <w:lang w:eastAsia="zh-CN"/>
              </w:rPr>
            </w:pPr>
            <w:r>
              <w:rPr>
                <w:rFonts w:ascii="Times New Roman" w:hAnsi="Times New Roman" w:eastAsia="宋体" w:cs="宋体"/>
                <w:color w:val="auto"/>
                <w:sz w:val="24"/>
                <w:szCs w:val="24"/>
              </w:rPr>
              <w:t>对照《产业结构调整指导目录(2019年本)》，本项目不属于其中的限制类和禁止类项目；对照《市场准入负面清单(2019年版)》，本项目所用的技术、工艺、设备、产品均不属于国家产业政策命令淘汰和限制的产品、技术、工艺、设备及行为，危险废物综合利用未设置市场准入条件，因此，本项目与《市场准入负面清单(2019 年版)》不冲突。综上所述，本项目的建设符合“三线一单”相关要求</w:t>
            </w:r>
            <w:r>
              <w:rPr>
                <w:rFonts w:hint="eastAsia" w:ascii="Times New Roman" w:hAnsi="Times New Roman" w:eastAsia="宋体" w:cs="宋体"/>
                <w:color w:val="auto"/>
                <w:sz w:val="24"/>
                <w:szCs w:val="24"/>
                <w:lang w:eastAsia="zh-CN"/>
              </w:rPr>
              <w:t>。</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Times New Roman" w:hAnsi="Times New Roman" w:eastAsia="宋体" w:cs="宋体"/>
                <w:color w:val="auto"/>
                <w:kern w:val="0"/>
                <w:sz w:val="24"/>
                <w:szCs w:val="24"/>
                <w:u w:val="none" w:color="auto"/>
                <w:lang w:val="en-US" w:eastAsia="zh-CN" w:bidi="ar"/>
              </w:rPr>
            </w:pPr>
            <w:r>
              <w:rPr>
                <w:rFonts w:hint="eastAsia" w:ascii="Times New Roman" w:hAnsi="Times New Roman" w:eastAsia="宋体" w:cs="宋体"/>
                <w:color w:val="auto"/>
                <w:kern w:val="0"/>
                <w:sz w:val="24"/>
                <w:szCs w:val="24"/>
                <w:u w:val="none" w:color="auto"/>
                <w:lang w:val="en-US" w:eastAsia="zh-CN" w:bidi="ar"/>
              </w:rPr>
              <w:t>（五）与“三线一单”要求相符性分析</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ascii="Times New Roman" w:hAnsi="Times New Roman" w:eastAsia="宋体" w:cs="宋体"/>
                <w:color w:val="auto"/>
                <w:sz w:val="24"/>
                <w:szCs w:val="24"/>
              </w:rPr>
            </w:pPr>
            <w:r>
              <w:rPr>
                <w:rFonts w:ascii="Times New Roman" w:hAnsi="Times New Roman" w:eastAsia="宋体" w:cs="宋体"/>
                <w:color w:val="auto"/>
                <w:sz w:val="24"/>
                <w:szCs w:val="24"/>
              </w:rPr>
              <w:t>本项目与《湖南省“三线一单”生态环境总体管控要求暨省级以上产业园区生态环境准入清单》（2020年11月发布）符合性的分析见下表，经下表分析，本项目建设基本符合湖南省三线一单文件管控要求。因此，项目的建设与重点管控单元生态环境准入清单是相容的。</w:t>
            </w:r>
          </w:p>
          <w:p>
            <w:pPr>
              <w:adjustRightInd w:val="0"/>
              <w:snapToGrid w:val="0"/>
              <w:spacing w:line="240" w:lineRule="auto"/>
              <w:jc w:val="center"/>
              <w:rPr>
                <w:rFonts w:hint="eastAsia" w:ascii="Times New Roman" w:hAnsi="Times New Roman" w:eastAsia="宋体" w:cs="Times New Roman"/>
                <w:b/>
                <w:bCs/>
                <w:sz w:val="21"/>
                <w:szCs w:val="21"/>
                <w:lang w:val="en-US" w:eastAsia="zh-CN"/>
              </w:rPr>
            </w:pPr>
            <w:r>
              <w:rPr>
                <w:rFonts w:hint="eastAsia" w:ascii="Times New Roman" w:hAnsi="Times New Roman" w:eastAsia="宋体" w:cs="Times New Roman"/>
                <w:b/>
                <w:bCs/>
                <w:sz w:val="21"/>
                <w:szCs w:val="21"/>
                <w:lang w:val="en-US" w:eastAsia="zh-CN"/>
              </w:rPr>
              <w:t>表1-4 湖南省三线一单文件管控要求符合性分析</w:t>
            </w:r>
          </w:p>
          <w:tbl>
            <w:tblPr>
              <w:tblStyle w:val="18"/>
              <w:tblW w:w="5000" w:type="pct"/>
              <w:tblInd w:w="-11"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815"/>
              <w:gridCol w:w="4462"/>
              <w:gridCol w:w="2307"/>
              <w:gridCol w:w="77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88"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管控维度</w:t>
                  </w:r>
                </w:p>
              </w:tc>
              <w:tc>
                <w:tcPr>
                  <w:tcW w:w="2669"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管控要求</w:t>
                  </w:r>
                </w:p>
              </w:tc>
              <w:tc>
                <w:tcPr>
                  <w:tcW w:w="1380"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本项目情况</w:t>
                  </w:r>
                </w:p>
              </w:tc>
              <w:tc>
                <w:tcPr>
                  <w:tcW w:w="462"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是否符合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88"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空间布局约束</w:t>
                  </w:r>
                </w:p>
              </w:tc>
              <w:tc>
                <w:tcPr>
                  <w:tcW w:w="2669"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各功能区相对集中布置，充分利用自然地形和绿化隔离带使各功能区隔离。禁止涉重金属企业入驻，严格限制气型污染企业进入。园区西部靠近生活安置区和归阳镇部分禁止布置气型污染企业</w:t>
                  </w:r>
                </w:p>
              </w:tc>
              <w:tc>
                <w:tcPr>
                  <w:tcW w:w="1380"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本项目属于报废汽车回收拆解，符合管控要求</w:t>
                  </w:r>
                </w:p>
              </w:tc>
              <w:tc>
                <w:tcPr>
                  <w:tcW w:w="462"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88"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污染物排放管控</w:t>
                  </w:r>
                </w:p>
              </w:tc>
              <w:tc>
                <w:tcPr>
                  <w:tcW w:w="2669"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①废水：园区排水实施雨污分流，进一步加快园区污水管网的建设。园区污水处理厂建成投产运营前，限制引进水型污染企业。工业废水、生活污水纳入园区污水处理厂，处理达标后经专用管道外排湘江。②废气：对各企业工艺废气产出的生产节点，应配置废气收集与净化处理装置，确保达标排放；采取有效措施，减少入园企业工 艺废气的无组织排放。强化末端治理，加快推进有机化工、工业涂装、包装印刷、沥青搅拌等行业企业VOCs治理，确保达标排放。交通 运输设备制造、汽车制造、工程机械制造和家具制造行业全面实施油性漆改水性漆，减少VOCs产生量。③固废：做好工业固体废物和生活垃圾的分类收集、转运、综合利用和无害化处置，建立统一的固废收集、贮存、运输、综合利 用和安全处置的运营管理体系；推进清洁生产，减少固体废物产生量；加强固体废物的资源化进程，提高综合利用率；规范固体废物处置 措施，对工业企业产生的固体废物特别是危险固废应按国家有关规定综合利用或妥善处置，严防二次污染。④到2020年，全市重点行业的重点重金属排放量比2013年下降 12%</w:t>
                  </w:r>
                </w:p>
              </w:tc>
              <w:tc>
                <w:tcPr>
                  <w:tcW w:w="1380"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本项目产生的三废均能有效处理，采取相应治理措施后可达标排放</w:t>
                  </w:r>
                </w:p>
              </w:tc>
              <w:tc>
                <w:tcPr>
                  <w:tcW w:w="462"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88"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环境风险防控</w:t>
                  </w:r>
                </w:p>
              </w:tc>
              <w:tc>
                <w:tcPr>
                  <w:tcW w:w="2669"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①园区应建立健全环境风险防控体系，严格落实《祁东县归阳工业园突发环境事件应急预案》中提出的各项环境风险事故防范措 施，严防环境风险事故发生，提高应急处置能力。 ②园区可能发生突发环境事件的污染物排放企业，生产、储存、运输、使用危险化学品的企业，产生、收集、贮存、运输、利用、 处置危险废物的企业，尾矿库企业等应当编制和实施环境应急预案；鼓励其他企业制定单独的环境应急预案，或在突发事件应急预案中制 定环境应急预案专章，并备案。③建设用地土壤风险防控： 结合土壤污染状况详查情况，根据建设用地土壤环境调查评估及现有重金属污染场地调查结果，逐步建立污染地块名录及其开发利用 的负面清单，合理确定土地用途。土地开发利用必须符合土壤环境质量要求。各部门在编制土地利用总体规划、城市总体规划、控制性详 细规划等相关规划时，应充分考虑污染地块的环境风险，合理确定土地用途。④农用地风险防控： 划定农用地土壤环境质量类别，加大农用地保护力度，禁止在优先保护类耕地集中区域新建有色金属冶炼、有色金属矿采选、化工、电解 锰、电镀、制革、石油加工、农药生产、危险废物经营等行业企业。制定实施受污染耕地安全利用方案，采取农艺调控、化学阻控、替代 种植等措施，降低农产品重金属超标风险</w:t>
                  </w:r>
                </w:p>
              </w:tc>
              <w:tc>
                <w:tcPr>
                  <w:tcW w:w="1380"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根据衡阳市环境保护局印发的《衡阳市污染地块名录（第一批）》、《衡阳市污染地块名录及开发利用负面清单（第二批）》文件可知，本项目用地不在衡阳市污染地块名录中</w:t>
                  </w:r>
                </w:p>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462"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88"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资源开发效率要求</w:t>
                  </w:r>
                </w:p>
              </w:tc>
              <w:tc>
                <w:tcPr>
                  <w:tcW w:w="2669"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①能源：推广清洁能源，归阳工业园燃煤含硫率在 1%以内。园区应按“湖南省工程建设项目审批制度改革工作领导小组办公室关 于印发《工程建设项目区域评估工作实施方案》的通知”，尽快开展节能评估工作。②水资源：强化工业节水，淘汰落后的用水技术、工艺、产品和设备，开展高耗水工业行业节水技术改造， 开展水平衡测试和 用水效率评估，大力推广工业水循环利用， 推进节水型企业、节水型工业园区建设。实施最严格水资源管理制度考核，突出用水总量和 强度控制目标，到 2020 年，祁东县万元工业增加值用水量比 2015 年下降 32.7%，万元 GDP 用水量应比 2015 年下降 30%。 ③土地资源：提高土地使用效率和节约集约程度，园区土地投资强度达到 3000 万元/公顷。严格执行土地使用标准，工业项目投 资强度执行《湖南省建设用地指标》（2020 版）十二等区域控制指标要求</w:t>
                  </w:r>
                </w:p>
              </w:tc>
              <w:tc>
                <w:tcPr>
                  <w:tcW w:w="1380"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①本项目生产使用电能，不使用煤、高硫、中硫原煤及重油等燃料②本项目不属于高耗水工业行业③本项目布局紧凑，满足节约集约要求</w:t>
                  </w:r>
                </w:p>
              </w:tc>
              <w:tc>
                <w:tcPr>
                  <w:tcW w:w="462"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bl>
          <w:p>
            <w:pPr>
              <w:pStyle w:val="25"/>
              <w:bidi w:val="0"/>
              <w:jc w:val="left"/>
              <w:rPr>
                <w:rFonts w:hint="default"/>
                <w:lang w:val="en-US" w:eastAsia="zh-CN"/>
              </w:rPr>
            </w:pPr>
            <w:r>
              <w:rPr>
                <w:rFonts w:hint="eastAsia"/>
                <w:b/>
                <w:bCs/>
                <w:lang w:val="en-US" w:eastAsia="zh-CN"/>
              </w:rPr>
              <w:t xml:space="preserve">4、与《报废机动车回收管理办法》符合性分析 </w:t>
            </w:r>
          </w:p>
          <w:p>
            <w:pPr>
              <w:pStyle w:val="25"/>
              <w:bidi w:val="0"/>
              <w:jc w:val="left"/>
              <w:rPr>
                <w:rFonts w:hint="eastAsia"/>
                <w:lang w:val="en-US" w:eastAsia="zh-CN"/>
              </w:rPr>
            </w:pPr>
            <w:r>
              <w:rPr>
                <w:rFonts w:hint="eastAsia"/>
                <w:lang w:val="en-US" w:eastAsia="zh-CN"/>
              </w:rPr>
              <w:t>本项目与《报废机动车回收管理办法》符合性分析情况见表1-5</w:t>
            </w:r>
            <w:r>
              <w:rPr>
                <w:rFonts w:hint="eastAsia" w:ascii="宋体" w:hAnsi="宋体" w:eastAsia="宋体" w:cs="宋体"/>
                <w:lang w:val="en-US" w:eastAsia="zh-CN"/>
              </w:rPr>
              <w:t>。</w:t>
            </w:r>
          </w:p>
          <w:p>
            <w:pPr>
              <w:adjustRightInd w:val="0"/>
              <w:snapToGrid w:val="0"/>
              <w:spacing w:line="240" w:lineRule="auto"/>
              <w:jc w:val="center"/>
              <w:rPr>
                <w:rFonts w:hint="default" w:ascii="Times New Roman" w:hAnsi="Times New Roman" w:eastAsia="宋体" w:cs="Times New Roman"/>
                <w:b/>
                <w:bCs/>
                <w:sz w:val="21"/>
                <w:szCs w:val="21"/>
                <w:lang w:val="en-US" w:eastAsia="zh-CN"/>
              </w:rPr>
            </w:pPr>
            <w:r>
              <w:rPr>
                <w:rFonts w:hint="eastAsia" w:ascii="Times New Roman" w:hAnsi="Times New Roman" w:eastAsia="宋体" w:cs="Times New Roman"/>
                <w:b/>
                <w:bCs/>
                <w:sz w:val="21"/>
                <w:szCs w:val="21"/>
                <w:lang w:val="en-US" w:eastAsia="zh-CN"/>
              </w:rPr>
              <w:t>表1-5 项目与《报废机动车回收管理办法》符合性分析情况</w:t>
            </w:r>
          </w:p>
          <w:tbl>
            <w:tblPr>
              <w:tblStyle w:val="19"/>
              <w:tblW w:w="4999" w:type="pct"/>
              <w:tblInd w:w="-17"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508"/>
              <w:gridCol w:w="3669"/>
              <w:gridCol w:w="3451"/>
              <w:gridCol w:w="72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04"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序号</w:t>
                  </w:r>
                </w:p>
              </w:tc>
              <w:tc>
                <w:tcPr>
                  <w:tcW w:w="2195"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《报废机动车回收管理办法》</w:t>
                  </w:r>
                </w:p>
              </w:tc>
              <w:tc>
                <w:tcPr>
                  <w:tcW w:w="2065" w:type="pct"/>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实际情况</w:t>
                  </w:r>
                </w:p>
              </w:tc>
              <w:tc>
                <w:tcPr>
                  <w:tcW w:w="434" w:type="pct"/>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是否符合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04"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w:t>
                  </w:r>
                </w:p>
              </w:tc>
              <w:tc>
                <w:tcPr>
                  <w:tcW w:w="2195"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国家对报废机动车回收企业实行资质认定制度。未经资质认定，任何单位或者个人不得从事报废机动车回收活动。</w:t>
                  </w:r>
                </w:p>
              </w:tc>
              <w:tc>
                <w:tcPr>
                  <w:tcW w:w="2065"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项目批复后将按程序申请报废机动车回收（拆解）企业资质认定，本环评要求建设单位在取得相应资质前，不得开展报废机动车拆解活动。</w:t>
                  </w:r>
                </w:p>
              </w:tc>
              <w:tc>
                <w:tcPr>
                  <w:tcW w:w="434"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04"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w:t>
                  </w:r>
                </w:p>
              </w:tc>
              <w:tc>
                <w:tcPr>
                  <w:tcW w:w="2195"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回收的报废机动车必须按照有关规定予以拆解；其中，回收的报废大型客车、货车等营运车辆和校车，应当在公安机关的监督下解体。</w:t>
                  </w:r>
                </w:p>
              </w:tc>
              <w:tc>
                <w:tcPr>
                  <w:tcW w:w="2065"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本环评要求建设单位按照相关要求开展报废机动车拆解活动。</w:t>
                  </w:r>
                </w:p>
              </w:tc>
              <w:tc>
                <w:tcPr>
                  <w:tcW w:w="434"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04"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w:t>
                  </w:r>
                </w:p>
              </w:tc>
              <w:tc>
                <w:tcPr>
                  <w:tcW w:w="2195"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拆解的报废机动车“五大总成”具备再制造条件的，可以按照国家有关规定出售给具有再制造能力的企业经过再制造予以循环利用；不具备再制造条件的，应当作为废金属，交售给钢铁企业作为冶炼原料。</w:t>
                  </w:r>
                </w:p>
              </w:tc>
              <w:tc>
                <w:tcPr>
                  <w:tcW w:w="2065"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本环评要求建设单位拆解的报废机动车“五大总成”按照相关要求处置。</w:t>
                  </w:r>
                </w:p>
              </w:tc>
              <w:tc>
                <w:tcPr>
                  <w:tcW w:w="434"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04"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4</w:t>
                  </w:r>
                </w:p>
              </w:tc>
              <w:tc>
                <w:tcPr>
                  <w:tcW w:w="2195"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拆解报废机动车，应当遵守环境保护法律、法规和强制性标准，采取有效措施保护环境，不得造成环境污染。</w:t>
                  </w:r>
                </w:p>
              </w:tc>
              <w:tc>
                <w:tcPr>
                  <w:tcW w:w="2065"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本环评要求建设单位严格按照相关环保要求进行建设和运营，采取有效措施保护环境，不得造成环境污染。</w:t>
                  </w:r>
                </w:p>
              </w:tc>
              <w:tc>
                <w:tcPr>
                  <w:tcW w:w="434"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bl>
          <w:p>
            <w:pPr>
              <w:pStyle w:val="25"/>
              <w:bidi w:val="0"/>
              <w:jc w:val="left"/>
              <w:rPr>
                <w:rFonts w:hint="default" w:eastAsia="宋体"/>
                <w:lang w:val="en-US" w:eastAsia="zh-CN"/>
              </w:rPr>
            </w:pPr>
            <w:r>
              <w:rPr>
                <w:rFonts w:hint="eastAsia"/>
                <w:lang w:val="en-US" w:eastAsia="zh-CN"/>
              </w:rPr>
              <w:t>根据上述内容可知</w:t>
            </w:r>
            <w:r>
              <w:rPr>
                <w:rFonts w:hint="eastAsia" w:ascii="宋体" w:hAnsi="宋体" w:eastAsia="宋体" w:cs="宋体"/>
                <w:lang w:val="en-US" w:eastAsia="zh-CN"/>
              </w:rPr>
              <w:t>，</w:t>
            </w:r>
            <w:r>
              <w:rPr>
                <w:rFonts w:hint="eastAsia"/>
                <w:lang w:val="en-US" w:eastAsia="zh-CN"/>
              </w:rPr>
              <w:t>本项目符合《报废机动车回收管理办法》</w:t>
            </w:r>
            <w:r>
              <w:rPr>
                <w:rFonts w:hint="eastAsia" w:ascii="宋体" w:hAnsi="宋体" w:eastAsia="宋体" w:cs="宋体"/>
                <w:lang w:val="en-US" w:eastAsia="zh-CN"/>
              </w:rPr>
              <w:t>。</w:t>
            </w:r>
          </w:p>
          <w:p>
            <w:pPr>
              <w:pStyle w:val="25"/>
              <w:bidi w:val="0"/>
              <w:jc w:val="left"/>
              <w:rPr>
                <w:rFonts w:hint="eastAsia"/>
                <w:lang w:val="en-US" w:eastAsia="zh-CN"/>
              </w:rPr>
            </w:pPr>
            <w:r>
              <w:rPr>
                <w:rFonts w:hint="eastAsia"/>
                <w:b/>
                <w:bCs/>
                <w:lang w:val="en-US" w:eastAsia="zh-CN"/>
              </w:rPr>
              <w:t>5、与《报废机动车回收管理办法实施细则》符合性分析</w:t>
            </w:r>
          </w:p>
          <w:p>
            <w:pPr>
              <w:pStyle w:val="25"/>
              <w:bidi w:val="0"/>
              <w:jc w:val="left"/>
              <w:rPr>
                <w:rFonts w:hint="eastAsia"/>
                <w:lang w:val="en-US" w:eastAsia="zh-CN"/>
              </w:rPr>
            </w:pPr>
            <w:r>
              <w:rPr>
                <w:rFonts w:hint="eastAsia"/>
                <w:lang w:val="en-US" w:eastAsia="zh-CN"/>
              </w:rPr>
              <w:t>本项目与《报废机动车回收管理办法实施细则》符合性分析情况见表1-6</w:t>
            </w:r>
            <w:r>
              <w:rPr>
                <w:rFonts w:hint="eastAsia" w:ascii="宋体" w:hAnsi="宋体" w:eastAsia="宋体" w:cs="宋体"/>
                <w:lang w:val="en-US" w:eastAsia="zh-CN"/>
              </w:rPr>
              <w:t>。</w:t>
            </w:r>
          </w:p>
          <w:p>
            <w:pPr>
              <w:adjustRightInd w:val="0"/>
              <w:snapToGrid w:val="0"/>
              <w:spacing w:line="240" w:lineRule="auto"/>
              <w:jc w:val="center"/>
              <w:rPr>
                <w:rFonts w:hint="default" w:ascii="Times New Roman" w:hAnsi="Times New Roman" w:eastAsia="宋体" w:cs="Times New Roman"/>
                <w:b/>
                <w:bCs/>
                <w:sz w:val="21"/>
                <w:szCs w:val="21"/>
                <w:lang w:val="en-US" w:eastAsia="zh-CN"/>
              </w:rPr>
            </w:pPr>
            <w:r>
              <w:rPr>
                <w:rFonts w:hint="eastAsia" w:ascii="Times New Roman" w:hAnsi="Times New Roman" w:eastAsia="宋体" w:cs="Times New Roman"/>
                <w:b/>
                <w:bCs/>
                <w:sz w:val="21"/>
                <w:szCs w:val="21"/>
                <w:lang w:val="en-US" w:eastAsia="zh-CN"/>
              </w:rPr>
              <w:t>表1-6 项目与《报废机动车回收管理办法实施细则》符合性分析情况</w:t>
            </w:r>
          </w:p>
          <w:tbl>
            <w:tblPr>
              <w:tblStyle w:val="19"/>
              <w:tblW w:w="4998"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539"/>
              <w:gridCol w:w="4423"/>
              <w:gridCol w:w="2654"/>
              <w:gridCol w:w="73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23"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序号</w:t>
                  </w:r>
                </w:p>
              </w:tc>
              <w:tc>
                <w:tcPr>
                  <w:tcW w:w="2647"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《报废机动车回收管理办法实施细则》</w:t>
                  </w:r>
                </w:p>
              </w:tc>
              <w:tc>
                <w:tcPr>
                  <w:tcW w:w="1588" w:type="pct"/>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实际情况</w:t>
                  </w:r>
                </w:p>
              </w:tc>
              <w:tc>
                <w:tcPr>
                  <w:tcW w:w="441" w:type="pct"/>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是否符合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23"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w:t>
                  </w:r>
                </w:p>
              </w:tc>
              <w:tc>
                <w:tcPr>
                  <w:tcW w:w="2647"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国家对回收拆解企业实行资质认定制度。未经资质认定，任何单位或者个人不得从事报废机动车回收拆解活动。</w:t>
                  </w:r>
                </w:p>
              </w:tc>
              <w:tc>
                <w:tcPr>
                  <w:tcW w:w="1588"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项目批复后将按程序申请报废机动车回收（拆解）企业资质认定，本环评要求建设单位在取得相应资质前，不得开展报废机动车拆解活动。</w:t>
                  </w:r>
                </w:p>
              </w:tc>
              <w:tc>
                <w:tcPr>
                  <w:tcW w:w="441"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23" w:type="pct"/>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w:t>
                  </w:r>
                </w:p>
              </w:tc>
              <w:tc>
                <w:tcPr>
                  <w:tcW w:w="2647"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回收拆解企业拆解经营场地发生迁建、改建、扩建的，应当依据本细则重新申请回收拆解企业资质认定。申请符合资质认定条件的，予以换发《资质认定书》；不符合资质认定条件的，由原发证机关注销其《资质认定书》。</w:t>
                  </w:r>
                </w:p>
              </w:tc>
              <w:tc>
                <w:tcPr>
                  <w:tcW w:w="1588"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本项目为新建项目，环评要求建设单位应申请回收拆解企业资质认定。</w:t>
                  </w:r>
                </w:p>
              </w:tc>
              <w:tc>
                <w:tcPr>
                  <w:tcW w:w="441"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23"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w:t>
                  </w:r>
                </w:p>
              </w:tc>
              <w:tc>
                <w:tcPr>
                  <w:tcW w:w="2647"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回收拆解企业必须在其资质认定的拆解经营场地内对回收的报废机动车予以拆解，禁止以任何方式交易报废机动车整车、拼装车。回收的报废大型客、货车等营运车辆和校车，应当在公安机关现场或者视频监督下解体。回收拆解企业应当积极配合报废机动车监督解体工作。</w:t>
                  </w:r>
                </w:p>
              </w:tc>
              <w:tc>
                <w:tcPr>
                  <w:tcW w:w="1588" w:type="pct"/>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本环评要求建设单位按照相关要求开展报废机动车拆解活动。</w:t>
                  </w:r>
                </w:p>
              </w:tc>
              <w:tc>
                <w:tcPr>
                  <w:tcW w:w="441"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23"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4</w:t>
                  </w:r>
                </w:p>
              </w:tc>
              <w:tc>
                <w:tcPr>
                  <w:tcW w:w="2647"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回收拆解企业应当按照国家对新能源汽车动力蓄电池回收利用管理有关要求，对报废新能源汽车的废旧动力蓄电池或者其他类型储能装置进行拆卸、收集、贮存、运输及回收利用，加强全过程安全管理。回收拆解企业拆卸的动力蓄电池应当交售给新能源汽车生产企业建立的动力蓄电池回收服务网点，或者符合国家对动力蓄电池梯次利用管理有关要求的梯次利用企业，或者从事废旧动力蓄电池综合利用的企业。</w:t>
                  </w:r>
                </w:p>
              </w:tc>
              <w:tc>
                <w:tcPr>
                  <w:tcW w:w="1588"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项目按要求对报废电动汽车的动力蓄电池进行拆卸、收集、贮存、运输及回收利用，加强全过程的安全管理，废动力蓄电池由电动汽车厂家回收。</w:t>
                  </w:r>
                </w:p>
              </w:tc>
              <w:tc>
                <w:tcPr>
                  <w:tcW w:w="441"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23"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5</w:t>
                  </w:r>
                </w:p>
              </w:tc>
              <w:tc>
                <w:tcPr>
                  <w:tcW w:w="2647"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回收拆解企业拆解的报废机动车“五大总成”具备再制造条件的，可以按照国家有关规定出售给具有再制造能力的企业经过再制造予以循环利用；不具备再制造条件的，应当作为废金属，交售给冶炼或者破碎企业。</w:t>
                  </w:r>
                </w:p>
              </w:tc>
              <w:tc>
                <w:tcPr>
                  <w:tcW w:w="1588"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项目拆解过程产生的“五大总成”拆解后外售相关再制造企业及废金属冶炼企业。</w:t>
                  </w:r>
                </w:p>
              </w:tc>
              <w:tc>
                <w:tcPr>
                  <w:tcW w:w="441"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23"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6</w:t>
                  </w:r>
                </w:p>
              </w:tc>
              <w:tc>
                <w:tcPr>
                  <w:tcW w:w="2647"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回收拆解企业拆解的尾气后处理装置、危险废物应当如实记录，并交由有处理资质的企业进行拆解处置，不得向其他企业出售和转卖。</w:t>
                  </w:r>
                </w:p>
              </w:tc>
              <w:tc>
                <w:tcPr>
                  <w:tcW w:w="1588"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项目拆解的尾气处理装置、危险废物按相关要求进行记录，暂存于危废暂存间后，交有资质单位进行处置。</w:t>
                  </w:r>
                </w:p>
              </w:tc>
              <w:tc>
                <w:tcPr>
                  <w:tcW w:w="441"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bl>
          <w:p>
            <w:pPr>
              <w:pStyle w:val="25"/>
              <w:bidi w:val="0"/>
              <w:jc w:val="left"/>
              <w:rPr>
                <w:rFonts w:hint="default" w:eastAsia="宋体"/>
                <w:lang w:val="en-US" w:eastAsia="zh-CN"/>
              </w:rPr>
            </w:pPr>
            <w:r>
              <w:rPr>
                <w:rFonts w:hint="eastAsia"/>
                <w:lang w:val="en-US" w:eastAsia="zh-CN"/>
              </w:rPr>
              <w:t>根据上述内容可知</w:t>
            </w:r>
            <w:r>
              <w:rPr>
                <w:rFonts w:hint="eastAsia" w:ascii="宋体" w:hAnsi="宋体" w:eastAsia="宋体" w:cs="宋体"/>
                <w:lang w:val="en-US" w:eastAsia="zh-CN"/>
              </w:rPr>
              <w:t>，</w:t>
            </w:r>
            <w:r>
              <w:rPr>
                <w:rFonts w:hint="eastAsia"/>
                <w:lang w:val="en-US" w:eastAsia="zh-CN"/>
              </w:rPr>
              <w:t>本项目符合《报废机动车回收管理办法实施细则》</w:t>
            </w:r>
            <w:r>
              <w:rPr>
                <w:rFonts w:hint="eastAsia" w:ascii="宋体" w:hAnsi="宋体" w:eastAsia="宋体" w:cs="宋体"/>
                <w:lang w:val="en-US" w:eastAsia="zh-CN"/>
              </w:rPr>
              <w:t>。</w:t>
            </w:r>
          </w:p>
          <w:p>
            <w:pPr>
              <w:pStyle w:val="25"/>
              <w:bidi w:val="0"/>
              <w:jc w:val="left"/>
              <w:rPr>
                <w:rFonts w:hint="eastAsia" w:eastAsia="宋体"/>
                <w:highlight w:val="none"/>
                <w:lang w:val="en-US" w:eastAsia="zh-CN"/>
              </w:rPr>
            </w:pPr>
            <w:r>
              <w:rPr>
                <w:rFonts w:hint="eastAsia"/>
                <w:b/>
                <w:bCs/>
                <w:highlight w:val="none"/>
                <w:lang w:val="en-US" w:eastAsia="zh-CN"/>
              </w:rPr>
              <w:t>6、与《报废机动车拆解企业污染控制技术规范》（HJ348-2022）分析</w:t>
            </w:r>
          </w:p>
          <w:p>
            <w:pPr>
              <w:pStyle w:val="25"/>
              <w:bidi w:val="0"/>
              <w:jc w:val="left"/>
              <w:rPr>
                <w:rFonts w:hint="eastAsia"/>
                <w:lang w:val="en-US" w:eastAsia="zh-CN"/>
              </w:rPr>
            </w:pPr>
            <w:r>
              <w:rPr>
                <w:rFonts w:hint="eastAsia"/>
                <w:highlight w:val="none"/>
                <w:lang w:val="en-US" w:eastAsia="zh-CN"/>
              </w:rPr>
              <w:t>本项目与《报废机动车拆解企业污染控制技术规范》（HJ 348-2022）符合性分析情况见表1-7</w:t>
            </w:r>
            <w:r>
              <w:rPr>
                <w:rFonts w:hint="eastAsia" w:ascii="宋体" w:hAnsi="宋体" w:eastAsia="宋体" w:cs="宋体"/>
                <w:highlight w:val="none"/>
                <w:lang w:val="en-US" w:eastAsia="zh-CN"/>
              </w:rPr>
              <w:t>。</w:t>
            </w:r>
          </w:p>
          <w:p>
            <w:pPr>
              <w:adjustRightInd w:val="0"/>
              <w:snapToGrid w:val="0"/>
              <w:spacing w:line="240" w:lineRule="auto"/>
              <w:jc w:val="center"/>
              <w:rPr>
                <w:rFonts w:hint="default" w:ascii="Times New Roman" w:hAnsi="Times New Roman" w:eastAsia="宋体" w:cs="Times New Roman"/>
                <w:b/>
                <w:bCs/>
                <w:sz w:val="21"/>
                <w:szCs w:val="21"/>
                <w:lang w:val="en-US" w:eastAsia="zh-CN"/>
              </w:rPr>
            </w:pPr>
            <w:r>
              <w:rPr>
                <w:rFonts w:hint="eastAsia" w:ascii="Times New Roman" w:hAnsi="Times New Roman" w:eastAsia="宋体" w:cs="Times New Roman"/>
                <w:b/>
                <w:bCs/>
                <w:sz w:val="21"/>
                <w:szCs w:val="21"/>
                <w:lang w:val="en-US" w:eastAsia="zh-CN"/>
              </w:rPr>
              <w:t>表1-7 项目与《报废机动车拆解企业污染控制技术规范》（HJ348-2022）符合性分析情况</w:t>
            </w:r>
          </w:p>
          <w:tbl>
            <w:tblPr>
              <w:tblStyle w:val="19"/>
              <w:tblW w:w="0" w:type="auto"/>
              <w:tblInd w:w="-11"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570"/>
              <w:gridCol w:w="3328"/>
              <w:gridCol w:w="3989"/>
              <w:gridCol w:w="469"/>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类别</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规范要求</w:t>
                  </w:r>
                </w:p>
              </w:tc>
              <w:tc>
                <w:tcPr>
                  <w:tcW w:w="0" w:type="auto"/>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实际情况</w:t>
                  </w:r>
                </w:p>
              </w:tc>
              <w:tc>
                <w:tcPr>
                  <w:tcW w:w="0" w:type="auto"/>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是否符合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restar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总体要求</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1、报废机动车的拆解应遵循减量化、资源化和无害化的原则。报废机动车回收拆解企业应优先采用资源回收率高、污染物排放量少的工艺和设备，防范二次污染，实现减污降碳协同增效。</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本项目采用资源回收率高、污染物排放量少的工艺，并采取相应措施防治拆解过程的二次污染。</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2、报废机动车拆解建设项目选址不应位于国务院和国务院有关主管部门及省、自治区、直辖市人民政府划定的生态保护红线区域、永久基本农田和其他需要特别保护的区域内。</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本项目位于湖南省衡阳市祁东县归阳工业园云鹤循环经济产业园内，不涉及生态保护红线区域、永久基本农田和其他需要特别保护的区域。</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3、报废机动车回收拆解企业应具备集中的运营场地，并实行封闭式规范管理。</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本项目使用场地为集中的运营场地，本环评要求建设单位进行封闭式规范管理。</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4、报废机动车回收拆解企业应根据 HJ1034、HJ 1200 等规定取得排污许可证，并按照排污许可证管理要求进行规范排污。产生的废气、废水、噪声、固体废物等排放应满足国家和地方的污染物排放标准与排污许可要求，产生的固体废物应按照国家有关环境保护规定和标准要求妥善贮存、利用和处置。</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项目建成后按HJ1034、HJ1200等规定取得排污许可证，并按照排污许可证管理要求进行规范排污。固体废物按照国家有关环境保护规定和标准要求妥善贮存、利用和处置。</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5、报废机动车回收拆解企业应依照《报废机动车回收管理办法实施细则》等相关要求向机动车生产企业获取报废机动车拆解指导手册等相关技术信息，依规开展报废机动车拆解工作。</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本项目按照《报废机动车回收管理办法实施细则》等相关要求向机动车生产企业获取报废机动车拆解指导手册等相关技术信息，依规开展报废机动车拆解工作。</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6、报废机动车回收拆解企业应依据 GB22128等相关规定开展拆解作业。不应露天拆解报废机动车，拆解产物不应露天堆放，不应对大气、土壤、地表水和地下水造成污染。</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本项目建设有封闭式厂房，不会露天拆解报废机动车，拆解产物分区储存；对拆解、贮存区域进行防渗、防漏等处理，不会对大气、土壤、地表水和地下水造成污染。</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7、报废机动车回收拆解企业应具备与生产规模相匹配的环境保护设施，环境保护设施的设计、施工与运行应遵守“三同时”环境管理制度。</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本环评要求建设单位严格执行“三同时”环境管理制度。</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8、报废机动车回收拆解及贮存过程除满足环境保护相关要求外，还应符合国家安全生产、职业健康、交通运输、消防等法规标准的相关要求。</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本环评要求建设单位满足环境保护相关要求外，还应符合国家安全生产、职业健康、交通运输、消防等法规标准的相关要求。</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restar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基础</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设施</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污染</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控制</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要求</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报废机动车回收拆解企业应划分不同的功能区，包括办公区和作业区。作业区应包括：a）整车贮存区（分为传统燃料机动车区和电动汽车区）；b）动力蓄电池拆卸区；c）铅蓄电池拆卸区；d）电池分类贮存区；e）拆解区；f）产品（半成品；不包括电池）贮存区；g）破碎分选区；h）一般工业固体废物贮存区；i）危险废物贮存区。</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本项目已按要求设置功能区。</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a）整车贮存区：本项目于拆解厂房内设报废电动车暂存处，于拆解厂房外设报废燃油车暂存处；</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b）动力蓄电池拆卸区：设置于汽车拆解厂房东侧；</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c）铅蓄电池拆卸区：设置于汽车拆解厂房小型车预处理区；</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d）电池分类贮存区：动力电池暂存区位于汽车拆解厂房中的电动车动力电池拆卸区，铅酸电池暂存区位于危废暂存间；</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e）拆解区：设置于汽车拆解厂房；</w:t>
                  </w:r>
                </w:p>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f）产品（半成品；不包括电池）贮存区：半成品、产品堆存点依托已建综合楼；</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g）破碎分选区：本项目未设置破碎分选工序；</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h）一般工业固体废物贮存区：位于汽车拆解厂房外西南角；</w:t>
                  </w:r>
                </w:p>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i）危险废物贮存区：本项目设危废暂存间，位于汽车拆解厂房外西南角。</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报废机动车回收拆解企业厂区内功能区的设计和建设应满足以下要求：a）作业区面积大小和功能区划分应满足拆解作业的需要；b）不同的功能区应具有明显的标识；c）作业区应具有防渗地面和油水收集设施，地面应符合GB50037的防油渗地面要求；d）作业区地面混凝土强度等级不低于C20，厚度不低于 150mm，其中物流通道路面和拆解作业区域强度不低于C30，厚度不低于200mm。大型拆解设备承重区域的硬化标准参照设备工艺要求执行；e）拆解区应为封闭或半封闭建筑物；f）破碎分选区应设在封闭区域内，控制工业废气、粉尘和噪声污染；g）危险废物贮存区应设置液体导流和收集装置，地面应无液体积聚，如有冲洗废水应纳入废水收集处理设施处理；h）不同种类的危险废物应单独收集、分类存放，中间有明显间隔；贮存场所应设置警示标识，同时还应满足GB18597中其他相关要求；i）铅蓄电池的拆卸、贮存区的地面应做防酸、防腐、防渗及硬化处理，同时还应满足 HJ 519中其他相关要求；j）动力蓄电池拆卸、贮存区应满足 HJ 1186 中的相关要求，地面应采用环氧地坪等硬化措施，地面应做防酸、防腐、防渗、硬化及绝缘处理；k）各贮存区应在显著位置设置标识，标明贮存物的类别、名称、规格、注意事项等，根据其特性合理划分贮存区域，采取必要的隔离措施。</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项目在工程设计阶段严格按照HJ348-2022的要求进行建设。</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3、报废机动车回收拆解企业内的道路应采取硬化措施，如出现破损应及时维修。</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本环评要求建设单位完成道路硬化，并定期巡视，对出现破损的地方及时进行维修。</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4、报废机动车回收拆解企业应做到雨污分流，在作业区内产生的初期雨水、清洗水和其他非生活废水应设置专门的收集设施和污水处理设施。厂区内应按照GB/T 50483的要求设置初期雨水收集池。</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本环评要求建设单位完善厂区雨污分流工程，初期雨水设初期雨水收集池、气浮机、油水分离器处理拖把清洗废水、初期雨水。</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restar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拆解过程污染控制要求</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传统燃料报废机动车在开展拆解作业前，应抽排下列气体及液体：燃油、发动机油、变速器/齿轮箱（包括后差速器和/或分动器）油、动力转向油、制动液等石油基油或者液态合成润滑剂、冷却液、挡风玻璃清洗液、制冷剂等，并使用专用容器回收贮存。操作场所应有防漏、截流和清污措施，抽排挥发性油液时应通过油气回收装置吸收拆解区域内的挥发性气体。防止上述气体及液体遗撒或泄漏。</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汽车拆解严格按要求执行，使用专用容器回收贮存，拆解地面进行防渗处理并配有相应的截流措施，挥发油气配备有专门的环保设施。</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2、报废电动汽车进场检测时，受损变形以及漏液、漏电、电源供应工作不正常或其他的事故车辆应进行明显标识，及时隔离并优先处理，避免造成环境风险。</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报废电动汽车进场检测后进行分类标识，并优先进行处理受损变形以及漏液、漏电、电源供应工作不正常或其他的事故车辆。</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报废电动汽车在开展拆解作业前，应采用防静电设备彻底抽排制冷剂，并用专用容器回收储存，避免电解质和有机溶剂泄漏。拆卸下来的动力蓄电池存在漏液、冒烟、漏电、外壳破损等情形的，应及时处理并采用专用容器单独存放，避免动力蓄电池自燃引起的环境风险。</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本环评要求建设单位在报废电动汽车拆解前采用防静电设备抽排制冷剂，并用专用容器回收储存，拆卸下来的动力蓄电池采用专用容器单独存放。</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4、动力蓄电池不应与铅蓄电池混合贮存。</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本项目动力蓄电池不与铅蓄电池混合贮存。</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5、 报废机动车回收拆解企业不应在未完成各项拆解作业前对报废机动车进行破碎处理或者直接进行熔炼处理。</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本项目在未完成各项拆解作业前不会对报废机动车进行破碎处理。</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6、报废机动车回收拆解企业不应焚烧报废机动车拆解过程中产生的废电线电缆、废轮胎和其他废物。</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项目拆解过程中产生的废电线电缆、废轮胎和其他废物分类收集贮存后交有资质单位处置。</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7、报废机动车拆解产生的废旧玻璃、报废机动车破碎残余物、引爆后的安全气囊等应避免危险废物的沾染，未沾染危险废物的应按一般工业固体废物进行管理。</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本项目拆解产生的废旧玻璃、引爆后的安全气囊将严格进行管理，避免沾染危险废物，分类收集后作为一般工业固体废物进行管理。（不进行报废机动车破碎工序）</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8、报废机动车拆解产生的废铅蓄电池、废矿物油、废电路板、废尾气净化催化剂以及含有或沾染危险废物的废弃包装物、容器等依据《国家危险废物名录》属于危险废物的，应按照危险废物贮存管理相关要求进行分区、分类贮存。废弃含油抹布和劳保用品宜集中收集。</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本项目拟建危废暂存间，照危险废物贮存管理相关要求进行分区、分类贮存。</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9、报废机动车回收拆解企业不应倾倒铅蓄电池内的电解液、铅块和铅膏等废物。对于破损的铅蓄电池，应单独贮存，并采取防止电解液泄漏的措施。</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本项目将破损的铅蓄电池用专业容器盛装并单独贮存，同时采取防止电解液泄漏的措施。</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10、报废机动车拆解产生的产物和固体废物应合理分类，不能自行利用处置的，分别委托具有相关资质、相应处理能力或经营范围的单位利用和处置。</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本项目拆解产生的产物与固体废物合理分类后分别委托具有相关资质、相应处理能力或经营范围的单位利用和处置。</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11、报废机动车拆解产物应符合国家及地方处理处置要求，其中主要拆解产物特性及去向见《报废机动车拆解企业污染控制技术规范》附录A。如报废机动车回收拆解企业具备与报废机动车拆解处理相关的深加工或二次加工经营业务，应当符合其他相关污染控制要求。</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本环评要求建设单位处理处置报废机动车拆解产物时，应符合《报废机动车拆解企业污染控制技术规范》附录A内容及其他相关污染控制要求。</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12、报废机动车油箱中的燃料（汽油、柴油、天然气、液化石油气、甲醇等）应分类收集。</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本项目报废机动车油箱中的燃料由专业设备抽取后分类收集。</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水污染物排放要求</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报废机动车回收拆解企业厂区收集的初期雨水、清洗水和其他非生活废水等应通过收集管道（井）等收集后进入污水处理设施进行处理，达到国家和地方的污染物排放标准后方可排放。</w:t>
                  </w:r>
                </w:p>
              </w:tc>
              <w:tc>
                <w:tcPr>
                  <w:tcW w:w="0" w:type="auto"/>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本项目</w:t>
                  </w:r>
                  <w:r>
                    <w:rPr>
                      <w:rFonts w:hint="default" w:ascii="Times New Roman" w:hAnsi="Times New Roman" w:eastAsia="宋体" w:cs="Times New Roman"/>
                      <w:sz w:val="21"/>
                      <w:szCs w:val="21"/>
                      <w:lang w:val="en-US" w:eastAsia="zh-CN"/>
                    </w:rPr>
                    <w:t>初期雨水经初期雨水收集池收集，再由隔油沉淀池（气浮机+油水分离器）处理后经市政污水管网排入归阳污水处理厂进行处理，项目拖把清洗废水经隔油沉淀池（气浮机+油水分离器）处理</w:t>
                  </w:r>
                  <w:r>
                    <w:rPr>
                      <w:rFonts w:hint="eastAsia" w:ascii="Times New Roman" w:hAnsi="Times New Roman" w:eastAsia="宋体" w:cs="Times New Roman"/>
                      <w:sz w:val="21"/>
                      <w:szCs w:val="21"/>
                      <w:lang w:val="en-US" w:eastAsia="zh-CN"/>
                    </w:rPr>
                    <w:t>，达到</w:t>
                  </w:r>
                  <w:r>
                    <w:rPr>
                      <w:rFonts w:hint="default" w:ascii="Times New Roman" w:hAnsi="Times New Roman" w:eastAsia="宋体" w:cs="Times New Roman"/>
                      <w:b w:val="0"/>
                      <w:bCs w:val="0"/>
                      <w:color w:val="auto"/>
                      <w:kern w:val="0"/>
                      <w:sz w:val="21"/>
                      <w:szCs w:val="21"/>
                      <w:u w:val="none" w:color="auto"/>
                      <w:lang w:val="en-US" w:eastAsia="zh-CN" w:bidi="ar"/>
                    </w:rPr>
                    <w:t>《污水综合排放标准》（GB8978-1996）表4中</w:t>
                  </w:r>
                  <w:r>
                    <w:rPr>
                      <w:rFonts w:hint="eastAsia" w:cs="Times New Roman"/>
                      <w:b w:val="0"/>
                      <w:bCs w:val="0"/>
                      <w:color w:val="auto"/>
                      <w:kern w:val="0"/>
                      <w:sz w:val="21"/>
                      <w:szCs w:val="21"/>
                      <w:u w:val="none" w:color="auto"/>
                      <w:lang w:val="en-US" w:eastAsia="zh-CN" w:bidi="ar"/>
                    </w:rPr>
                    <w:t>三</w:t>
                  </w:r>
                  <w:r>
                    <w:rPr>
                      <w:rFonts w:hint="default" w:ascii="Times New Roman" w:hAnsi="Times New Roman" w:eastAsia="宋体" w:cs="Times New Roman"/>
                      <w:b w:val="0"/>
                      <w:bCs w:val="0"/>
                      <w:color w:val="auto"/>
                      <w:kern w:val="0"/>
                      <w:sz w:val="21"/>
                      <w:szCs w:val="21"/>
                      <w:u w:val="none" w:color="auto"/>
                      <w:lang w:val="en-US" w:eastAsia="zh-CN" w:bidi="ar"/>
                    </w:rPr>
                    <w:t>级标准</w:t>
                  </w:r>
                  <w:r>
                    <w:rPr>
                      <w:rFonts w:hint="eastAsia" w:ascii="Times New Roman" w:hAnsi="Times New Roman" w:eastAsia="宋体" w:cs="Times New Roman"/>
                      <w:b w:val="0"/>
                      <w:bCs w:val="0"/>
                      <w:color w:val="auto"/>
                      <w:kern w:val="0"/>
                      <w:sz w:val="21"/>
                      <w:szCs w:val="21"/>
                      <w:u w:val="none" w:color="auto"/>
                      <w:lang w:val="en-US" w:eastAsia="zh-CN" w:bidi="ar"/>
                    </w:rPr>
                    <w:t>后，</w:t>
                  </w:r>
                  <w:r>
                    <w:rPr>
                      <w:rFonts w:hint="default" w:ascii="Times New Roman" w:hAnsi="Times New Roman" w:eastAsia="宋体" w:cs="Times New Roman"/>
                      <w:sz w:val="21"/>
                      <w:szCs w:val="21"/>
                      <w:lang w:val="en-US" w:eastAsia="zh-CN"/>
                    </w:rPr>
                    <w:t>经园区污水</w:t>
                  </w:r>
                  <w:r>
                    <w:rPr>
                      <w:rFonts w:hint="eastAsia" w:ascii="Times New Roman" w:hAnsi="Times New Roman" w:eastAsia="宋体" w:cs="Times New Roman"/>
                      <w:sz w:val="21"/>
                      <w:szCs w:val="21"/>
                      <w:lang w:val="en-US" w:eastAsia="zh-CN"/>
                    </w:rPr>
                    <w:t>管</w:t>
                  </w:r>
                  <w:r>
                    <w:rPr>
                      <w:rFonts w:hint="default" w:ascii="Times New Roman" w:hAnsi="Times New Roman" w:eastAsia="宋体" w:cs="Times New Roman"/>
                      <w:sz w:val="21"/>
                      <w:szCs w:val="21"/>
                      <w:lang w:val="en-US" w:eastAsia="zh-CN"/>
                    </w:rPr>
                    <w:t>网排入归阳污水处理厂进行处理。</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restar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大</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气污染物排放要求</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1、报废机动车回收拆解企业排放废气中颗粒物、挥发性有机物（VOCs）等应符合GB16297、GB37822规定的排放要求。地方污染物排放标准有更严格要求的，从其规定。</w:t>
                  </w:r>
                </w:p>
              </w:tc>
              <w:tc>
                <w:tcPr>
                  <w:tcW w:w="0" w:type="auto"/>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项目颗粒物排放符合《大气污染物综合排放标准》（GB16297-1996）表2中标准；VOCs厂界无组织排放符合大气污染物综合排放标准》（GB16297-1996），厂区无组织排放符合《挥发性有机物无组织排放控制标准》（GB37822-2019）表A.1标准。</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2、报废机动车回收拆解企业应在厂区及易产生粉尘的生产环节采取有效防尘、降尘、集尘措施，拆解过程产生的粉尘等应收集净化后排放。</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本项目已采取有效防尘、降尘、集尘措施，颗粒物已配置收集净化装置。</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3、报废机动车回收拆解企业的恶臭污染物排放应满足GB14554中的相关要求。</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本项目恶臭污染来源于废油液产生的挥发性有机物。</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4、报废机动车回收拆解企业应依照《消耗臭氧层物质管理条例》，对消耗臭氧层物质和氢氟碳化物进行分类回收，并交由专业单位进行利用或无害化处置，不应直接排放。涉及《中国受控消耗臭氧层物质清单》所列的废制冷剂应按照国家相关规定进行管理。</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因我国已全面禁用氟利昂物质，在汽车生产、制造、维修行业中，氟利昂将随着其更新换代而被淘汰。故项目氟利昂极少。本环评要求建设单位收集氟利昂后及时交由专业单位进行利用或无害化处置（不做定量分析）。</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restar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噪声排放控制要求</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1、报废机动车回收拆解企业应采取隔音降噪措施，减小厂界噪声，满足GB12348中的相关要求。</w:t>
                  </w:r>
                </w:p>
              </w:tc>
              <w:tc>
                <w:tcPr>
                  <w:tcW w:w="0" w:type="auto"/>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本环评要求建设单位采取隔音降噪措施，使厂界噪声排放满足GB12348表1中3类标准限值要求。</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2、对于破碎机、分选机、风机等机械设备，应采用合理的降噪、减噪措施，如选用低噪声设备，安装隔振元件、柔性接头、隔振垫等。</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本环评要求建设单位对于高噪声机械设备，采用合理的降噪、减噪措施（如选用低噪声设备，安装隔振元件、柔性接头、隔振垫等）。</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3、在空压机、风机等的输气管道或在进气口、排气口上安装消声元件，采取屏蔽隔声措施等。</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本环评要求建设单位在空压机、风机等的输气管道或在进气口、排气口上安装消声元件，采取屏蔽隔声措施等。</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4、对于搬运、手工拆解、车辆运输等非机械噪声产生环节，宜采取可减少固体振动和碰撞过程噪声产生的管理措施，如使用手动运输车辆、车间地面涂刷防护地坪、使用软性传输装置等措施；加强工人的防噪声劳动保护措施，如使用耳塞等。</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对于搬运、手工拆解、车辆运输等非机械噪声产生环节，采取可减少固体振动和碰撞过程噪声产生的管理措施；工人在操作时采取防噪声劳动保护措施。</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固体废物污染物控制要求</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一般工业固体废物中不应混入危险废物。拆解过程中产生的一般工业固体废物应满足GB18599的其他相关要求；危险废物应满足GB18597中的其他相关要求。</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本项目－般工业固体废物贮存设施及包装物分别按照GB18599、GB155622进行建设管理，危险废物贮存设施及包装物的标志按照GB18597的要求进行设置。</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restar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固体废物管理要求</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1、企业应建立、健全一般工业固体废物污染环境防治责任制度，采取以下措施防止造成环境污染：</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a）建立一般工业固体废物台账记录，应满足一般工业固体废物管理台账制定指南相关要求；</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b）分类收集后贮存应设置标识标签，注明拆解产物的名称、贮存时间、数量等信息；贮存过程应采取防止货物和包装损坏或泄漏。</w:t>
                  </w:r>
                </w:p>
              </w:tc>
              <w:tc>
                <w:tcPr>
                  <w:tcW w:w="0" w:type="auto"/>
                  <w:vMerge w:val="restar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本环评建议建设单位根据左侧要求建立健全的一般工业固体废物和危险废物污染环境防治责任制度，并严格执行制度。</w:t>
                  </w:r>
                </w:p>
              </w:tc>
              <w:tc>
                <w:tcPr>
                  <w:tcW w:w="0" w:type="auto"/>
                  <w:vMerge w:val="restar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2、企业应建立、健全污染环境防治责任制度，采取以下措施严格控制危险废物造成环境污染：</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a）制定危险废物管理计划和建立危险废物台账记录，应满足HJ1259相关要求；</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b）交由持有危险废物经营许可证并具有相关经营范围的企业进行处理，并签订委托处理合同；</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c）拆解过程产生的固体废物危险特性不明时，按照相关要求开展危险废物鉴别工作；</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d）转移危险废物时，应严格执行《危险废物转移管理办法》有关要求。</w:t>
                  </w:r>
                </w:p>
              </w:tc>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restar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环境监测要求</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1、报废机动车回收拆解企业应按照 HJ819等规定，建立企业监测制度，制定自行监测方案，对污染物排放状况及其周边环境质量的影响开展自行监测，保存原始监测记录，并公布监测结果，监测报告记录应至少保存3年。</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企业建立环境管理制度，制定环境监测计划；本项目对进厂的每一辆报废汽车进行检查和信息登记，监测报告和经营情况记录要求至少保存5年。</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自行监测方案应包括企业基本情况、监测点位、监测频次、监测指标（含特征污染物）、执行排放标准及其限值、监测方法和仪器、监测质量控制、监测点位示意图、监测结果信息公开时限、应急监测方案等。</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环评要求建设单位制定的自行监测方案应包括企业基本情况、监测点位、监测频次、监测指标（含特征污染物）、执行排放标准及其限值、监测方法和仪器、监测质量控制、监测点位示意图、监测结果信息公开时限、应急监测方案等。</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3、报废机动车回收拆解企业不具备自行监测能力的，应委托具有监测服务资质的单位监测。</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本环评建议建设单位委托具有监测服务资质的单位进行监测。</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技术人员管理要求</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报废机动车回收拆解企业应对操作人员、技术人员及管理人员进行环境保护相关的法律法规、环境应急处理等理论知识和操作技能培训。培训应包含以下内容：</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a）有关环境保护法律法规要求；</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b）企业生产的工艺流程、污染物的产生环节和污染防治措施；</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c）环境污染物的排放限值；</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d）污染防治设备设施的运行维护要求；</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e）发生突发环境事件的处理措施等。</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本环评建议建设单位正式运营前，对操作人员、技术人员及管理人员进行与环境保护相关的法律法规、环境应急处理等理论知识和操作技能培训。</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突发环境事件应急预案</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报废机动车回收拆解企业应健全企业突发环境事件应对工作机制，包括编制突发环境事件应急预案、制定突发环境事件应急预案培训演练制度、定期开展培训演练等。发生突发环境事件时，企业立即启动相应突发环境事件应急预案，并按突发环境事件应急预案要求向生态环境等部门报告。</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项目建成后，企业组织专业技术人员或委托专业技术服务机构编制突发环境事件应急预案，并在完成内部评估和外部评估的基础上及时报当地生态环境局备案。</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bl>
          <w:p>
            <w:pPr>
              <w:pStyle w:val="25"/>
              <w:bidi w:val="0"/>
              <w:jc w:val="left"/>
              <w:rPr>
                <w:rFonts w:hint="eastAsia" w:eastAsia="宋体"/>
                <w:lang w:eastAsia="zh-CN"/>
              </w:rPr>
            </w:pPr>
            <w:r>
              <w:rPr>
                <w:rFonts w:hint="eastAsia"/>
                <w:lang w:eastAsia="zh-CN"/>
              </w:rPr>
              <w:t>根据上述内容可知</w:t>
            </w:r>
            <w:r>
              <w:rPr>
                <w:rFonts w:hint="eastAsia" w:ascii="宋体" w:hAnsi="宋体" w:eastAsia="宋体" w:cs="宋体"/>
                <w:lang w:eastAsia="zh-CN"/>
              </w:rPr>
              <w:t>，</w:t>
            </w:r>
            <w:r>
              <w:rPr>
                <w:rFonts w:hint="eastAsia"/>
                <w:lang w:eastAsia="zh-CN"/>
              </w:rPr>
              <w:t>本项目符合《报废机动车拆解企业污染控制技术规范》（HJ348-2022）相关要求</w:t>
            </w:r>
            <w:r>
              <w:rPr>
                <w:rFonts w:hint="eastAsia" w:ascii="宋体" w:hAnsi="宋体" w:eastAsia="宋体" w:cs="宋体"/>
                <w:lang w:eastAsia="zh-CN"/>
              </w:rPr>
              <w:t>。</w:t>
            </w:r>
          </w:p>
          <w:p>
            <w:pPr>
              <w:pStyle w:val="25"/>
              <w:bidi w:val="0"/>
              <w:jc w:val="left"/>
            </w:pPr>
            <w:r>
              <w:rPr>
                <w:rFonts w:hint="eastAsia"/>
                <w:b/>
                <w:bCs/>
                <w:lang w:val="en-US" w:eastAsia="zh-CN"/>
              </w:rPr>
              <w:t>7、与《报废机动车回收拆解企业技术规范》（GB22128-2019）分析</w:t>
            </w:r>
          </w:p>
          <w:p>
            <w:pPr>
              <w:pStyle w:val="25"/>
              <w:bidi w:val="0"/>
              <w:jc w:val="left"/>
            </w:pPr>
            <w:r>
              <w:rPr>
                <w:rFonts w:hint="eastAsia"/>
              </w:rPr>
              <w:t>拆解产能：根据《报废机动车回收拆解企业技术规范》（GB22128-2019）</w:t>
            </w:r>
            <w:r>
              <w:rPr>
                <w:rFonts w:hint="eastAsia" w:ascii="宋体" w:hAnsi="宋体" w:eastAsia="宋体" w:cs="宋体"/>
              </w:rPr>
              <w:t>，</w:t>
            </w:r>
            <w:r>
              <w:rPr>
                <w:rFonts w:hint="eastAsia"/>
              </w:rPr>
              <w:t>企业所在地（地级市）类型依据年机动车保有量确定</w:t>
            </w:r>
            <w:r>
              <w:rPr>
                <w:rFonts w:hint="eastAsia" w:ascii="宋体" w:hAnsi="宋体" w:eastAsia="宋体" w:cs="宋体"/>
              </w:rPr>
              <w:t>，</w:t>
            </w:r>
            <w:r>
              <w:rPr>
                <w:rFonts w:hint="eastAsia"/>
              </w:rPr>
              <w:t>具体如下：</w:t>
            </w:r>
          </w:p>
          <w:p>
            <w:pPr>
              <w:adjustRightInd w:val="0"/>
              <w:snapToGrid w:val="0"/>
              <w:spacing w:line="240" w:lineRule="auto"/>
              <w:jc w:val="center"/>
              <w:rPr>
                <w:rFonts w:hint="default" w:ascii="Times New Roman" w:hAnsi="Times New Roman" w:eastAsia="宋体" w:cs="Times New Roman"/>
                <w:b/>
                <w:bCs/>
                <w:sz w:val="21"/>
                <w:szCs w:val="21"/>
                <w:lang w:val="en-US" w:eastAsia="zh-CN"/>
              </w:rPr>
            </w:pPr>
            <w:r>
              <w:rPr>
                <w:rFonts w:hint="eastAsia" w:ascii="Times New Roman" w:hAnsi="Times New Roman" w:eastAsia="宋体" w:cs="Times New Roman"/>
                <w:b/>
                <w:bCs/>
                <w:sz w:val="21"/>
                <w:szCs w:val="21"/>
                <w:lang w:val="en-US" w:eastAsia="zh-CN"/>
              </w:rPr>
              <w:t>表1-8 地区类型及拆解产能划分</w:t>
            </w:r>
          </w:p>
          <w:tbl>
            <w:tblPr>
              <w:tblStyle w:val="19"/>
              <w:tblW w:w="4999"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489"/>
              <w:gridCol w:w="3787"/>
              <w:gridCol w:w="307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891"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 xml:space="preserve">地区类型  </w:t>
                  </w:r>
                </w:p>
              </w:tc>
              <w:tc>
                <w:tcPr>
                  <w:tcW w:w="2266"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地区机动车保有量/万辆</w:t>
                  </w:r>
                </w:p>
              </w:tc>
              <w:tc>
                <w:tcPr>
                  <w:tcW w:w="1842"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地区总拆解产能计算公式</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891"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Ⅰ档</w:t>
                  </w:r>
                </w:p>
              </w:tc>
              <w:tc>
                <w:tcPr>
                  <w:tcW w:w="2266"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500（含）以上</w:t>
                  </w:r>
                </w:p>
              </w:tc>
              <w:tc>
                <w:tcPr>
                  <w:tcW w:w="1842" w:type="pct"/>
                  <w:vMerge w:val="restar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地区汽车保有量×（4%~5%）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891"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Ⅱ档</w:t>
                  </w:r>
                </w:p>
              </w:tc>
              <w:tc>
                <w:tcPr>
                  <w:tcW w:w="2266"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200（含）~500</w:t>
                  </w:r>
                </w:p>
              </w:tc>
              <w:tc>
                <w:tcPr>
                  <w:tcW w:w="1842" w:type="pct"/>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891"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Ⅲ档</w:t>
                  </w:r>
                </w:p>
              </w:tc>
              <w:tc>
                <w:tcPr>
                  <w:tcW w:w="2266"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100（含）~200</w:t>
                  </w:r>
                </w:p>
              </w:tc>
              <w:tc>
                <w:tcPr>
                  <w:tcW w:w="1842" w:type="pct"/>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891"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Ⅳ档</w:t>
                  </w:r>
                </w:p>
              </w:tc>
              <w:tc>
                <w:tcPr>
                  <w:tcW w:w="2266"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50（含）~100</w:t>
                  </w:r>
                </w:p>
              </w:tc>
              <w:tc>
                <w:tcPr>
                  <w:tcW w:w="1842" w:type="pct"/>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891"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Ⅴ档</w:t>
                  </w:r>
                </w:p>
              </w:tc>
              <w:tc>
                <w:tcPr>
                  <w:tcW w:w="2266"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20（含）~50</w:t>
                  </w:r>
                </w:p>
              </w:tc>
              <w:tc>
                <w:tcPr>
                  <w:tcW w:w="1842" w:type="pct"/>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891"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Ⅵ档</w:t>
                  </w:r>
                </w:p>
              </w:tc>
              <w:tc>
                <w:tcPr>
                  <w:tcW w:w="2266"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20以下</w:t>
                  </w:r>
                </w:p>
              </w:tc>
              <w:tc>
                <w:tcPr>
                  <w:tcW w:w="1842" w:type="pct"/>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r>
          </w:tbl>
          <w:p>
            <w:pPr>
              <w:pStyle w:val="25"/>
              <w:bidi w:val="0"/>
              <w:jc w:val="left"/>
              <w:rPr>
                <w:rFonts w:hint="eastAsia"/>
                <w:lang w:val="en-US" w:eastAsia="zh-CN"/>
              </w:rPr>
            </w:pPr>
            <w:r>
              <w:rPr>
                <w:rFonts w:hint="eastAsia"/>
                <w:lang w:eastAsia="zh-CN"/>
              </w:rPr>
              <w:t>本项目位于</w:t>
            </w:r>
            <w:r>
              <w:rPr>
                <w:rFonts w:hint="eastAsia"/>
                <w:lang w:val="en-US" w:eastAsia="zh-CN"/>
              </w:rPr>
              <w:t>衡阳市祁东县</w:t>
            </w:r>
            <w:r>
              <w:rPr>
                <w:rFonts w:hint="eastAsia" w:ascii="宋体" w:hAnsi="宋体" w:eastAsia="宋体" w:cs="宋体"/>
                <w:lang w:eastAsia="zh-CN"/>
              </w:rPr>
              <w:t>，</w:t>
            </w:r>
            <w:r>
              <w:rPr>
                <w:rFonts w:hint="eastAsia"/>
                <w:lang w:val="en-US" w:eastAsia="zh-CN"/>
              </w:rPr>
              <w:t>衡阳市</w:t>
            </w:r>
            <w:r>
              <w:rPr>
                <w:rFonts w:hint="eastAsia"/>
                <w:lang w:eastAsia="zh-CN"/>
              </w:rPr>
              <w:t>为</w:t>
            </w:r>
            <w:r>
              <w:rPr>
                <w:rFonts w:hint="eastAsia"/>
              </w:rPr>
              <w:t>Ⅴ档</w:t>
            </w:r>
            <w:r>
              <w:rPr>
                <w:rFonts w:hint="eastAsia" w:ascii="宋体" w:hAnsi="宋体" w:eastAsia="宋体" w:cs="宋体"/>
                <w:lang w:eastAsia="zh-CN"/>
              </w:rPr>
              <w:t>。</w:t>
            </w:r>
            <w:r>
              <w:rPr>
                <w:rFonts w:hint="eastAsia"/>
              </w:rPr>
              <w:t>根据《报废机动车回收拆解企业技术规范》（GB22128-2019）</w:t>
            </w:r>
            <w:r>
              <w:rPr>
                <w:rFonts w:hint="eastAsia" w:ascii="宋体" w:hAnsi="宋体" w:eastAsia="宋体" w:cs="宋体"/>
              </w:rPr>
              <w:t>，</w:t>
            </w:r>
            <w:r>
              <w:rPr>
                <w:rFonts w:hint="eastAsia"/>
              </w:rPr>
              <w:t>各地区单个企业最低拆解产能要求</w:t>
            </w:r>
            <w:r>
              <w:rPr>
                <w:rFonts w:hint="eastAsia"/>
                <w:lang w:eastAsia="zh-CN"/>
              </w:rPr>
              <w:t>见表</w:t>
            </w:r>
            <w:r>
              <w:rPr>
                <w:rFonts w:hint="eastAsia"/>
                <w:lang w:val="en-US" w:eastAsia="zh-CN"/>
              </w:rPr>
              <w:t>1-9</w:t>
            </w:r>
            <w:r>
              <w:rPr>
                <w:rFonts w:hint="eastAsia" w:ascii="宋体" w:hAnsi="宋体" w:eastAsia="宋体" w:cs="宋体"/>
                <w:lang w:val="en-US" w:eastAsia="zh-CN"/>
              </w:rPr>
              <w:t>。</w:t>
            </w:r>
          </w:p>
          <w:p>
            <w:pPr>
              <w:adjustRightInd w:val="0"/>
              <w:snapToGrid w:val="0"/>
              <w:spacing w:line="240" w:lineRule="auto"/>
              <w:jc w:val="center"/>
              <w:rPr>
                <w:rFonts w:hint="default" w:ascii="Times New Roman" w:hAnsi="Times New Roman" w:eastAsia="宋体" w:cs="Times New Roman"/>
                <w:b/>
                <w:bCs/>
                <w:sz w:val="21"/>
                <w:szCs w:val="21"/>
                <w:lang w:val="en-US" w:eastAsia="zh-CN"/>
              </w:rPr>
            </w:pPr>
            <w:r>
              <w:rPr>
                <w:rFonts w:hint="eastAsia" w:ascii="Times New Roman" w:hAnsi="Times New Roman" w:eastAsia="宋体" w:cs="Times New Roman"/>
                <w:b/>
                <w:bCs/>
                <w:sz w:val="21"/>
                <w:szCs w:val="21"/>
                <w:lang w:val="en-US" w:eastAsia="zh-CN"/>
              </w:rPr>
              <w:t>表1-9 单个企业最低拆解产能要求</w:t>
            </w:r>
          </w:p>
          <w:tbl>
            <w:tblPr>
              <w:tblStyle w:val="19"/>
              <w:tblW w:w="7839" w:type="dxa"/>
              <w:tblInd w:w="-11"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3919"/>
              <w:gridCol w:w="3920"/>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919" w:type="dxa"/>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地区类型</w:t>
                  </w:r>
                </w:p>
              </w:tc>
              <w:tc>
                <w:tcPr>
                  <w:tcW w:w="3920" w:type="dxa"/>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单个企业最低年拆解产能/万辆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919" w:type="dxa"/>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Ⅰ档</w:t>
                  </w:r>
                </w:p>
              </w:tc>
              <w:tc>
                <w:tcPr>
                  <w:tcW w:w="3920" w:type="dxa"/>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919" w:type="dxa"/>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Ⅱ档</w:t>
                  </w:r>
                </w:p>
              </w:tc>
              <w:tc>
                <w:tcPr>
                  <w:tcW w:w="3920" w:type="dxa"/>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919" w:type="dxa"/>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Ⅲ档</w:t>
                  </w:r>
                </w:p>
              </w:tc>
              <w:tc>
                <w:tcPr>
                  <w:tcW w:w="3920" w:type="dxa"/>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919" w:type="dxa"/>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Ⅳ档</w:t>
                  </w:r>
                </w:p>
              </w:tc>
              <w:tc>
                <w:tcPr>
                  <w:tcW w:w="3920" w:type="dxa"/>
                  <w:vMerge w:val="restart"/>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919" w:type="dxa"/>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Ⅴ档</w:t>
                  </w:r>
                </w:p>
              </w:tc>
              <w:tc>
                <w:tcPr>
                  <w:tcW w:w="3920" w:type="dxa"/>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919" w:type="dxa"/>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Ⅵ档</w:t>
                  </w:r>
                </w:p>
              </w:tc>
              <w:tc>
                <w:tcPr>
                  <w:tcW w:w="3920" w:type="dxa"/>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0.5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7839" w:type="dxa"/>
                  <w:gridSpan w:val="2"/>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备注：标准单个企业年拆解产能标准车型为GA802中所定义的小型载客汽车，其他车型依据整备质量折算，标准车型整备质量为1.4t。</w:t>
                  </w:r>
                </w:p>
              </w:tc>
            </w:tr>
          </w:tbl>
          <w:p>
            <w:pPr>
              <w:pStyle w:val="25"/>
              <w:bidi w:val="0"/>
              <w:jc w:val="left"/>
              <w:rPr>
                <w:rFonts w:hint="default" w:eastAsia="宋体"/>
                <w:lang w:val="en-US" w:eastAsia="zh-CN"/>
              </w:rPr>
            </w:pPr>
            <w:r>
              <w:rPr>
                <w:rFonts w:hint="eastAsia"/>
                <w:lang w:val="en-US" w:eastAsia="zh-CN"/>
              </w:rPr>
              <w:t>衡阳</w:t>
            </w:r>
            <w:r>
              <w:rPr>
                <w:rFonts w:hint="eastAsia"/>
                <w:lang w:eastAsia="zh-CN"/>
              </w:rPr>
              <w:t>市为</w:t>
            </w:r>
            <w:r>
              <w:rPr>
                <w:rFonts w:hint="eastAsia"/>
              </w:rPr>
              <w:t>Ⅴ档</w:t>
            </w:r>
            <w:r>
              <w:rPr>
                <w:rFonts w:hint="eastAsia"/>
                <w:lang w:eastAsia="zh-CN"/>
              </w:rPr>
              <w:t>地区</w:t>
            </w:r>
            <w:r>
              <w:rPr>
                <w:rFonts w:hint="eastAsia" w:ascii="宋体" w:hAnsi="宋体" w:eastAsia="宋体" w:cs="宋体"/>
                <w:lang w:eastAsia="zh-CN"/>
              </w:rPr>
              <w:t>，</w:t>
            </w:r>
            <w:r>
              <w:rPr>
                <w:rFonts w:hint="eastAsia"/>
                <w:lang w:eastAsia="zh-CN"/>
              </w:rPr>
              <w:t>故</w:t>
            </w:r>
            <w:r>
              <w:rPr>
                <w:rFonts w:hint="eastAsia"/>
              </w:rPr>
              <w:t>单个企业最低年拆解产能</w:t>
            </w:r>
            <w:r>
              <w:rPr>
                <w:rFonts w:hint="eastAsia"/>
                <w:lang w:eastAsia="zh-CN"/>
              </w:rPr>
              <w:t>为</w:t>
            </w:r>
            <w:r>
              <w:rPr>
                <w:rFonts w:hint="eastAsia"/>
                <w:lang w:val="en-US" w:eastAsia="zh-CN"/>
              </w:rPr>
              <w:t>10000辆</w:t>
            </w:r>
            <w:r>
              <w:rPr>
                <w:rFonts w:hint="eastAsia" w:ascii="宋体" w:hAnsi="宋体" w:eastAsia="宋体" w:cs="宋体"/>
                <w:lang w:val="en-US" w:eastAsia="zh-CN"/>
              </w:rPr>
              <w:t>。</w:t>
            </w:r>
            <w:r>
              <w:rPr>
                <w:rFonts w:hint="eastAsia"/>
                <w:lang w:val="en-US" w:eastAsia="zh-CN"/>
              </w:rPr>
              <w:t>本项目拟拆解1.3t报废小型车（燃油）5000台</w:t>
            </w:r>
            <w:r>
              <w:rPr>
                <w:rFonts w:hint="eastAsia" w:ascii="宋体" w:hAnsi="宋体" w:eastAsia="宋体" w:cs="宋体"/>
                <w:lang w:val="en-US" w:eastAsia="zh-CN"/>
              </w:rPr>
              <w:t>，</w:t>
            </w:r>
            <w:r>
              <w:rPr>
                <w:rFonts w:hint="eastAsia"/>
                <w:lang w:val="en-US" w:eastAsia="zh-CN"/>
              </w:rPr>
              <w:t>1.3t报废小型车（电动车）1000台</w:t>
            </w:r>
            <w:r>
              <w:rPr>
                <w:rFonts w:hint="eastAsia" w:ascii="宋体" w:hAnsi="宋体" w:eastAsia="宋体" w:cs="宋体"/>
                <w:lang w:val="en-US" w:eastAsia="zh-CN"/>
              </w:rPr>
              <w:t>，</w:t>
            </w:r>
            <w:r>
              <w:rPr>
                <w:rFonts w:hint="eastAsia"/>
                <w:lang w:val="en-US" w:eastAsia="zh-CN"/>
              </w:rPr>
              <w:t>5.3t报废中大型车（燃油）2000台</w:t>
            </w:r>
            <w:r>
              <w:rPr>
                <w:rFonts w:hint="eastAsia" w:ascii="宋体" w:hAnsi="宋体" w:eastAsia="宋体" w:cs="宋体"/>
                <w:lang w:val="en-US" w:eastAsia="zh-CN"/>
              </w:rPr>
              <w:t>，</w:t>
            </w:r>
            <w:r>
              <w:rPr>
                <w:rFonts w:hint="eastAsia" w:ascii="Times New Roman" w:hAnsi="Times New Roman" w:eastAsia="宋体" w:cs="Times New Roman"/>
                <w:lang w:val="en-US" w:eastAsia="zh-CN"/>
              </w:rPr>
              <w:t>0.15t摩托车2000台</w:t>
            </w:r>
            <w:r>
              <w:rPr>
                <w:rFonts w:hint="eastAsia" w:ascii="宋体" w:hAnsi="宋体" w:cs="宋体"/>
                <w:lang w:val="en-US" w:eastAsia="zh-CN"/>
              </w:rPr>
              <w:t>，</w:t>
            </w:r>
            <w:r>
              <w:rPr>
                <w:rFonts w:hint="eastAsia"/>
                <w:lang w:val="en-US" w:eastAsia="zh-CN"/>
              </w:rPr>
              <w:t>折算为小型载客汽车拆解量为13357辆/年</w:t>
            </w:r>
            <w:r>
              <w:rPr>
                <w:rFonts w:hint="eastAsia" w:ascii="宋体" w:hAnsi="宋体" w:eastAsia="宋体" w:cs="宋体"/>
                <w:lang w:val="en-US" w:eastAsia="zh-CN"/>
              </w:rPr>
              <w:t>，</w:t>
            </w:r>
            <w:r>
              <w:rPr>
                <w:rFonts w:hint="eastAsia"/>
                <w:lang w:val="en-US" w:eastAsia="zh-CN"/>
              </w:rPr>
              <w:t>故项目满足规范中</w:t>
            </w:r>
            <w:r>
              <w:rPr>
                <w:rFonts w:hint="default" w:ascii="Times New Roman" w:hAnsi="Times New Roman" w:cs="Times New Roman"/>
              </w:rPr>
              <w:t>Ⅴ</w:t>
            </w:r>
            <w:r>
              <w:rPr>
                <w:rFonts w:hint="eastAsia"/>
                <w:lang w:val="en-US" w:eastAsia="zh-CN"/>
              </w:rPr>
              <w:t>档地区的最低拆解产能要求</w:t>
            </w:r>
            <w:r>
              <w:rPr>
                <w:rFonts w:hint="eastAsia" w:ascii="宋体" w:hAnsi="宋体" w:eastAsia="宋体" w:cs="宋体"/>
                <w:lang w:val="en-US" w:eastAsia="zh-CN"/>
              </w:rPr>
              <w:t>。</w:t>
            </w:r>
          </w:p>
          <w:p>
            <w:pPr>
              <w:pStyle w:val="25"/>
              <w:bidi w:val="0"/>
              <w:jc w:val="left"/>
              <w:rPr>
                <w:rFonts w:hint="eastAsia"/>
                <w:lang w:val="en-US" w:eastAsia="zh-CN"/>
              </w:rPr>
            </w:pPr>
            <w:r>
              <w:rPr>
                <w:rFonts w:hint="eastAsia"/>
                <w:lang w:eastAsia="zh-CN"/>
              </w:rPr>
              <w:t>本项目与《报废机动车回收拆解企业技术规范》（GB22128-2019）符合性分析情况见表</w:t>
            </w:r>
            <w:r>
              <w:rPr>
                <w:rFonts w:hint="eastAsia"/>
                <w:lang w:val="en-US" w:eastAsia="zh-CN"/>
              </w:rPr>
              <w:t>1-9</w:t>
            </w:r>
            <w:r>
              <w:rPr>
                <w:rFonts w:hint="eastAsia" w:ascii="宋体" w:hAnsi="宋体" w:eastAsia="宋体" w:cs="宋体"/>
                <w:lang w:val="en-US" w:eastAsia="zh-CN"/>
              </w:rPr>
              <w:t>。</w:t>
            </w:r>
          </w:p>
          <w:p>
            <w:pPr>
              <w:adjustRightInd w:val="0"/>
              <w:snapToGrid w:val="0"/>
              <w:spacing w:line="240" w:lineRule="auto"/>
              <w:jc w:val="center"/>
              <w:rPr>
                <w:rFonts w:hint="default" w:ascii="Times New Roman" w:hAnsi="Times New Roman" w:eastAsia="宋体" w:cs="Times New Roman"/>
                <w:b/>
                <w:bCs/>
                <w:sz w:val="21"/>
                <w:szCs w:val="21"/>
                <w:lang w:val="en-US" w:eastAsia="zh-CN"/>
              </w:rPr>
            </w:pPr>
            <w:r>
              <w:rPr>
                <w:rFonts w:hint="eastAsia" w:ascii="Times New Roman" w:hAnsi="Times New Roman" w:eastAsia="宋体" w:cs="Times New Roman"/>
                <w:b/>
                <w:bCs/>
                <w:sz w:val="21"/>
                <w:szCs w:val="21"/>
                <w:lang w:val="en-US" w:eastAsia="zh-CN"/>
              </w:rPr>
              <w:t>表1-9 项目与《报废机动车回收拆解企业技术规范》（GB22128-2019）符合性分析</w:t>
            </w:r>
          </w:p>
          <w:tbl>
            <w:tblPr>
              <w:tblStyle w:val="19"/>
              <w:tblW w:w="0" w:type="auto"/>
              <w:tblInd w:w="-11"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525"/>
              <w:gridCol w:w="3067"/>
              <w:gridCol w:w="4288"/>
              <w:gridCol w:w="47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类别</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《报废机动车回收拆解企业技术规范》</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实际情况</w:t>
                  </w:r>
                </w:p>
              </w:tc>
              <w:tc>
                <w:tcPr>
                  <w:tcW w:w="0" w:type="auto"/>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是否符合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restar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场地建设要求</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1、符合所在地城市总体规划或国土空间规划。</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本项目符合衡阳市城市规划。</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2、符合相关选址要求，不得建在城市居民区、商业区、饮用水水源保护区及其他环境敏感区内，且避开受环境威胁的地带、地段和地区。</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本项目位于湖南省衡阳市祁东县归阳工业园云鹤循环经济产业园内，未建设在城市居民区、商业区、饮用水水源保护区及其他环境敏感区内，且避开受环境威胁的地带、地段和地区。</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3、项目所在地有工业园区或再生利用园区的应建设在园区内。</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本项目位于湖南省衡阳市祁东县归阳工业园云鹤循环经济产业园内</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4、Ⅰ档~Ⅱ档地区企业最低经营面积为 20000m</w:t>
                  </w:r>
                  <w:r>
                    <w:rPr>
                      <w:rFonts w:hint="eastAsia" w:ascii="Times New Roman" w:hAnsi="Times New Roman" w:eastAsia="宋体" w:cs="Times New Roman"/>
                      <w:sz w:val="21"/>
                      <w:szCs w:val="21"/>
                      <w:vertAlign w:val="superscript"/>
                      <w:lang w:val="en-US" w:eastAsia="zh-CN"/>
                    </w:rPr>
                    <w:t>2</w:t>
                  </w:r>
                  <w:r>
                    <w:rPr>
                      <w:rFonts w:hint="eastAsia" w:ascii="Times New Roman" w:hAnsi="Times New Roman" w:eastAsia="宋体" w:cs="Times New Roman"/>
                      <w:sz w:val="21"/>
                      <w:szCs w:val="21"/>
                      <w:lang w:val="en-US" w:eastAsia="zh-CN"/>
                    </w:rPr>
                    <w:t>，Ⅲ~Ⅳ地区企业最低经营面积为15000m</w:t>
                  </w:r>
                  <w:r>
                    <w:rPr>
                      <w:rFonts w:hint="eastAsia" w:ascii="Times New Roman" w:hAnsi="Times New Roman" w:eastAsia="宋体" w:cs="Times New Roman"/>
                      <w:sz w:val="21"/>
                      <w:szCs w:val="21"/>
                      <w:vertAlign w:val="superscript"/>
                      <w:lang w:val="en-US" w:eastAsia="zh-CN"/>
                    </w:rPr>
                    <w:t>2</w:t>
                  </w:r>
                  <w:r>
                    <w:rPr>
                      <w:rFonts w:hint="eastAsia" w:ascii="Times New Roman" w:hAnsi="Times New Roman" w:eastAsia="宋体" w:cs="Times New Roman"/>
                      <w:sz w:val="21"/>
                      <w:szCs w:val="21"/>
                      <w:lang w:val="en-US" w:eastAsia="zh-CN"/>
                    </w:rPr>
                    <w:t>，Ⅴ~Ⅵ地区企业最低经营面积为10000m</w:t>
                  </w:r>
                  <w:r>
                    <w:rPr>
                      <w:rFonts w:hint="eastAsia" w:ascii="Times New Roman" w:hAnsi="Times New Roman" w:eastAsia="宋体" w:cs="Times New Roman"/>
                      <w:sz w:val="21"/>
                      <w:szCs w:val="21"/>
                      <w:vertAlign w:val="superscript"/>
                      <w:lang w:val="en-US" w:eastAsia="zh-CN"/>
                    </w:rPr>
                    <w:t>2</w:t>
                  </w:r>
                  <w:r>
                    <w:rPr>
                      <w:rFonts w:hint="eastAsia" w:ascii="Times New Roman" w:hAnsi="Times New Roman" w:eastAsia="宋体" w:cs="Times New Roman"/>
                      <w:sz w:val="21"/>
                      <w:szCs w:val="21"/>
                      <w:lang w:val="en-US" w:eastAsia="zh-CN"/>
                    </w:rPr>
                    <w:t>。作业场地（包括拆解和贮存场地）面积不低于经营面积的60%。</w:t>
                  </w:r>
                </w:p>
              </w:tc>
              <w:tc>
                <w:tcPr>
                  <w:tcW w:w="0" w:type="auto"/>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本项目总占地面积为10666.67m</w:t>
                  </w:r>
                  <w:r>
                    <w:rPr>
                      <w:rFonts w:hint="eastAsia" w:ascii="Times New Roman" w:hAnsi="Times New Roman" w:eastAsia="宋体" w:cs="Times New Roman"/>
                      <w:sz w:val="21"/>
                      <w:szCs w:val="21"/>
                      <w:vertAlign w:val="superscript"/>
                      <w:lang w:val="en-US" w:eastAsia="zh-CN"/>
                    </w:rPr>
                    <w:t>2</w:t>
                  </w:r>
                  <w:r>
                    <w:rPr>
                      <w:rFonts w:hint="eastAsia" w:ascii="Times New Roman" w:hAnsi="Times New Roman" w:eastAsia="宋体" w:cs="Times New Roman"/>
                      <w:sz w:val="21"/>
                      <w:szCs w:val="21"/>
                      <w:lang w:val="en-US" w:eastAsia="zh-CN"/>
                    </w:rPr>
                    <w:t>，作业场地占地6417.52m</w:t>
                  </w:r>
                  <w:r>
                    <w:rPr>
                      <w:rFonts w:hint="eastAsia" w:ascii="Times New Roman" w:hAnsi="Times New Roman" w:eastAsia="宋体" w:cs="Times New Roman"/>
                      <w:sz w:val="21"/>
                      <w:szCs w:val="21"/>
                      <w:vertAlign w:val="superscript"/>
                      <w:lang w:val="en-US" w:eastAsia="zh-CN"/>
                    </w:rPr>
                    <w:t>2</w:t>
                  </w:r>
                  <w:r>
                    <w:rPr>
                      <w:rFonts w:hint="eastAsia" w:ascii="Times New Roman" w:hAnsi="Times New Roman" w:eastAsia="宋体" w:cs="Times New Roman"/>
                      <w:sz w:val="21"/>
                      <w:szCs w:val="21"/>
                      <w:lang w:val="en-US" w:eastAsia="zh-CN"/>
                    </w:rPr>
                    <w:t>，占比为60.16%（车间占地</w:t>
                  </w:r>
                  <w:r>
                    <w:rPr>
                      <w:rFonts w:hint="eastAsia" w:cs="Times New Roman"/>
                      <w:sz w:val="21"/>
                      <w:szCs w:val="21"/>
                      <w:lang w:val="en-US" w:eastAsia="zh-CN"/>
                    </w:rPr>
                    <w:t>3300</w:t>
                  </w:r>
                  <w:r>
                    <w:rPr>
                      <w:rFonts w:hint="eastAsia" w:ascii="Times New Roman" w:hAnsi="Times New Roman" w:eastAsia="宋体" w:cs="Times New Roman"/>
                      <w:sz w:val="21"/>
                      <w:szCs w:val="21"/>
                      <w:lang w:val="en-US" w:eastAsia="zh-CN"/>
                    </w:rPr>
                    <w:t>m</w:t>
                  </w:r>
                  <w:r>
                    <w:rPr>
                      <w:rFonts w:hint="eastAsia" w:ascii="Times New Roman" w:hAnsi="Times New Roman" w:eastAsia="宋体" w:cs="Times New Roman"/>
                      <w:sz w:val="21"/>
                      <w:szCs w:val="21"/>
                      <w:vertAlign w:val="superscript"/>
                      <w:lang w:val="en-US" w:eastAsia="zh-CN"/>
                    </w:rPr>
                    <w:t>2</w:t>
                  </w:r>
                  <w:r>
                    <w:rPr>
                      <w:rFonts w:hint="eastAsia" w:cs="Times New Roman"/>
                      <w:sz w:val="21"/>
                      <w:szCs w:val="21"/>
                      <w:vertAlign w:val="baseline"/>
                      <w:lang w:val="en-US" w:eastAsia="zh-CN"/>
                    </w:rPr>
                    <w:t>、成品贮存区占地1667.52</w:t>
                  </w:r>
                  <w:r>
                    <w:rPr>
                      <w:rFonts w:hint="eastAsia" w:ascii="Times New Roman" w:hAnsi="Times New Roman" w:eastAsia="宋体" w:cs="Times New Roman"/>
                      <w:sz w:val="21"/>
                      <w:szCs w:val="21"/>
                      <w:lang w:val="en-US" w:eastAsia="zh-CN"/>
                    </w:rPr>
                    <w:t>m</w:t>
                  </w:r>
                  <w:r>
                    <w:rPr>
                      <w:rFonts w:hint="eastAsia" w:ascii="Times New Roman" w:hAnsi="Times New Roman" w:eastAsia="宋体" w:cs="Times New Roman"/>
                      <w:sz w:val="21"/>
                      <w:szCs w:val="21"/>
                      <w:vertAlign w:val="superscript"/>
                      <w:lang w:val="en-US" w:eastAsia="zh-CN"/>
                    </w:rPr>
                    <w:t>2</w:t>
                  </w:r>
                  <w:r>
                    <w:rPr>
                      <w:rFonts w:hint="eastAsia" w:ascii="Times New Roman" w:hAnsi="Times New Roman" w:eastAsia="宋体" w:cs="Times New Roman"/>
                      <w:sz w:val="21"/>
                      <w:szCs w:val="21"/>
                      <w:lang w:val="en-US" w:eastAsia="zh-CN"/>
                    </w:rPr>
                    <w:t>、</w:t>
                  </w:r>
                  <w:r>
                    <w:rPr>
                      <w:rFonts w:hint="eastAsia" w:cs="Times New Roman"/>
                      <w:sz w:val="21"/>
                      <w:szCs w:val="21"/>
                      <w:lang w:val="en-US" w:eastAsia="zh-CN"/>
                    </w:rPr>
                    <w:t>汽车堆场占地1200</w:t>
                  </w:r>
                  <w:r>
                    <w:rPr>
                      <w:rFonts w:hint="eastAsia" w:ascii="Times New Roman" w:hAnsi="Times New Roman" w:eastAsia="宋体" w:cs="Times New Roman"/>
                      <w:sz w:val="21"/>
                      <w:szCs w:val="21"/>
                      <w:lang w:val="en-US" w:eastAsia="zh-CN"/>
                    </w:rPr>
                    <w:t>m</w:t>
                  </w:r>
                  <w:r>
                    <w:rPr>
                      <w:rFonts w:hint="eastAsia" w:ascii="Times New Roman" w:hAnsi="Times New Roman" w:eastAsia="宋体" w:cs="Times New Roman"/>
                      <w:sz w:val="21"/>
                      <w:szCs w:val="21"/>
                      <w:vertAlign w:val="superscript"/>
                      <w:lang w:val="en-US" w:eastAsia="zh-CN"/>
                    </w:rPr>
                    <w:t>2</w:t>
                  </w:r>
                  <w:r>
                    <w:rPr>
                      <w:rFonts w:hint="eastAsia" w:cs="Times New Roman"/>
                      <w:sz w:val="21"/>
                      <w:szCs w:val="21"/>
                      <w:vertAlign w:val="baseline"/>
                      <w:lang w:val="en-US" w:eastAsia="zh-CN"/>
                    </w:rPr>
                    <w:t>、一般固废暂存间占地50</w:t>
                  </w:r>
                  <w:r>
                    <w:rPr>
                      <w:rFonts w:hint="eastAsia" w:ascii="Times New Roman" w:hAnsi="Times New Roman" w:eastAsia="宋体" w:cs="Times New Roman"/>
                      <w:sz w:val="21"/>
                      <w:szCs w:val="21"/>
                      <w:lang w:val="en-US" w:eastAsia="zh-CN"/>
                    </w:rPr>
                    <w:t>m</w:t>
                  </w:r>
                  <w:r>
                    <w:rPr>
                      <w:rFonts w:hint="eastAsia" w:ascii="Times New Roman" w:hAnsi="Times New Roman" w:eastAsia="宋体" w:cs="Times New Roman"/>
                      <w:sz w:val="21"/>
                      <w:szCs w:val="21"/>
                      <w:vertAlign w:val="superscript"/>
                      <w:lang w:val="en-US" w:eastAsia="zh-CN"/>
                    </w:rPr>
                    <w:t>2</w:t>
                  </w:r>
                  <w:r>
                    <w:rPr>
                      <w:rFonts w:hint="eastAsia" w:cs="Times New Roman"/>
                      <w:sz w:val="21"/>
                      <w:szCs w:val="21"/>
                      <w:vertAlign w:val="baseline"/>
                      <w:lang w:val="en-US" w:eastAsia="zh-CN"/>
                    </w:rPr>
                    <w:t>、危废暂存间占地200</w:t>
                  </w:r>
                  <w:r>
                    <w:rPr>
                      <w:rFonts w:hint="eastAsia" w:ascii="Times New Roman" w:hAnsi="Times New Roman" w:eastAsia="宋体" w:cs="Times New Roman"/>
                      <w:sz w:val="21"/>
                      <w:szCs w:val="21"/>
                      <w:lang w:val="en-US" w:eastAsia="zh-CN"/>
                    </w:rPr>
                    <w:t>m</w:t>
                  </w:r>
                  <w:r>
                    <w:rPr>
                      <w:rFonts w:hint="eastAsia" w:ascii="Times New Roman" w:hAnsi="Times New Roman" w:eastAsia="宋体" w:cs="Times New Roman"/>
                      <w:sz w:val="21"/>
                      <w:szCs w:val="21"/>
                      <w:vertAlign w:val="superscript"/>
                      <w:lang w:val="en-US" w:eastAsia="zh-CN"/>
                    </w:rPr>
                    <w:t>2</w:t>
                  </w:r>
                  <w:r>
                    <w:rPr>
                      <w:rFonts w:hint="eastAsia" w:ascii="Times New Roman" w:hAnsi="Times New Roman" w:eastAsia="宋体" w:cs="Times New Roman"/>
                      <w:sz w:val="21"/>
                      <w:szCs w:val="21"/>
                      <w:vertAlign w:val="baseline"/>
                      <w:lang w:val="en-US" w:eastAsia="zh-CN"/>
                    </w:rPr>
                    <w:t>）</w:t>
                  </w:r>
                  <w:r>
                    <w:rPr>
                      <w:rFonts w:hint="eastAsia" w:ascii="Times New Roman" w:hAnsi="Times New Roman" w:eastAsia="宋体" w:cs="Times New Roman"/>
                      <w:sz w:val="21"/>
                      <w:szCs w:val="21"/>
                      <w:lang w:val="en-US" w:eastAsia="zh-CN"/>
                    </w:rPr>
                    <w:t>。</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5、企业场地应具备拆解场地、贮存场地和办公场地。其中，拆解场地和贮存场地（包括临时贮存）的地面应硬化并防渗漏，满足GB50037的防油渗地面要求。</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项目建成后，具备拆解场地、贮存场地和办公场地。拆解场地（预处理区、拆解区、精拆解区）和贮存场地（报废电动车暂存处、报废燃油车暂存处、一般固废暂存点、半成品及产品堆存点、危废暂存间等）地面进行硬化及防渗处理，并满足GB50037的防油渗地面要求。</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6、拆解场地应为封闭或半封闭构建物，应通风、光线良好，安全环保设施齐全。</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项目拆解场地设置为封闭构筑物，通风、光线良好，安全环保设施齐全。</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7、贮存场地应分为报废机动车贮存场地、回用件贮存场地及固体废物贮存场地。固体废物贮存场地应具有满足GB18599要求的一般工业固体废物贮存设施和满足GB18597要求的危险废物贮存设施。</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项目贮存场地分为报废电动车暂存处、报废燃油车暂存处、半成品及产品堆存点、危废暂存间及一般固废暂存点。项目固体废物贮存场地应按照GB18599要求的一般工业固体废物贮存设施和GB18597要求的危险废物贮存设施进行建设。</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restar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设施设备要求</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1、满足HJ348要求的油水分离器等企业建设环境保护设备。</w:t>
                  </w:r>
                </w:p>
              </w:tc>
              <w:tc>
                <w:tcPr>
                  <w:tcW w:w="0" w:type="auto"/>
                  <w:vMerge w:val="restar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本项目建设按照相关要求配置废液收集和分类存放的专用密闭容器、机动车空调制冷剂收集装置和分类存放的专用密闭容器、机油滤清器、废铅酸电池存放的容器。</w:t>
                  </w:r>
                </w:p>
              </w:tc>
              <w:tc>
                <w:tcPr>
                  <w:tcW w:w="0" w:type="auto"/>
                  <w:vMerge w:val="restart"/>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2、配有专用废液收集装置和分类存放各种废液的专用密闭容器。</w:t>
                  </w:r>
                </w:p>
              </w:tc>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3、机动车空调制冷剂收集装置和分类存放各种制冷剂的密闭容器。</w:t>
                  </w:r>
                </w:p>
              </w:tc>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4、分类存放机油滤清器和铅酸蓄电池的容器。</w:t>
                  </w:r>
                </w:p>
              </w:tc>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c>
                <w:tcPr>
                  <w:tcW w:w="0" w:type="auto"/>
                  <w:vMerge w:val="restar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技术人员要求</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1、企业技术人员应经过岗前培训，其专业技能应能满足规范拆解、环保作业、安全操作等相应要求，并配备专业安全生产管理人员和环保管理人员，国家有持证岗规定的，应持证上岗。</w:t>
                  </w:r>
                </w:p>
              </w:tc>
              <w:tc>
                <w:tcPr>
                  <w:tcW w:w="0" w:type="auto"/>
                  <w:vMerge w:val="restar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环评要求建设单位按要求对企业技术人员进行岗前培训，使其专业技能能满足规范拆解、环保作业、安全操作等相应要求，并配备专业安全生产管理人员和环保管理人员，国家有持证岗规定的，应持证上岗。项目具有动力蓄电池贮存管理人员及相应人数持电工特种作业操作证人员。动力蓄电池贮存管理人员具有动力蓄电池防火、防泄漏、防短路等相关专业知识。拆解人员均在汽车生产企业提供的拆解信息或手册的指导下进行拆解。</w:t>
                  </w:r>
                </w:p>
              </w:tc>
              <w:tc>
                <w:tcPr>
                  <w:tcW w:w="0" w:type="auto"/>
                  <w:vMerge w:val="restar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2、具有电动汽车拆解业务的企业应具有动力蓄电池贮存管理人员及 2 人以上持电工特种作业操作证人员。动力蓄电池贮存管理人员应具有动力蓄电池防火、防泄漏、防短路等相关专业知识。拆解人员应在汽车生产企业提供的拆解信息或手册的指导下进行拆解。</w:t>
                  </w:r>
                </w:p>
              </w:tc>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restar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环保要求</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1、报废机动车拆解过程应满足 HJ348中所规定的清污分流、污水达标排放等环境保护和污染控制的相关要求。</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本环评要求建设单位完善厂区雨污分流工程。本项目</w:t>
                  </w:r>
                  <w:r>
                    <w:rPr>
                      <w:rFonts w:hint="default" w:ascii="Times New Roman" w:hAnsi="Times New Roman" w:eastAsia="宋体" w:cs="Times New Roman"/>
                      <w:sz w:val="21"/>
                      <w:szCs w:val="21"/>
                      <w:lang w:val="en-US" w:eastAsia="zh-CN"/>
                    </w:rPr>
                    <w:t>初期雨水经初期雨水收集池收集，再由隔油沉淀池（气浮机+油水分离器）处理后经市政污水管网排入归阳污水处理厂进行处理，项目拖把清洗废水经隔油沉淀池（气浮机+油水分离器）处理</w:t>
                  </w:r>
                  <w:r>
                    <w:rPr>
                      <w:rFonts w:hint="eastAsia" w:ascii="Times New Roman" w:hAnsi="Times New Roman" w:eastAsia="宋体" w:cs="Times New Roman"/>
                      <w:sz w:val="21"/>
                      <w:szCs w:val="21"/>
                      <w:lang w:val="en-US" w:eastAsia="zh-CN"/>
                    </w:rPr>
                    <w:t>，达到</w:t>
                  </w:r>
                  <w:r>
                    <w:rPr>
                      <w:rFonts w:hint="default" w:ascii="Times New Roman" w:hAnsi="Times New Roman" w:eastAsia="宋体" w:cs="Times New Roman"/>
                      <w:b w:val="0"/>
                      <w:bCs w:val="0"/>
                      <w:color w:val="auto"/>
                      <w:kern w:val="0"/>
                      <w:sz w:val="21"/>
                      <w:szCs w:val="21"/>
                      <w:u w:val="none" w:color="auto"/>
                      <w:lang w:val="en-US" w:eastAsia="zh-CN" w:bidi="ar"/>
                    </w:rPr>
                    <w:t>《污水综合排放标准》（GB8978-1996）表4中</w:t>
                  </w:r>
                  <w:r>
                    <w:rPr>
                      <w:rFonts w:hint="eastAsia" w:cs="Times New Roman"/>
                      <w:b w:val="0"/>
                      <w:bCs w:val="0"/>
                      <w:color w:val="auto"/>
                      <w:kern w:val="0"/>
                      <w:sz w:val="21"/>
                      <w:szCs w:val="21"/>
                      <w:u w:val="none" w:color="auto"/>
                      <w:lang w:val="en-US" w:eastAsia="zh-CN" w:bidi="ar"/>
                    </w:rPr>
                    <w:t>三</w:t>
                  </w:r>
                  <w:r>
                    <w:rPr>
                      <w:rFonts w:hint="default" w:ascii="Times New Roman" w:hAnsi="Times New Roman" w:eastAsia="宋体" w:cs="Times New Roman"/>
                      <w:b w:val="0"/>
                      <w:bCs w:val="0"/>
                      <w:color w:val="auto"/>
                      <w:kern w:val="0"/>
                      <w:sz w:val="21"/>
                      <w:szCs w:val="21"/>
                      <w:u w:val="none" w:color="auto"/>
                      <w:lang w:val="en-US" w:eastAsia="zh-CN" w:bidi="ar"/>
                    </w:rPr>
                    <w:t>级标准</w:t>
                  </w:r>
                  <w:r>
                    <w:rPr>
                      <w:rFonts w:hint="eastAsia" w:ascii="Times New Roman" w:hAnsi="Times New Roman" w:eastAsia="宋体" w:cs="Times New Roman"/>
                      <w:b w:val="0"/>
                      <w:bCs w:val="0"/>
                      <w:color w:val="auto"/>
                      <w:kern w:val="0"/>
                      <w:sz w:val="21"/>
                      <w:szCs w:val="21"/>
                      <w:u w:val="none" w:color="auto"/>
                      <w:lang w:val="en-US" w:eastAsia="zh-CN" w:bidi="ar"/>
                    </w:rPr>
                    <w:t>后，</w:t>
                  </w:r>
                  <w:r>
                    <w:rPr>
                      <w:rFonts w:hint="default" w:ascii="Times New Roman" w:hAnsi="Times New Roman" w:eastAsia="宋体" w:cs="Times New Roman"/>
                      <w:sz w:val="21"/>
                      <w:szCs w:val="21"/>
                      <w:lang w:val="en-US" w:eastAsia="zh-CN"/>
                    </w:rPr>
                    <w:t>经园区污水</w:t>
                  </w:r>
                  <w:r>
                    <w:rPr>
                      <w:rFonts w:hint="eastAsia" w:ascii="Times New Roman" w:hAnsi="Times New Roman" w:eastAsia="宋体" w:cs="Times New Roman"/>
                      <w:sz w:val="21"/>
                      <w:szCs w:val="21"/>
                      <w:lang w:val="en-US" w:eastAsia="zh-CN"/>
                    </w:rPr>
                    <w:t>管</w:t>
                  </w:r>
                  <w:r>
                    <w:rPr>
                      <w:rFonts w:hint="default" w:ascii="Times New Roman" w:hAnsi="Times New Roman" w:eastAsia="宋体" w:cs="Times New Roman"/>
                      <w:sz w:val="21"/>
                      <w:szCs w:val="21"/>
                      <w:lang w:val="en-US" w:eastAsia="zh-CN"/>
                    </w:rPr>
                    <w:t>网排入归阳污水处理厂进行处理。</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2、应实施满足危险废物规范化管理要求的环境管理制度，其中对列入《国家危险废物名录》的危险废物应严格按照有关规定进行管理。</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本环评要求建设单位制定危险废物规范化管理制度，其中对列入《国家危险废物名录》的危险废物应严格按照有关规定进行管理。</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3、应满足GB12348中所规定的2类声环境功能区工业企业厂界环境噪声排放限值要求。</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根据运营期噪声预测结果，项目运营期厂界噪声排放满足《工业企业厂界环境噪声排放标准》（GB12348-2008）表1中3类标准限值。</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restar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回收技术要求</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1、收到报废机动车后，应检查发动机、散热器、变速器、差速器、油箱和燃料罐等总成部件的密封、破损情况。对于出现泄漏的总成部件，应采取适当的方式收集泄漏的液体或封住泄漏处，防止废液渗入地下。</w:t>
                  </w:r>
                </w:p>
              </w:tc>
              <w:tc>
                <w:tcPr>
                  <w:tcW w:w="0" w:type="auto"/>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环评要求建设单位对接收的报废汽车检查发动机、散热器、变速器、差速器、油箱和燃料罐等总成部件的密封、破损情况。出现泄漏的总成部件，对泄漏的液体进行收集、储存。优先对存在上述问题的车辆进行拆解。</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2、对报废电动汽车，应检查动力蓄电池和驱动电机等部件的密封和破损情况。对于出现动力蓄电池破损、电极头和线束裸露等存在漏电风险的，应采取适当的方式进行绝缘处理。</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本环评要求建设单位检查动力蓄电池和驱动电机等部件的密封和破损情况，对于出现动力蓄电池破损、电极头和线束裸露等存在漏电风险的，应采取适当的方式进行绝缘处理。</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restar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报废机动</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车贮存</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1、所有车辆应避免侧放、倒放，电动汽车在动力蓄电池未拆卸前不应叠放。</w:t>
                  </w:r>
                </w:p>
              </w:tc>
              <w:tc>
                <w:tcPr>
                  <w:tcW w:w="0" w:type="auto"/>
                  <w:vMerge w:val="restar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环评建议报废机动车最多按2层进行叠放，高度不超过3m。中型车辆单层平置。项目对动力电池未拆解的电动汽车不进行叠放。电动汽车在动力蓄电池未拆卸前单独贮存，并采取防火、防水、绝缘、隔热等安全保障措施。项目对电动汽车中的事故车以及发生动力蓄电池破损的车辆进行隔离贮存。对报废电动汽车堆放区进行封闭（框架结构，彩钢瓦顶棚），并配套防火、防水、绝缘、隔热设施。</w:t>
                  </w:r>
                </w:p>
              </w:tc>
              <w:tc>
                <w:tcPr>
                  <w:tcW w:w="0" w:type="auto"/>
                  <w:vMerge w:val="restar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2、机动车如需叠放，应使上下车辆的重心尽量重合，且不应超过3层。2层和3层叠放时，高度分别不应超过3m和4.5 m。大型车辆应单层平置。采用框架结构存放的，要保证安全性，并易于装卸。</w:t>
                  </w:r>
                </w:p>
              </w:tc>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3、电动汽车在动力蓄电池未拆卸前应单独贮存，并采取防火、防水、绝缘、隔热等安全保障措施。</w:t>
                  </w:r>
                </w:p>
              </w:tc>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4、电动汽车中的事故车以及发生动力蓄电池破损的车辆应隔离贮存。</w:t>
                  </w:r>
                </w:p>
              </w:tc>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restar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固体废物贮存</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1、固体废物的贮存设施建设应符合GB18599、GB18597、HJ2025的要求。</w:t>
                  </w:r>
                </w:p>
              </w:tc>
              <w:tc>
                <w:tcPr>
                  <w:tcW w:w="0" w:type="auto"/>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本环评要求建设单位按照GB18599、GB18597、HJ2025的要求进行一般固废暂存点、危废暂存间建设。</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2、一般工业固体废物贮存设施及包装物应按GB15562.2进行标识，危险废物贮存设施及包装物的标志应符合GB18597的要求。所有固体废物避免混合、混放。</w:t>
                  </w:r>
                </w:p>
              </w:tc>
              <w:tc>
                <w:tcPr>
                  <w:tcW w:w="0" w:type="auto"/>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本环评要求建设单位对项目运营期产生的一般工业固体废物贮存设施及包装物按GB15562.2进行标识，危险废物贮存设施及包装物按GB18597的要求进行标识；要求建设单位不得将固体废物混合、混放。</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3、妥善处置固体废物，不应非法转移、倾倒、利用和处置。</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本环评要求建设单位妥善处置项目运营期产生的固体废物，不得存在非法转移、倾倒、利用和处置情况。</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4、不同类型的制冷剂应分别回收，使用专门容器单独存放。</w:t>
                  </w:r>
                </w:p>
              </w:tc>
              <w:tc>
                <w:tcPr>
                  <w:tcW w:w="0" w:type="auto"/>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本环评要求建设单位根据制冷剂种类设置不同的储存容器，不得混存。</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5、废弃电器、铅酸蓄电池贮存场地不得有明火。</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本环评要求废弃电器、废铅酸电池贮存场地不得有明火。</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6、容器和装置要防漏和防止洒溅，未引爆安全气囊的贮存装置应防爆，并对其进行日常性检查。</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项目废安全气囊全部引爆后作为一般工业固体废物暂存。项目拆解后产生的固体废物进行分类贮存和标识。</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项目按照相关要求对容器和装置进行防漏和防止洒溅处理，安全气囊拆除后立即进行引爆，不对其进行暂存，项目对各容器和装置进行日常性检查。</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7、对拆解后的所有固体废物分类贮存和标识。</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项目对拆解后的所有固体废物分类贮存和标识。</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restar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回用件贮存</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1、回用件应分类贮存和标识，存放在封闭或半封闭的贮存场地中。</w:t>
                  </w:r>
                </w:p>
              </w:tc>
              <w:tc>
                <w:tcPr>
                  <w:tcW w:w="0" w:type="auto"/>
                  <w:vMerge w:val="restar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本项目拆解得到的可回收利用的零部件按种类分别收集存放于封闭的贮存场地中，贮存前用一次性抹布进行相应清洁处理。</w:t>
                  </w:r>
                </w:p>
              </w:tc>
              <w:tc>
                <w:tcPr>
                  <w:tcW w:w="0" w:type="auto"/>
                  <w:vMerge w:val="restar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2、回用件贮存前应做清洁等处理。</w:t>
                  </w:r>
                </w:p>
              </w:tc>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restar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动力蓄电池贮存</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1、动力蓄电池的贮存应按照WB/T1061的贮存要求执行。</w:t>
                  </w:r>
                </w:p>
              </w:tc>
              <w:tc>
                <w:tcPr>
                  <w:tcW w:w="0" w:type="auto"/>
                  <w:vMerge w:val="restar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项目拆解的电动汽车废动力蓄电池均为含锂废蓄电池，贮存过程采取相应防火措施，使用适合容器进行储存，满足WB/T1061中相关要求。项目废动力电池不进行多层储存。同时对存在漏电、漏液、破损等安全隐患的动力蓄电池采取绝缘密封处理，并隔离存放。</w:t>
                  </w:r>
                </w:p>
              </w:tc>
              <w:tc>
                <w:tcPr>
                  <w:tcW w:w="0" w:type="auto"/>
                  <w:vMerge w:val="restar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2、动力蓄电池多层贮存时应采取框架结构并确保承重安全，且便于存取。</w:t>
                  </w:r>
                </w:p>
              </w:tc>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3、存在漏电、漏液、破损等安全隐患的动力蓄电池应采取适当方式处理，并隔离存放。</w:t>
                  </w:r>
                </w:p>
              </w:tc>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0" w:type="auto"/>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拆解技术要求</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传统燃料</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机动车</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拆解预处理技术要求：</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1、在室内或有防雨顶棚的拆解预处理平台上使用专用工具排空存留在车内的废液，并使用专用容器分类回收；</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2、拆除铅酸蓄电池；</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3、用专门设备回收机动车空调制冷剂；</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4、拆除油箱和燃料罐；</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5、拆除机油滤清器；</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6 直接引爆安全气囊或者拆除安全气囊组件后引爆；</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7、拆除催化系统（催化转化器、选择性催化还原装置、柴油颗粒物捕集器等）。</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拆解技术要求：</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1、拆除玻璃；</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2、拆除消声器转向锁总成、停车装置倒车雷达及电子控制模块；</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3、拆除车轮并拆下轮胎；</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4、拆除能有效回收含铜、铝、镁的金属部件；</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5、拆除能有效回收的大型塑料件(保险杠、仪表板、液体容器等)；</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6、拆除橡胶制品部件；</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7、拆解有关总成和其他零部件，并符合相关法规要求。</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本项目燃油机动车拆解预处理及拆解过程均按照规范流程实施。</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拆解技术要求</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电动</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汽车</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拆解预处理要求：</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1、检查车身有无漏液、有无带电；</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2、检查动力蓄电池布局和安装位置，确认诊断接口是否完好；</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3、对动力蓄电池电压、温度等参数进行检测，评估其安全状态；</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4、断开动力蓄电池高压回路；</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5、在室内或有防雨顶棚的拆解预处理平台上使用防静电工具排空存留在车内的废液，并使用专用容器分类回收；</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6、使用防静电设备回收电动汽车空调制冷剂。</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拆解技术要求：</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1、拆卸动力蓄电池阻挡部件，如引擎盖、行李箱盖、车门等；</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2、断开电压线束(电缆)、拆卸不同安装位置的动力蓄电池；</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3、收集采用液冷结构方式散热的动力蓄电池包(组)内的冷却液；</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4、对拆卸下的动力蓄电池线束接头、正负极片等外露线束和金属物进行绝缘处理，并在其明显位置处贴上标签，标明绝缘状况；</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5、收集驱动电机总成内残余冷却液后，拆除驱动电机。</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本项目电动车拆解预处理及拆解过程均按照规范流程实施。</w:t>
                  </w:r>
                </w:p>
              </w:tc>
              <w:tc>
                <w:tcPr>
                  <w:tcW w:w="0" w:type="auto"/>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bl>
          <w:p>
            <w:pPr>
              <w:pStyle w:val="25"/>
              <w:bidi w:val="0"/>
              <w:jc w:val="left"/>
              <w:rPr>
                <w:rFonts w:hint="eastAsia" w:ascii="Times New Roman" w:hAnsi="Times New Roman" w:eastAsia="宋体" w:cs="Times New Roman"/>
                <w:lang w:val="en-US" w:eastAsia="zh-CN"/>
              </w:rPr>
            </w:pPr>
            <w:r>
              <w:rPr>
                <w:rFonts w:hint="eastAsia" w:ascii="Times New Roman" w:hAnsi="Times New Roman" w:eastAsia="宋体" w:cs="Times New Roman"/>
                <w:lang w:val="en-US" w:eastAsia="zh-CN"/>
              </w:rPr>
              <w:t>根据上述内容可知，本项目符合《报废机动车回收拆解企业技术规范》（GB22128-2019）相关要求。</w:t>
            </w:r>
          </w:p>
          <w:p>
            <w:pPr>
              <w:autoSpaceDE w:val="0"/>
              <w:autoSpaceDN w:val="0"/>
              <w:adjustRightInd w:val="0"/>
              <w:snapToGrid w:val="0"/>
              <w:spacing w:line="360" w:lineRule="auto"/>
              <w:ind w:firstLine="482" w:firstLineChars="200"/>
              <w:rPr>
                <w:b/>
                <w:bCs/>
                <w:snapToGrid w:val="0"/>
                <w:kern w:val="0"/>
                <w:sz w:val="24"/>
                <w:szCs w:val="24"/>
                <w:u w:val="none"/>
              </w:rPr>
            </w:pPr>
            <w:r>
              <w:rPr>
                <w:rFonts w:hint="eastAsia"/>
                <w:b/>
                <w:bCs/>
                <w:snapToGrid w:val="0"/>
                <w:kern w:val="0"/>
                <w:sz w:val="24"/>
                <w:szCs w:val="24"/>
                <w:u w:val="none"/>
                <w:lang w:val="en-US" w:eastAsia="zh-CN"/>
              </w:rPr>
              <w:t>8、</w:t>
            </w:r>
            <w:r>
              <w:rPr>
                <w:rFonts w:hint="eastAsia"/>
                <w:b/>
                <w:bCs/>
                <w:snapToGrid w:val="0"/>
                <w:kern w:val="0"/>
                <w:sz w:val="24"/>
                <w:szCs w:val="24"/>
                <w:u w:val="none"/>
              </w:rPr>
              <w:t>与《新能源汽车动力蓄电池回收利用管理暂行办法的通知》（工信部联节[</w:t>
            </w:r>
            <w:r>
              <w:rPr>
                <w:b/>
                <w:bCs/>
                <w:snapToGrid w:val="0"/>
                <w:kern w:val="0"/>
                <w:sz w:val="24"/>
                <w:szCs w:val="24"/>
                <w:u w:val="none"/>
              </w:rPr>
              <w:t>2018]43</w:t>
            </w:r>
            <w:r>
              <w:rPr>
                <w:rFonts w:hint="eastAsia"/>
                <w:b/>
                <w:bCs/>
                <w:snapToGrid w:val="0"/>
                <w:kern w:val="0"/>
                <w:sz w:val="24"/>
                <w:szCs w:val="24"/>
                <w:u w:val="none"/>
              </w:rPr>
              <w:t>号）的符合性分析</w:t>
            </w:r>
          </w:p>
          <w:p>
            <w:pPr>
              <w:adjustRightInd w:val="0"/>
              <w:snapToGrid w:val="0"/>
              <w:spacing w:line="240" w:lineRule="auto"/>
              <w:jc w:val="center"/>
              <w:rPr>
                <w:rFonts w:hint="eastAsia" w:ascii="Times New Roman" w:hAnsi="Times New Roman" w:eastAsia="宋体" w:cs="Times New Roman"/>
                <w:b/>
                <w:bCs/>
                <w:sz w:val="21"/>
                <w:szCs w:val="21"/>
                <w:lang w:val="en-US" w:eastAsia="zh-CN"/>
              </w:rPr>
            </w:pPr>
            <w:r>
              <w:rPr>
                <w:rFonts w:hint="eastAsia" w:ascii="Times New Roman" w:hAnsi="Times New Roman" w:eastAsia="宋体" w:cs="Times New Roman"/>
                <w:b/>
                <w:bCs/>
                <w:sz w:val="21"/>
                <w:szCs w:val="21"/>
                <w:lang w:val="en-US" w:eastAsia="zh-CN"/>
              </w:rPr>
              <w:t>表1-10  与“工信部联节[2018]43号”的符合性分析</w:t>
            </w:r>
          </w:p>
          <w:tbl>
            <w:tblPr>
              <w:tblStyle w:val="18"/>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789"/>
              <w:gridCol w:w="3388"/>
              <w:gridCol w:w="3240"/>
              <w:gridCol w:w="93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472" w:type="pct"/>
                  <w:tcBorders>
                    <w:tl2br w:val="nil"/>
                    <w:tr2bl w:val="nil"/>
                  </w:tcBorders>
                  <w:shd w:val="clear" w:color="auto" w:fill="auto"/>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序号</w:t>
                  </w:r>
                </w:p>
              </w:tc>
              <w:tc>
                <w:tcPr>
                  <w:tcW w:w="2027" w:type="pct"/>
                  <w:tcBorders>
                    <w:tl2br w:val="nil"/>
                    <w:tr2bl w:val="nil"/>
                  </w:tcBorders>
                  <w:shd w:val="clear" w:color="auto" w:fill="auto"/>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工信部联节[2018]43号</w:t>
                  </w:r>
                </w:p>
              </w:tc>
              <w:tc>
                <w:tcPr>
                  <w:tcW w:w="1939" w:type="pct"/>
                  <w:tcBorders>
                    <w:tl2br w:val="nil"/>
                    <w:tr2bl w:val="nil"/>
                  </w:tcBorders>
                  <w:shd w:val="clear" w:color="auto" w:fill="auto"/>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本项目建设</w:t>
                  </w:r>
                </w:p>
              </w:tc>
              <w:tc>
                <w:tcPr>
                  <w:tcW w:w="560" w:type="pct"/>
                  <w:tcBorders>
                    <w:tl2br w:val="nil"/>
                    <w:tr2bl w:val="nil"/>
                  </w:tcBorders>
                  <w:shd w:val="clear" w:color="auto" w:fill="auto"/>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符合性</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472" w:type="pct"/>
                  <w:tcBorders>
                    <w:tl2br w:val="nil"/>
                    <w:tr2bl w:val="nil"/>
                  </w:tcBorders>
                  <w:shd w:val="clear" w:color="auto" w:fill="auto"/>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w:t>
                  </w:r>
                </w:p>
              </w:tc>
              <w:tc>
                <w:tcPr>
                  <w:tcW w:w="2027" w:type="pct"/>
                  <w:tcBorders>
                    <w:tl2br w:val="nil"/>
                    <w:tr2bl w:val="nil"/>
                  </w:tcBorders>
                  <w:shd w:val="clear" w:color="auto" w:fill="auto"/>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第十五条</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废旧动力蓄电池的收集可参照《废蓄电池回收管理规范》（WB/T1061-2016）等国家有关标准要求，按照材料类别和危险程度，对废旧动力蓄电池进行分类收集和标识，应使用安全可靠的器具包装以防有害物质渗漏和扩散。</w:t>
                  </w:r>
                </w:p>
              </w:tc>
              <w:tc>
                <w:tcPr>
                  <w:tcW w:w="1939" w:type="pct"/>
                  <w:tcBorders>
                    <w:tl2br w:val="nil"/>
                    <w:tr2bl w:val="nil"/>
                  </w:tcBorders>
                  <w:shd w:val="clear" w:color="auto" w:fill="auto"/>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动力蓄电池的贮存拟按照WB/T1061的贮存要求执行；动力蓄电池多层贮存时拟采取框架结构并确保承重安全，且便于存取；存在漏电、漏液、破损等安全隐患的动力蓄电池拟采取适当方式处理，并隔离存放。</w:t>
                  </w:r>
                </w:p>
              </w:tc>
              <w:tc>
                <w:tcPr>
                  <w:tcW w:w="560" w:type="pct"/>
                  <w:tcBorders>
                    <w:tl2br w:val="nil"/>
                    <w:tr2bl w:val="nil"/>
                  </w:tcBorders>
                  <w:shd w:val="clear" w:color="auto" w:fill="auto"/>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472" w:type="pct"/>
                  <w:tcBorders>
                    <w:tl2br w:val="nil"/>
                    <w:tr2bl w:val="nil"/>
                  </w:tcBorders>
                  <w:shd w:val="clear" w:color="auto" w:fill="auto"/>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w:t>
                  </w:r>
                </w:p>
              </w:tc>
              <w:tc>
                <w:tcPr>
                  <w:tcW w:w="2027" w:type="pct"/>
                  <w:tcBorders>
                    <w:tl2br w:val="nil"/>
                    <w:tr2bl w:val="nil"/>
                  </w:tcBorders>
                  <w:shd w:val="clear" w:color="auto" w:fill="auto"/>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第十六条</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废旧动力蓄电池的贮存可参照《废电池污染防治技术政策》（环境保护部公告2016年第82号）、《一般工业固体废物贮存、处置场污染控制标准》（GB18599-2016）等国家相关法规、政策及标准要求。</w:t>
                  </w:r>
                </w:p>
              </w:tc>
              <w:tc>
                <w:tcPr>
                  <w:tcW w:w="1939" w:type="pct"/>
                  <w:tcBorders>
                    <w:tl2br w:val="nil"/>
                    <w:tr2bl w:val="nil"/>
                  </w:tcBorders>
                  <w:shd w:val="clear" w:color="auto" w:fill="auto"/>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本项目废旧动力蓄电池贮存参照《一般工业固体废物贮存和填埋污染控制标准》（GB18599-2020）、《危险废物贮存污染控制标准》（GB18597-20</w:t>
                  </w:r>
                  <w:r>
                    <w:rPr>
                      <w:rFonts w:hint="eastAsia" w:cs="Times New Roman"/>
                      <w:sz w:val="21"/>
                      <w:szCs w:val="21"/>
                      <w:lang w:val="en-US" w:eastAsia="zh-CN"/>
                    </w:rPr>
                    <w:t>23</w:t>
                  </w:r>
                  <w:r>
                    <w:rPr>
                      <w:rFonts w:hint="eastAsia" w:ascii="Times New Roman" w:hAnsi="Times New Roman" w:eastAsia="宋体" w:cs="Times New Roman"/>
                      <w:sz w:val="21"/>
                      <w:szCs w:val="21"/>
                      <w:lang w:val="en-US" w:eastAsia="zh-CN"/>
                    </w:rPr>
                    <w:t>）的相关要求。</w:t>
                  </w:r>
                </w:p>
              </w:tc>
              <w:tc>
                <w:tcPr>
                  <w:tcW w:w="560" w:type="pct"/>
                  <w:tcBorders>
                    <w:tl2br w:val="nil"/>
                    <w:tr2bl w:val="nil"/>
                  </w:tcBorders>
                  <w:shd w:val="clear" w:color="auto" w:fill="auto"/>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472" w:type="pct"/>
                  <w:tcBorders>
                    <w:tl2br w:val="nil"/>
                    <w:tr2bl w:val="nil"/>
                  </w:tcBorders>
                  <w:shd w:val="clear" w:color="auto" w:fill="auto"/>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w:t>
                  </w:r>
                </w:p>
              </w:tc>
              <w:tc>
                <w:tcPr>
                  <w:tcW w:w="2027" w:type="pct"/>
                  <w:tcBorders>
                    <w:tl2br w:val="nil"/>
                    <w:tr2bl w:val="nil"/>
                  </w:tcBorders>
                  <w:shd w:val="clear" w:color="auto" w:fill="auto"/>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第十七条</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动力蓄电池及废旧动力蓄电池包装运输应尽量保证其结构完整，属于危险货物的，应当遵守国家有关危险货物运输规定进行包装运输，可参照《废电池污染防治技术政策》（环境保护部公告2016年第82号）、《废蓄电池回收管理规范》（WB/T1061-2016）等国家相关法规、政策及标准要求。</w:t>
                  </w:r>
                </w:p>
              </w:tc>
              <w:tc>
                <w:tcPr>
                  <w:tcW w:w="1939" w:type="pct"/>
                  <w:tcBorders>
                    <w:tl2br w:val="nil"/>
                    <w:tr2bl w:val="nil"/>
                  </w:tcBorders>
                  <w:shd w:val="clear" w:color="auto" w:fill="auto"/>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项目不涉及废旧动力蓄电池的拆解，保持其结构的完整性，并委托湖南省同力众盛再说资源有限公司处理，运输过程中严格遵守有关危险货物运输规定进行包装运输，满足WB/T1061-2016）等国家相关法规、政策及标准要求。</w:t>
                  </w:r>
                </w:p>
              </w:tc>
              <w:tc>
                <w:tcPr>
                  <w:tcW w:w="560" w:type="pct"/>
                  <w:tcBorders>
                    <w:tl2br w:val="nil"/>
                    <w:tr2bl w:val="nil"/>
                  </w:tcBorders>
                  <w:shd w:val="clear" w:color="auto" w:fill="auto"/>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bl>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b w:val="0"/>
                <w:bCs/>
                <w:color w:val="auto"/>
                <w:sz w:val="24"/>
                <w:szCs w:val="24"/>
              </w:rPr>
            </w:pPr>
            <w:r>
              <w:rPr>
                <w:rFonts w:ascii="Times New Roman" w:hAnsi="Times New Roman" w:eastAsia="宋体"/>
                <w:b w:val="0"/>
                <w:bCs/>
                <w:color w:val="auto"/>
                <w:sz w:val="24"/>
                <w:szCs w:val="24"/>
              </w:rPr>
              <w:t>综上，</w:t>
            </w:r>
            <w:r>
              <w:rPr>
                <w:rFonts w:hint="eastAsia" w:ascii="Times New Roman" w:hAnsi="Times New Roman" w:eastAsia="宋体"/>
                <w:b w:val="0"/>
                <w:bCs/>
                <w:color w:val="auto"/>
                <w:sz w:val="24"/>
                <w:szCs w:val="24"/>
              </w:rPr>
              <w:t>本项目建设符合国家和地方相关产业政策的要求。</w:t>
            </w:r>
          </w:p>
          <w:p>
            <w:pPr>
              <w:pStyle w:val="25"/>
              <w:bidi w:val="0"/>
              <w:rPr>
                <w:rFonts w:hint="default" w:eastAsia="宋体"/>
                <w:u w:val="none"/>
                <w:lang w:val="en-US" w:eastAsia="zh-CN"/>
              </w:rPr>
            </w:pPr>
            <w:r>
              <w:rPr>
                <w:rFonts w:hint="eastAsia"/>
                <w:b/>
                <w:bCs/>
                <w:u w:val="none"/>
                <w:lang w:val="en-US" w:eastAsia="zh-CN"/>
              </w:rPr>
              <w:t>9、“两高”项目符合性分析</w:t>
            </w:r>
          </w:p>
          <w:p>
            <w:pPr>
              <w:pStyle w:val="25"/>
              <w:bidi w:val="0"/>
              <w:rPr>
                <w:u w:val="none"/>
              </w:rPr>
            </w:pPr>
            <w:r>
              <w:rPr>
                <w:rFonts w:hint="eastAsia"/>
                <w:u w:val="none"/>
              </w:rPr>
              <w:t>根据《湖南省发展和改革委员会关于印发〈湖南省“两高”项目管理名录〉的通知》（湘发改环资〔2021〕968号）内容，详情见图1-1。</w:t>
            </w:r>
          </w:p>
          <w:p>
            <w:pPr>
              <w:pStyle w:val="25"/>
              <w:bidi w:val="0"/>
              <w:ind w:left="0" w:leftChars="0" w:firstLine="0" w:firstLineChars="0"/>
              <w:jc w:val="center"/>
              <w:rPr>
                <w:rFonts w:hint="default"/>
                <w:color w:val="FF0000"/>
                <w:u w:val="none"/>
                <w:lang w:val="en-US" w:eastAsia="zh-CN"/>
              </w:rPr>
            </w:pPr>
            <w:r>
              <w:rPr>
                <w:color w:val="FF0000"/>
                <w:u w:val="none"/>
              </w:rPr>
              <w:drawing>
                <wp:inline distT="0" distB="0" distL="114300" distR="114300">
                  <wp:extent cx="3249295" cy="3955415"/>
                  <wp:effectExtent l="0" t="0" r="8255" b="6985"/>
                  <wp:docPr id="1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
                          <pic:cNvPicPr>
                            <a:picLocks noChangeAspect="1"/>
                          </pic:cNvPicPr>
                        </pic:nvPicPr>
                        <pic:blipFill>
                          <a:blip r:embed="rId8"/>
                          <a:stretch>
                            <a:fillRect/>
                          </a:stretch>
                        </pic:blipFill>
                        <pic:spPr>
                          <a:xfrm>
                            <a:off x="0" y="0"/>
                            <a:ext cx="3249295" cy="3955415"/>
                          </a:xfrm>
                          <a:prstGeom prst="rect">
                            <a:avLst/>
                          </a:prstGeom>
                          <a:noFill/>
                          <a:ln>
                            <a:noFill/>
                          </a:ln>
                        </pic:spPr>
                      </pic:pic>
                    </a:graphicData>
                  </a:graphic>
                </wp:inline>
              </w:drawing>
            </w:r>
          </w:p>
          <w:p>
            <w:pPr>
              <w:pStyle w:val="27"/>
              <w:bidi w:val="0"/>
              <w:rPr>
                <w:u w:val="none"/>
              </w:rPr>
            </w:pPr>
            <w:r>
              <w:rPr>
                <w:rFonts w:hint="eastAsia"/>
                <w:u w:val="none"/>
                <w:lang w:val="en-US" w:eastAsia="zh-CN"/>
              </w:rPr>
              <w:t>图1-1 湖南省“两高”项目管理名录</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both"/>
              <w:textAlignment w:val="auto"/>
              <w:rPr>
                <w:rFonts w:hint="eastAsia"/>
                <w:color w:val="auto"/>
                <w:u w:val="none"/>
                <w:lang w:eastAsia="zh-CN"/>
              </w:rPr>
            </w:pPr>
            <w:r>
              <w:rPr>
                <w:rFonts w:hint="eastAsia"/>
                <w:color w:val="auto"/>
                <w:u w:val="none"/>
                <w:lang w:eastAsia="zh-CN"/>
              </w:rPr>
              <w:t>本项目</w:t>
            </w:r>
            <w:r>
              <w:rPr>
                <w:rFonts w:hint="eastAsia" w:ascii="Times New Roman" w:hAnsi="Times New Roman" w:eastAsia="宋体" w:cs="Times New Roman"/>
                <w:color w:val="auto"/>
                <w:u w:val="none"/>
                <w:lang w:eastAsia="zh-CN"/>
              </w:rPr>
              <w:t>属于</w:t>
            </w:r>
            <w:r>
              <w:rPr>
                <w:rFonts w:hint="default" w:ascii="Times New Roman" w:hAnsi="Times New Roman" w:eastAsia="宋体" w:cs="Times New Roman"/>
                <w:color w:val="auto"/>
                <w:u w:val="none"/>
                <w:lang w:eastAsia="zh-CN"/>
              </w:rPr>
              <w:t>废弃资源综合利用业</w:t>
            </w:r>
            <w:r>
              <w:rPr>
                <w:rFonts w:hint="eastAsia" w:ascii="Times New Roman" w:hAnsi="Times New Roman" w:eastAsia="宋体" w:cs="Times New Roman"/>
                <w:color w:val="auto"/>
                <w:u w:val="none"/>
                <w:lang w:val="en-US" w:eastAsia="zh-CN"/>
              </w:rPr>
              <w:t>的</w:t>
            </w:r>
            <w:r>
              <w:rPr>
                <w:rFonts w:hint="eastAsia"/>
                <w:color w:val="auto"/>
                <w:u w:val="none"/>
                <w:lang w:val="en-US" w:eastAsia="zh-CN"/>
              </w:rPr>
              <w:t>报废机动车拆解项目，</w:t>
            </w:r>
            <w:r>
              <w:rPr>
                <w:rFonts w:hint="eastAsia"/>
                <w:color w:val="auto"/>
                <w:u w:val="none"/>
                <w:lang w:eastAsia="zh-CN"/>
              </w:rPr>
              <w:t>根据湖南省发展和改革委员会关于印发《湖南省“两高”项目管理目录》的通知（湘发改环资[2021]968号）中湖南省“两高”项目管理目录，本项目不属于“两高”项目。</w:t>
            </w:r>
          </w:p>
          <w:p>
            <w:pPr>
              <w:pStyle w:val="25"/>
              <w:numPr>
                <w:ilvl w:val="0"/>
                <w:numId w:val="2"/>
              </w:numPr>
              <w:bidi w:val="0"/>
              <w:rPr>
                <w:rFonts w:hint="eastAsia"/>
                <w:b/>
                <w:bCs/>
                <w:u w:val="none"/>
                <w:lang w:val="en-US" w:eastAsia="zh-CN"/>
              </w:rPr>
            </w:pPr>
            <w:r>
              <w:rPr>
                <w:rFonts w:hint="eastAsia"/>
                <w:b/>
                <w:bCs/>
                <w:u w:val="none"/>
                <w:lang w:val="en-US" w:eastAsia="zh-CN"/>
              </w:rPr>
              <w:t>与《湖南省长江经济带发展负面清单实施细则（试行，2022年版）》符合性分析</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color w:val="auto"/>
                <w:u w:val="none"/>
                <w:lang w:val="en-US" w:eastAsia="zh-CN"/>
              </w:rPr>
            </w:pPr>
            <w:r>
              <w:rPr>
                <w:rFonts w:hint="eastAsia" w:ascii="Times New Roman" w:hAnsi="Times New Roman" w:eastAsia="宋体" w:cs="Times New Roman"/>
                <w:color w:val="auto"/>
                <w:u w:val="none"/>
                <w:lang w:val="en-US" w:eastAsia="zh-CN"/>
              </w:rPr>
              <w:t>根据《湖南省长江经济带发展负面清单实施细则（试行，2022年版）》，其负面清单指南（试行）明确指出了以下负面清单：</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color w:val="auto"/>
                <w:u w:val="none"/>
                <w:lang w:val="en-US" w:eastAsia="zh-CN"/>
              </w:rPr>
            </w:pPr>
            <w:r>
              <w:rPr>
                <w:rFonts w:hint="eastAsia" w:ascii="Times New Roman" w:hAnsi="Times New Roman" w:eastAsia="宋体" w:cs="Times New Roman"/>
                <w:color w:val="auto"/>
                <w:u w:val="none"/>
                <w:lang w:val="en-US" w:eastAsia="zh-CN"/>
              </w:rPr>
              <w:t>第九条规定：禁止在水产种质资源保护区的岸线和河段范围内新建排污口、实施非法围垦河道和围湖造田造地等投资建设项目。</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color w:val="auto"/>
                <w:u w:val="none"/>
                <w:lang w:val="en-US" w:eastAsia="zh-CN"/>
              </w:rPr>
            </w:pPr>
            <w:r>
              <w:rPr>
                <w:rFonts w:hint="eastAsia" w:ascii="Times New Roman" w:hAnsi="Times New Roman" w:eastAsia="宋体" w:cs="Times New Roman"/>
                <w:color w:val="auto"/>
                <w:u w:val="none"/>
                <w:lang w:val="en-US" w:eastAsia="zh-CN"/>
              </w:rPr>
              <w:t>规定：禁止在长江湖南段和洞庭湖、湘江、资江、沅江、澧水干流岸线一公里范围内新建、扩建化工园区和化工项目。禁止在长江湖南段岸线三公里范围内和湘江、资江、沅江、澧水干流岸线一公里范围内新建、扩建、改建尾矿库、冶炼渣库和磷石膏库，以提升安全、生态环境保护水平为目的的改建除外。</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color w:val="auto"/>
                <w:u w:val="none"/>
                <w:lang w:val="en-US" w:eastAsia="zh-CN"/>
              </w:rPr>
            </w:pPr>
            <w:r>
              <w:rPr>
                <w:rFonts w:hint="eastAsia" w:ascii="Times New Roman" w:hAnsi="Times New Roman" w:eastAsia="宋体" w:cs="Times New Roman"/>
                <w:color w:val="auto"/>
                <w:u w:val="none"/>
                <w:lang w:val="en-US" w:eastAsia="zh-CN"/>
              </w:rPr>
              <w:t>第十八条规定：禁止新建、扩建法律法规和相关政策明令禁止的落后产能项目；对不符合要求的落后产能存量项目依法依规退出。禁止新建、扩建不符合国家产能置换要求的严重过剩产能行业（钢铁、水泥、电解铝、平板玻璃、船舶等行业）的项目。对确有必要新建、扩建的，必须严格执行产能置换实施办法，实施减量或等量置换，依法依规办理有关手续。禁止新建、扩建不符合要求的高耗能高排放项目。</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color w:val="auto"/>
                <w:u w:val="none"/>
                <w:lang w:val="en-US" w:eastAsia="zh-CN"/>
              </w:rPr>
            </w:pPr>
            <w:r>
              <w:rPr>
                <w:rFonts w:hint="eastAsia" w:ascii="Times New Roman" w:hAnsi="Times New Roman" w:eastAsia="宋体" w:cs="Times New Roman"/>
                <w:color w:val="auto"/>
                <w:u w:val="none"/>
                <w:lang w:val="en-US" w:eastAsia="zh-CN"/>
              </w:rPr>
              <w:t>本项目祁东经济开发区归阳工业园，项目各项废水经厂区预处理达标后排入归阳污水处理厂处理，汇入湘江，该段湘江未设置水产种质资源保护区。</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color w:val="auto"/>
                <w:u w:val="none"/>
                <w:lang w:val="en-US" w:eastAsia="zh-CN"/>
              </w:rPr>
            </w:pPr>
            <w:r>
              <w:rPr>
                <w:rFonts w:hint="eastAsia" w:ascii="Times New Roman" w:hAnsi="Times New Roman" w:eastAsia="宋体" w:cs="Times New Roman"/>
                <w:color w:val="auto"/>
                <w:u w:val="none"/>
                <w:lang w:val="en-US" w:eastAsia="zh-CN"/>
              </w:rPr>
              <w:t>本项目属于</w:t>
            </w:r>
            <w:r>
              <w:rPr>
                <w:rFonts w:hint="default" w:ascii="Times New Roman" w:hAnsi="Times New Roman" w:eastAsia="宋体" w:cs="Times New Roman"/>
                <w:color w:val="auto"/>
                <w:u w:val="none"/>
                <w:lang w:eastAsia="zh-CN"/>
              </w:rPr>
              <w:t>废弃资源综合利用业</w:t>
            </w:r>
            <w:r>
              <w:rPr>
                <w:rFonts w:hint="eastAsia" w:ascii="Times New Roman" w:hAnsi="Times New Roman" w:eastAsia="宋体" w:cs="Times New Roman"/>
                <w:color w:val="auto"/>
                <w:u w:val="none"/>
                <w:lang w:val="en-US" w:eastAsia="zh-CN"/>
              </w:rPr>
              <w:t>的</w:t>
            </w:r>
            <w:r>
              <w:rPr>
                <w:rFonts w:hint="eastAsia"/>
                <w:color w:val="auto"/>
                <w:u w:val="none"/>
                <w:lang w:val="en-US" w:eastAsia="zh-CN"/>
              </w:rPr>
              <w:t>报废机动车拆解项目</w:t>
            </w:r>
            <w:r>
              <w:rPr>
                <w:rFonts w:hint="eastAsia" w:ascii="Times New Roman" w:hAnsi="Times New Roman" w:eastAsia="宋体" w:cs="Times New Roman"/>
                <w:color w:val="auto"/>
                <w:u w:val="none"/>
                <w:lang w:val="en-US" w:eastAsia="zh-CN"/>
              </w:rPr>
              <w:t>，不属于化工项目，项目厂界距离湘江1.1km，不在湘江一公里范围内。</w:t>
            </w:r>
          </w:p>
          <w:p>
            <w:pPr>
              <w:pStyle w:val="25"/>
              <w:bidi w:val="0"/>
              <w:jc w:val="left"/>
              <w:rPr>
                <w:rFonts w:hint="eastAsia" w:eastAsia="宋体"/>
                <w:u w:val="none"/>
                <w:lang w:val="en-US" w:eastAsia="zh-CN"/>
              </w:rPr>
            </w:pPr>
            <w:r>
              <w:rPr>
                <w:rFonts w:hint="eastAsia"/>
                <w:b/>
                <w:bCs/>
                <w:u w:val="none"/>
                <w:lang w:val="en-US" w:eastAsia="zh-CN"/>
              </w:rPr>
              <w:t>11、与《挥发性有机物（VOCs）污染防治技术政策》（2013年第31号公告）符合性分析</w:t>
            </w:r>
          </w:p>
          <w:p>
            <w:pPr>
              <w:pStyle w:val="25"/>
              <w:bidi w:val="0"/>
              <w:jc w:val="left"/>
              <w:rPr>
                <w:rFonts w:hint="eastAsia"/>
                <w:u w:val="none"/>
                <w:lang w:val="en-US" w:eastAsia="zh-CN"/>
              </w:rPr>
            </w:pPr>
            <w:r>
              <w:rPr>
                <w:rFonts w:hint="eastAsia"/>
                <w:u w:val="none"/>
                <w:lang w:eastAsia="zh-CN"/>
              </w:rPr>
              <w:t>本项目与《挥发性有机物（VOCs）污染防治技术政策》（2013年第31号公告）符合性分析情况见表</w:t>
            </w:r>
            <w:r>
              <w:rPr>
                <w:rFonts w:hint="eastAsia"/>
                <w:u w:val="none"/>
                <w:lang w:val="en-US" w:eastAsia="zh-CN"/>
              </w:rPr>
              <w:t>1-11</w:t>
            </w:r>
            <w:r>
              <w:rPr>
                <w:rFonts w:hint="eastAsia" w:ascii="宋体" w:hAnsi="宋体" w:eastAsia="宋体" w:cs="宋体"/>
                <w:u w:val="none"/>
                <w:lang w:val="en-US" w:eastAsia="zh-CN"/>
              </w:rPr>
              <w:t>。</w:t>
            </w:r>
          </w:p>
          <w:p>
            <w:pPr>
              <w:pStyle w:val="27"/>
              <w:bidi w:val="0"/>
              <w:rPr>
                <w:rFonts w:hint="default"/>
                <w:u w:val="none"/>
                <w:lang w:val="en-US" w:eastAsia="zh-CN"/>
              </w:rPr>
            </w:pPr>
            <w:r>
              <w:rPr>
                <w:rFonts w:hint="eastAsia"/>
                <w:u w:val="none"/>
                <w:lang w:val="en-US" w:eastAsia="zh-CN"/>
              </w:rPr>
              <w:t xml:space="preserve">表1-11 </w:t>
            </w:r>
            <w:r>
              <w:rPr>
                <w:rFonts w:hint="eastAsia"/>
                <w:u w:val="none"/>
                <w:lang w:eastAsia="zh-CN"/>
              </w:rPr>
              <w:t>项目与《挥发性有机物（VOCs）污染防治技术政策》符合性分析情况</w:t>
            </w:r>
          </w:p>
          <w:tbl>
            <w:tblPr>
              <w:tblStyle w:val="19"/>
              <w:tblW w:w="7839" w:type="dxa"/>
              <w:tblInd w:w="-11"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666"/>
              <w:gridCol w:w="3253"/>
              <w:gridCol w:w="3282"/>
              <w:gridCol w:w="63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666" w:type="dxa"/>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u w:val="none"/>
                      <w:lang w:val="en-US" w:eastAsia="zh-CN"/>
                    </w:rPr>
                  </w:pPr>
                  <w:r>
                    <w:rPr>
                      <w:rFonts w:hint="eastAsia" w:ascii="Times New Roman" w:hAnsi="Times New Roman" w:eastAsia="宋体" w:cs="Times New Roman"/>
                      <w:sz w:val="21"/>
                      <w:szCs w:val="21"/>
                      <w:u w:val="none"/>
                      <w:lang w:val="en-US" w:eastAsia="zh-CN"/>
                    </w:rPr>
                    <w:t>类别</w:t>
                  </w:r>
                </w:p>
              </w:tc>
              <w:tc>
                <w:tcPr>
                  <w:tcW w:w="3253" w:type="dxa"/>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u w:val="none"/>
                      <w:lang w:val="en-US" w:eastAsia="zh-CN"/>
                    </w:rPr>
                  </w:pPr>
                  <w:r>
                    <w:rPr>
                      <w:rFonts w:hint="eastAsia" w:ascii="Times New Roman" w:hAnsi="Times New Roman" w:eastAsia="宋体" w:cs="Times New Roman"/>
                      <w:sz w:val="21"/>
                      <w:szCs w:val="21"/>
                      <w:u w:val="none"/>
                      <w:lang w:val="en-US" w:eastAsia="zh-CN"/>
                    </w:rPr>
                    <w:t>具体要求</w:t>
                  </w:r>
                </w:p>
              </w:tc>
              <w:tc>
                <w:tcPr>
                  <w:tcW w:w="3282" w:type="dxa"/>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u w:val="none"/>
                      <w:lang w:val="en-US" w:eastAsia="zh-CN"/>
                    </w:rPr>
                  </w:pPr>
                  <w:r>
                    <w:rPr>
                      <w:rFonts w:hint="eastAsia" w:ascii="Times New Roman" w:hAnsi="Times New Roman" w:eastAsia="宋体" w:cs="Times New Roman"/>
                      <w:sz w:val="21"/>
                      <w:szCs w:val="21"/>
                      <w:u w:val="none"/>
                      <w:lang w:val="en-US" w:eastAsia="zh-CN"/>
                    </w:rPr>
                    <w:t>实际情况</w:t>
                  </w:r>
                </w:p>
              </w:tc>
              <w:tc>
                <w:tcPr>
                  <w:tcW w:w="638" w:type="dxa"/>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u w:val="none"/>
                      <w:lang w:val="en-US" w:eastAsia="zh-CN"/>
                    </w:rPr>
                  </w:pPr>
                  <w:r>
                    <w:rPr>
                      <w:rFonts w:hint="eastAsia" w:ascii="Times New Roman" w:hAnsi="Times New Roman" w:eastAsia="宋体" w:cs="Times New Roman"/>
                      <w:sz w:val="21"/>
                      <w:szCs w:val="21"/>
                      <w:u w:val="none"/>
                      <w:lang w:val="en-US" w:eastAsia="zh-CN"/>
                    </w:rPr>
                    <w:t>是否符合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666" w:type="dxa"/>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u w:val="none"/>
                      <w:lang w:val="en-US" w:eastAsia="zh-CN"/>
                    </w:rPr>
                  </w:pPr>
                  <w:r>
                    <w:rPr>
                      <w:rFonts w:hint="eastAsia" w:ascii="Times New Roman" w:hAnsi="Times New Roman" w:eastAsia="宋体" w:cs="Times New Roman"/>
                      <w:sz w:val="21"/>
                      <w:szCs w:val="21"/>
                      <w:u w:val="none"/>
                      <w:lang w:val="en-US" w:eastAsia="zh-CN"/>
                    </w:rPr>
                    <w:t>源头和过程控制</w:t>
                  </w:r>
                </w:p>
              </w:tc>
              <w:tc>
                <w:tcPr>
                  <w:tcW w:w="3253" w:type="dxa"/>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u w:val="none"/>
                      <w:lang w:val="en-US" w:eastAsia="zh-CN"/>
                    </w:rPr>
                  </w:pPr>
                  <w:r>
                    <w:rPr>
                      <w:rFonts w:hint="eastAsia" w:ascii="Times New Roman" w:hAnsi="Times New Roman" w:eastAsia="宋体" w:cs="Times New Roman"/>
                      <w:sz w:val="21"/>
                      <w:szCs w:val="21"/>
                      <w:u w:val="none"/>
                      <w:lang w:val="en-US" w:eastAsia="zh-CN"/>
                    </w:rPr>
                    <w:t>……涂料、油墨、胶粘剂、农药等以 VOCs为原料的生产行业的VOCs污染防治技术措施包括：</w:t>
                  </w:r>
                </w:p>
                <w:p>
                  <w:pPr>
                    <w:adjustRightInd w:val="0"/>
                    <w:snapToGrid w:val="0"/>
                    <w:spacing w:line="240" w:lineRule="auto"/>
                    <w:jc w:val="center"/>
                    <w:rPr>
                      <w:rFonts w:hint="eastAsia" w:ascii="Times New Roman" w:hAnsi="Times New Roman" w:eastAsia="宋体" w:cs="Times New Roman"/>
                      <w:sz w:val="21"/>
                      <w:szCs w:val="21"/>
                      <w:u w:val="none"/>
                      <w:lang w:val="en-US" w:eastAsia="zh-CN"/>
                    </w:rPr>
                  </w:pPr>
                  <w:r>
                    <w:rPr>
                      <w:rFonts w:hint="eastAsia" w:ascii="Times New Roman" w:hAnsi="Times New Roman" w:eastAsia="宋体" w:cs="Times New Roman"/>
                      <w:sz w:val="21"/>
                      <w:szCs w:val="21"/>
                      <w:u w:val="none"/>
                      <w:lang w:val="en-US" w:eastAsia="zh-CN"/>
                    </w:rPr>
                    <w:t>1.鼓励符合环境标志产品技术要求的水基型、无有机溶剂型、低有机溶剂型的涂料、油墨和胶粘剂等的生产和销售；</w:t>
                  </w:r>
                </w:p>
                <w:p>
                  <w:pPr>
                    <w:adjustRightInd w:val="0"/>
                    <w:snapToGrid w:val="0"/>
                    <w:spacing w:line="240" w:lineRule="auto"/>
                    <w:jc w:val="center"/>
                    <w:rPr>
                      <w:rFonts w:hint="eastAsia" w:ascii="Times New Roman" w:hAnsi="Times New Roman" w:eastAsia="宋体" w:cs="Times New Roman"/>
                      <w:sz w:val="21"/>
                      <w:szCs w:val="21"/>
                      <w:u w:val="none"/>
                      <w:lang w:val="en-US" w:eastAsia="zh-CN"/>
                    </w:rPr>
                  </w:pPr>
                  <w:r>
                    <w:rPr>
                      <w:rFonts w:hint="eastAsia" w:ascii="Times New Roman" w:hAnsi="Times New Roman" w:eastAsia="宋体" w:cs="Times New Roman"/>
                      <w:sz w:val="21"/>
                      <w:szCs w:val="21"/>
                      <w:u w:val="none"/>
                      <w:lang w:val="en-US" w:eastAsia="zh-CN"/>
                    </w:rPr>
                    <w:t>2.鼓励采用密闭一体化生产技术，并对生产过程中产生的废气分类收集后处理。</w:t>
                  </w:r>
                </w:p>
              </w:tc>
              <w:tc>
                <w:tcPr>
                  <w:tcW w:w="3282" w:type="dxa"/>
                  <w:vMerge w:val="restart"/>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u w:val="none"/>
                      <w:lang w:val="en-US" w:eastAsia="zh-CN"/>
                    </w:rPr>
                  </w:pPr>
                  <w:r>
                    <w:rPr>
                      <w:rFonts w:hint="default" w:ascii="Times New Roman" w:hAnsi="Times New Roman" w:eastAsia="宋体" w:cs="Times New Roman"/>
                      <w:sz w:val="21"/>
                      <w:szCs w:val="21"/>
                      <w:u w:val="none"/>
                      <w:lang w:val="en-US" w:eastAsia="zh-CN"/>
                    </w:rPr>
                    <w:t>根据《挥发性有机物无组织排放控制标准》（GB37822-2019）《挥发性有机物无组织排放控制标准》 10.3条款VOCs排放控制要求条款规定，“收集的废气中NMHC初始排放速率大于等于3kg/h时，应配置VOCs处理设施，处理效率不应低于80%。对于重点地区，收集的废气中NMHC初始排放速率大于等于2kg/h时，应配置VOCs处理设施，处理效率不应低于80%”。本项目非甲烷总烃（NMHC）的产生速率为0.098kg/h，远低于3kg/h，因此可不设置废气处置设施。</w:t>
                  </w:r>
                </w:p>
                <w:p>
                  <w:pPr>
                    <w:adjustRightInd w:val="0"/>
                    <w:snapToGrid w:val="0"/>
                    <w:spacing w:line="240" w:lineRule="auto"/>
                    <w:jc w:val="center"/>
                    <w:rPr>
                      <w:rFonts w:hint="default" w:ascii="Times New Roman" w:hAnsi="Times New Roman" w:eastAsia="宋体" w:cs="Times New Roman"/>
                      <w:sz w:val="21"/>
                      <w:szCs w:val="21"/>
                      <w:u w:val="none"/>
                      <w:lang w:val="en-US" w:eastAsia="zh-CN"/>
                    </w:rPr>
                  </w:pPr>
                </w:p>
              </w:tc>
              <w:tc>
                <w:tcPr>
                  <w:tcW w:w="638" w:type="dxa"/>
                  <w:vMerge w:val="restar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u w:val="none"/>
                      <w:lang w:val="en-US" w:eastAsia="zh-CN"/>
                    </w:rPr>
                  </w:pPr>
                  <w:r>
                    <w:rPr>
                      <w:rFonts w:hint="eastAsia" w:ascii="Times New Roman" w:hAnsi="Times New Roman" w:eastAsia="宋体" w:cs="Times New Roman"/>
                      <w:sz w:val="21"/>
                      <w:szCs w:val="21"/>
                      <w:u w:val="none"/>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666" w:type="dxa"/>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u w:val="none"/>
                      <w:lang w:val="en-US" w:eastAsia="zh-CN"/>
                    </w:rPr>
                  </w:pPr>
                  <w:r>
                    <w:rPr>
                      <w:rFonts w:hint="eastAsia" w:ascii="Times New Roman" w:hAnsi="Times New Roman" w:eastAsia="宋体" w:cs="Times New Roman"/>
                      <w:sz w:val="21"/>
                      <w:szCs w:val="21"/>
                      <w:u w:val="none"/>
                      <w:lang w:val="en-US" w:eastAsia="zh-CN"/>
                    </w:rPr>
                    <w:t>末端治理与综合利用</w:t>
                  </w:r>
                </w:p>
              </w:tc>
              <w:tc>
                <w:tcPr>
                  <w:tcW w:w="3253" w:type="dxa"/>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u w:val="none"/>
                      <w:lang w:val="en-US" w:eastAsia="zh-CN"/>
                    </w:rPr>
                  </w:pPr>
                  <w:r>
                    <w:rPr>
                      <w:rFonts w:hint="eastAsia" w:ascii="Times New Roman" w:hAnsi="Times New Roman" w:eastAsia="宋体" w:cs="Times New Roman"/>
                      <w:sz w:val="21"/>
                      <w:szCs w:val="21"/>
                      <w:u w:val="none"/>
                      <w:lang w:val="en-US" w:eastAsia="zh-CN"/>
                    </w:rPr>
                    <w:t>在工业生产过程中鼓励 VOCs 的回收利用，并优先鼓励在生产系统内回用。</w:t>
                  </w:r>
                </w:p>
                <w:p>
                  <w:pPr>
                    <w:adjustRightInd w:val="0"/>
                    <w:snapToGrid w:val="0"/>
                    <w:spacing w:line="240" w:lineRule="auto"/>
                    <w:jc w:val="center"/>
                    <w:rPr>
                      <w:rFonts w:hint="eastAsia" w:ascii="Times New Roman" w:hAnsi="Times New Roman" w:eastAsia="宋体" w:cs="Times New Roman"/>
                      <w:sz w:val="21"/>
                      <w:szCs w:val="21"/>
                      <w:u w:val="none"/>
                      <w:lang w:val="en-US" w:eastAsia="zh-CN"/>
                    </w:rPr>
                  </w:pPr>
                  <w:r>
                    <w:rPr>
                      <w:rFonts w:hint="eastAsia" w:ascii="Times New Roman" w:hAnsi="Times New Roman" w:eastAsia="宋体" w:cs="Times New Roman"/>
                      <w:sz w:val="21"/>
                      <w:szCs w:val="21"/>
                      <w:u w:val="none"/>
                      <w:lang w:val="en-US" w:eastAsia="zh-CN"/>
                    </w:rPr>
                    <w:t>1、对于含高浓度VOCs的废气，宜优先采用冷凝回收、吸附回收技术进行回收利用，并辅助以其他治理技术实现达标排放。</w:t>
                  </w:r>
                </w:p>
                <w:p>
                  <w:pPr>
                    <w:adjustRightInd w:val="0"/>
                    <w:snapToGrid w:val="0"/>
                    <w:spacing w:line="240" w:lineRule="auto"/>
                    <w:jc w:val="center"/>
                    <w:rPr>
                      <w:rFonts w:hint="eastAsia" w:ascii="Times New Roman" w:hAnsi="Times New Roman" w:eastAsia="宋体" w:cs="Times New Roman"/>
                      <w:sz w:val="21"/>
                      <w:szCs w:val="21"/>
                      <w:u w:val="none"/>
                      <w:lang w:val="en-US" w:eastAsia="zh-CN"/>
                    </w:rPr>
                  </w:pPr>
                  <w:r>
                    <w:rPr>
                      <w:rFonts w:hint="eastAsia" w:ascii="Times New Roman" w:hAnsi="Times New Roman" w:eastAsia="宋体" w:cs="Times New Roman"/>
                      <w:sz w:val="21"/>
                      <w:szCs w:val="21"/>
                      <w:u w:val="none"/>
                      <w:lang w:val="en-US" w:eastAsia="zh-CN"/>
                    </w:rPr>
                    <w:t>2、对于含中等浓度 VOCs 的废气，可采用吸附技术回收有机溶剂，或采用催化燃烧和热力焚烧技术净化后达标排放。当采用催化燃烧和热力焚烧技术进行净化时，应进行余热回收利用。</w:t>
                  </w:r>
                </w:p>
                <w:p>
                  <w:pPr>
                    <w:adjustRightInd w:val="0"/>
                    <w:snapToGrid w:val="0"/>
                    <w:spacing w:line="240" w:lineRule="auto"/>
                    <w:jc w:val="center"/>
                    <w:rPr>
                      <w:rFonts w:hint="eastAsia" w:ascii="Times New Roman" w:hAnsi="Times New Roman" w:eastAsia="宋体" w:cs="Times New Roman"/>
                      <w:sz w:val="21"/>
                      <w:szCs w:val="21"/>
                      <w:u w:val="none"/>
                      <w:lang w:val="en-US" w:eastAsia="zh-CN"/>
                    </w:rPr>
                  </w:pPr>
                  <w:r>
                    <w:rPr>
                      <w:rFonts w:hint="eastAsia" w:ascii="Times New Roman" w:hAnsi="Times New Roman" w:eastAsia="宋体" w:cs="Times New Roman"/>
                      <w:sz w:val="21"/>
                      <w:szCs w:val="21"/>
                      <w:u w:val="none"/>
                      <w:lang w:val="en-US" w:eastAsia="zh-CN"/>
                    </w:rPr>
                    <w:t>3、对于含低浓度 VOCs 的废气，有回收价值时可采用吸附技术、吸收技术对有机溶剂回收后达标排放；不宜回收时，可采用吸附浓缩燃烧技术、生物技术、吸收技术、等离子体技术或紫外光高级氧化技术等净化后达标排放。</w:t>
                  </w:r>
                </w:p>
                <w:p>
                  <w:pPr>
                    <w:adjustRightInd w:val="0"/>
                    <w:snapToGrid w:val="0"/>
                    <w:spacing w:line="240" w:lineRule="auto"/>
                    <w:jc w:val="center"/>
                    <w:rPr>
                      <w:rFonts w:hint="eastAsia" w:ascii="Times New Roman" w:hAnsi="Times New Roman" w:eastAsia="宋体" w:cs="Times New Roman"/>
                      <w:sz w:val="21"/>
                      <w:szCs w:val="21"/>
                      <w:u w:val="none"/>
                      <w:lang w:val="en-US" w:eastAsia="zh-CN"/>
                    </w:rPr>
                  </w:pPr>
                  <w:r>
                    <w:rPr>
                      <w:rFonts w:hint="eastAsia" w:ascii="Times New Roman" w:hAnsi="Times New Roman" w:eastAsia="宋体" w:cs="Times New Roman"/>
                      <w:sz w:val="21"/>
                      <w:szCs w:val="21"/>
                      <w:u w:val="none"/>
                      <w:lang w:val="en-US" w:eastAsia="zh-CN"/>
                    </w:rPr>
                    <w:t>4、含有有机卤素成分 VOCs 的废气，宜采用非焚烧技术处理。</w:t>
                  </w:r>
                </w:p>
                <w:p>
                  <w:pPr>
                    <w:adjustRightInd w:val="0"/>
                    <w:snapToGrid w:val="0"/>
                    <w:spacing w:line="240" w:lineRule="auto"/>
                    <w:jc w:val="center"/>
                    <w:rPr>
                      <w:rFonts w:hint="eastAsia" w:ascii="Times New Roman" w:hAnsi="Times New Roman" w:eastAsia="宋体" w:cs="Times New Roman"/>
                      <w:sz w:val="21"/>
                      <w:szCs w:val="21"/>
                      <w:u w:val="none"/>
                      <w:lang w:val="en-US" w:eastAsia="zh-CN"/>
                    </w:rPr>
                  </w:pPr>
                  <w:r>
                    <w:rPr>
                      <w:rFonts w:hint="eastAsia" w:ascii="Times New Roman" w:hAnsi="Times New Roman" w:eastAsia="宋体" w:cs="Times New Roman"/>
                      <w:sz w:val="21"/>
                      <w:szCs w:val="21"/>
                      <w:u w:val="none"/>
                      <w:lang w:val="en-US" w:eastAsia="zh-CN"/>
                    </w:rPr>
                    <w:t>5、恶臭气体污染源可采用生物技术、等离子体技术、吸附技术、吸收技术、紫外光高级氧化技术或组合技术等进行净化。净化后的恶臭气体除满足达标排放的要求外，还应采取高空排放等措施，避免产生扰民问题。</w:t>
                  </w:r>
                </w:p>
                <w:p>
                  <w:pPr>
                    <w:adjustRightInd w:val="0"/>
                    <w:snapToGrid w:val="0"/>
                    <w:spacing w:line="240" w:lineRule="auto"/>
                    <w:jc w:val="center"/>
                    <w:rPr>
                      <w:rFonts w:hint="eastAsia" w:ascii="Times New Roman" w:hAnsi="Times New Roman" w:eastAsia="宋体" w:cs="Times New Roman"/>
                      <w:sz w:val="21"/>
                      <w:szCs w:val="21"/>
                      <w:u w:val="none"/>
                      <w:lang w:val="en-US" w:eastAsia="zh-CN"/>
                    </w:rPr>
                  </w:pPr>
                  <w:r>
                    <w:rPr>
                      <w:rFonts w:hint="eastAsia" w:ascii="Times New Roman" w:hAnsi="Times New Roman" w:eastAsia="宋体" w:cs="Times New Roman"/>
                      <w:sz w:val="21"/>
                      <w:szCs w:val="21"/>
                      <w:u w:val="none"/>
                      <w:lang w:val="en-US" w:eastAsia="zh-CN"/>
                    </w:rPr>
                    <w:t>6、在餐饮服务业推广使用具有油雾回收功能的油烟抽排装置，并根据规模、场地和气候条件等采用高效油烟与 VOCs 净化装置净化后达标排放。</w:t>
                  </w:r>
                </w:p>
                <w:p>
                  <w:pPr>
                    <w:adjustRightInd w:val="0"/>
                    <w:snapToGrid w:val="0"/>
                    <w:spacing w:line="240" w:lineRule="auto"/>
                    <w:jc w:val="center"/>
                    <w:rPr>
                      <w:rFonts w:hint="eastAsia" w:ascii="Times New Roman" w:hAnsi="Times New Roman" w:eastAsia="宋体" w:cs="Times New Roman"/>
                      <w:sz w:val="21"/>
                      <w:szCs w:val="21"/>
                      <w:u w:val="none"/>
                      <w:lang w:val="en-US" w:eastAsia="zh-CN"/>
                    </w:rPr>
                  </w:pPr>
                  <w:r>
                    <w:rPr>
                      <w:rFonts w:hint="eastAsia" w:ascii="Times New Roman" w:hAnsi="Times New Roman" w:eastAsia="宋体" w:cs="Times New Roman"/>
                      <w:sz w:val="21"/>
                      <w:szCs w:val="21"/>
                      <w:u w:val="none"/>
                      <w:lang w:val="en-US" w:eastAsia="zh-CN"/>
                    </w:rPr>
                    <w:t>7、严格控制 VOCs 处理过程中产生的二次污染，对于催化燃烧和热力焚烧过程中产生的含硫、氮、氯等无机废气，以及吸附、吸收、冷凝、生物等治理过程中所产生的含有机物废水，应处理后达标排放。</w:t>
                  </w:r>
                </w:p>
                <w:p>
                  <w:pPr>
                    <w:adjustRightInd w:val="0"/>
                    <w:snapToGrid w:val="0"/>
                    <w:spacing w:line="240" w:lineRule="auto"/>
                    <w:jc w:val="center"/>
                    <w:rPr>
                      <w:rFonts w:hint="eastAsia" w:ascii="Times New Roman" w:hAnsi="Times New Roman" w:eastAsia="宋体" w:cs="Times New Roman"/>
                      <w:sz w:val="21"/>
                      <w:szCs w:val="21"/>
                      <w:u w:val="none"/>
                      <w:lang w:val="en-US" w:eastAsia="zh-CN"/>
                    </w:rPr>
                  </w:pPr>
                  <w:r>
                    <w:rPr>
                      <w:rFonts w:hint="eastAsia" w:ascii="Times New Roman" w:hAnsi="Times New Roman" w:eastAsia="宋体" w:cs="Times New Roman"/>
                      <w:sz w:val="21"/>
                      <w:szCs w:val="21"/>
                      <w:u w:val="none"/>
                      <w:lang w:val="en-US" w:eastAsia="zh-CN"/>
                    </w:rPr>
                    <w:t>8、对于不能再生的过滤材料、吸附剂及催化剂等净化材料，应按照国家固体废物管理的相关规定处理处置。</w:t>
                  </w:r>
                </w:p>
              </w:tc>
              <w:tc>
                <w:tcPr>
                  <w:tcW w:w="3282" w:type="dxa"/>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u w:val="none"/>
                      <w:lang w:val="en-US" w:eastAsia="zh-CN"/>
                    </w:rPr>
                  </w:pPr>
                </w:p>
              </w:tc>
              <w:tc>
                <w:tcPr>
                  <w:tcW w:w="638" w:type="dxa"/>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u w:val="none"/>
                      <w:lang w:val="en-US" w:eastAsia="zh-CN"/>
                    </w:rPr>
                  </w:pPr>
                </w:p>
              </w:tc>
            </w:tr>
          </w:tbl>
          <w:p>
            <w:pPr>
              <w:pStyle w:val="2"/>
              <w:rPr>
                <w:rFonts w:hint="eastAsia"/>
              </w:rPr>
            </w:pPr>
            <w:r>
              <w:rPr>
                <w:rFonts w:hint="eastAsia"/>
                <w:u w:val="none"/>
                <w:lang w:eastAsia="zh-CN"/>
              </w:rPr>
              <w:t>根据上述内容可知</w:t>
            </w:r>
            <w:r>
              <w:rPr>
                <w:rFonts w:hint="eastAsia" w:ascii="宋体" w:hAnsi="宋体" w:eastAsia="宋体" w:cs="宋体"/>
                <w:u w:val="none"/>
                <w:lang w:eastAsia="zh-CN"/>
              </w:rPr>
              <w:t>，</w:t>
            </w:r>
            <w:r>
              <w:rPr>
                <w:rFonts w:hint="eastAsia"/>
                <w:u w:val="none"/>
                <w:lang w:eastAsia="zh-CN"/>
              </w:rPr>
              <w:t>本项目符合《挥发性有机物（VOCs）污染防治技术政策》（2013年第31号公告）相关要求</w:t>
            </w:r>
            <w:r>
              <w:rPr>
                <w:rFonts w:hint="eastAsia" w:ascii="宋体" w:hAnsi="宋体" w:eastAsia="宋体" w:cs="宋体"/>
                <w:u w:val="none"/>
                <w:lang w:eastAsia="zh-CN"/>
              </w:rPr>
              <w:t>。</w:t>
            </w:r>
          </w:p>
        </w:tc>
      </w:tr>
    </w:tbl>
    <w:p>
      <w:pPr>
        <w:pStyle w:val="22"/>
        <w:sectPr>
          <w:footerReference r:id="rId6" w:type="default"/>
          <w:pgSz w:w="11906" w:h="16838"/>
          <w:pgMar w:top="1440" w:right="1800" w:bottom="1440" w:left="1800" w:header="851" w:footer="992" w:gutter="0"/>
          <w:pgBorders>
            <w:top w:val="none" w:sz="0" w:space="0"/>
            <w:left w:val="none" w:sz="0" w:space="0"/>
            <w:bottom w:val="none" w:sz="0" w:space="0"/>
            <w:right w:val="none" w:sz="0" w:space="0"/>
          </w:pgBorders>
          <w:pgNumType w:fmt="decimal" w:start="1"/>
          <w:cols w:space="425" w:num="1"/>
          <w:docGrid w:type="lines" w:linePitch="312" w:charSpace="0"/>
        </w:sectPr>
      </w:pPr>
    </w:p>
    <w:p>
      <w:pPr>
        <w:pStyle w:val="15"/>
        <w:keepNext w:val="0"/>
        <w:keepLines w:val="0"/>
        <w:pageBreakBefore w:val="0"/>
        <w:widowControl/>
        <w:kinsoku/>
        <w:wordWrap/>
        <w:overflowPunct/>
        <w:topLinePunct w:val="0"/>
        <w:autoSpaceDE/>
        <w:autoSpaceDN/>
        <w:bidi w:val="0"/>
        <w:adjustRightInd/>
        <w:snapToGrid/>
        <w:spacing w:before="0" w:beforeAutospacing="0" w:after="0" w:afterAutospacing="0" w:line="240" w:lineRule="auto"/>
        <w:jc w:val="center"/>
        <w:textAlignment w:val="auto"/>
        <w:outlineLvl w:val="0"/>
        <w:rPr>
          <w:rFonts w:hint="eastAsia" w:ascii="Times New Roman" w:hAnsi="Times New Roman" w:eastAsia="宋体"/>
          <w:b/>
          <w:bCs/>
          <w:snapToGrid w:val="0"/>
          <w:color w:val="auto"/>
          <w:sz w:val="28"/>
          <w:szCs w:val="28"/>
          <w:u w:val="none" w:color="auto"/>
          <w:vertAlign w:val="baseline"/>
        </w:rPr>
      </w:pPr>
      <w:bookmarkStart w:id="1" w:name="_Toc24508"/>
      <w:r>
        <w:rPr>
          <w:rFonts w:hint="eastAsia" w:ascii="Times New Roman" w:hAnsi="Times New Roman" w:eastAsia="宋体"/>
          <w:b/>
          <w:bCs/>
          <w:snapToGrid w:val="0"/>
          <w:color w:val="auto"/>
          <w:sz w:val="28"/>
          <w:szCs w:val="28"/>
          <w:u w:val="none" w:color="auto"/>
        </w:rPr>
        <w:t>二、建设项目工程分析</w:t>
      </w:r>
      <w:bookmarkEnd w:id="1"/>
    </w:p>
    <w:tbl>
      <w:tblPr>
        <w:tblStyle w:val="19"/>
        <w:tblW w:w="0" w:type="auto"/>
        <w:tblInd w:w="-20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25"/>
        <w:gridCol w:w="829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810" w:type="dxa"/>
            <w:vAlign w:val="center"/>
          </w:tcPr>
          <w:p>
            <w:pPr>
              <w:pStyle w:val="15"/>
              <w:keepNext w:val="0"/>
              <w:keepLines w:val="0"/>
              <w:pageBreakBefore w:val="0"/>
              <w:widowControl/>
              <w:kinsoku/>
              <w:wordWrap/>
              <w:overflowPunct/>
              <w:topLinePunct w:val="0"/>
              <w:autoSpaceDE/>
              <w:autoSpaceDN/>
              <w:bidi w:val="0"/>
              <w:adjustRightInd/>
              <w:snapToGrid/>
              <w:spacing w:before="0" w:beforeAutospacing="0" w:after="0" w:afterAutospacing="0" w:line="240" w:lineRule="auto"/>
              <w:jc w:val="center"/>
              <w:textAlignment w:val="auto"/>
              <w:outlineLvl w:val="0"/>
              <w:rPr>
                <w:rFonts w:hint="eastAsia" w:ascii="Times New Roman" w:hAnsi="Times New Roman" w:eastAsia="宋体"/>
                <w:b/>
                <w:bCs/>
                <w:snapToGrid w:val="0"/>
                <w:color w:val="auto"/>
                <w:sz w:val="28"/>
                <w:szCs w:val="28"/>
                <w:u w:val="none" w:color="auto"/>
                <w:vertAlign w:val="baseline"/>
              </w:rPr>
            </w:pPr>
            <w:r>
              <w:rPr>
                <w:rFonts w:hint="eastAsia" w:cs="宋体"/>
                <w:sz w:val="21"/>
                <w:szCs w:val="21"/>
              </w:rPr>
              <w:t>建设内容</w:t>
            </w:r>
          </w:p>
        </w:tc>
        <w:tc>
          <w:tcPr>
            <w:tcW w:w="7913" w:type="dxa"/>
          </w:tcPr>
          <w:p>
            <w:pPr>
              <w:pStyle w:val="25"/>
              <w:bidi w:val="0"/>
              <w:jc w:val="left"/>
              <w:rPr>
                <w:rFonts w:hint="default"/>
                <w:b/>
                <w:bCs/>
                <w:lang w:eastAsia="zh-CN"/>
              </w:rPr>
            </w:pPr>
            <w:r>
              <w:rPr>
                <w:rFonts w:hint="eastAsia"/>
                <w:b/>
                <w:bCs/>
                <w:lang w:val="en-US" w:eastAsia="zh-CN"/>
              </w:rPr>
              <w:t>1、</w:t>
            </w:r>
            <w:r>
              <w:rPr>
                <w:rFonts w:hint="default"/>
                <w:b/>
                <w:bCs/>
                <w:lang w:eastAsia="zh-CN"/>
              </w:rPr>
              <w:t>项目</w:t>
            </w:r>
            <w:r>
              <w:rPr>
                <w:rFonts w:hint="eastAsia"/>
                <w:b/>
                <w:bCs/>
                <w:lang w:val="en-US" w:eastAsia="zh-CN"/>
              </w:rPr>
              <w:t>由来</w:t>
            </w:r>
          </w:p>
          <w:p>
            <w:pPr>
              <w:pStyle w:val="25"/>
              <w:bidi w:val="0"/>
              <w:jc w:val="left"/>
              <w:rPr>
                <w:rFonts w:hint="eastAsia"/>
                <w:lang w:val="en-US" w:eastAsia="zh-CN"/>
              </w:rPr>
            </w:pPr>
            <w:r>
              <w:rPr>
                <w:rFonts w:hint="default" w:ascii="Times New Roman" w:hAnsi="Times New Roman" w:eastAsia="宋体" w:cs="Times New Roman"/>
                <w:i w:val="0"/>
                <w:iCs w:val="0"/>
                <w:color w:val="auto"/>
                <w:sz w:val="24"/>
                <w:szCs w:val="24"/>
                <w:u w:val="none" w:color="auto"/>
                <w:lang w:val="en-US" w:eastAsia="zh-CN"/>
              </w:rPr>
              <w:t>报废汽车主要来源为衡阳地区。</w:t>
            </w:r>
            <w:r>
              <w:rPr>
                <w:rFonts w:hint="eastAsia" w:cs="Times New Roman"/>
                <w:i w:val="0"/>
                <w:iCs w:val="0"/>
                <w:color w:val="auto"/>
                <w:sz w:val="24"/>
                <w:szCs w:val="24"/>
                <w:u w:val="none" w:color="auto"/>
                <w:lang w:val="en-US" w:eastAsia="zh-CN"/>
              </w:rPr>
              <w:t>根据衡阳市机动车保有量，衡阳市</w:t>
            </w:r>
            <w:r>
              <w:rPr>
                <w:rFonts w:hint="default" w:ascii="Times New Roman" w:hAnsi="Times New Roman" w:eastAsia="宋体" w:cs="Times New Roman"/>
                <w:i w:val="0"/>
                <w:iCs w:val="0"/>
                <w:color w:val="auto"/>
                <w:sz w:val="24"/>
                <w:szCs w:val="24"/>
                <w:u w:val="none" w:color="auto"/>
                <w:lang w:val="en-US" w:eastAsia="zh-CN"/>
              </w:rPr>
              <w:t>属于V档地区，</w:t>
            </w:r>
            <w:r>
              <w:rPr>
                <w:rFonts w:hint="eastAsia" w:cs="Times New Roman"/>
                <w:i w:val="0"/>
                <w:iCs w:val="0"/>
                <w:color w:val="auto"/>
                <w:sz w:val="24"/>
                <w:szCs w:val="24"/>
                <w:u w:val="none" w:color="auto"/>
                <w:lang w:val="en-US" w:eastAsia="zh-CN"/>
              </w:rPr>
              <w:t>根据</w:t>
            </w:r>
            <w:r>
              <w:rPr>
                <w:rFonts w:hint="default" w:ascii="Times New Roman" w:hAnsi="Times New Roman" w:eastAsia="宋体" w:cs="Times New Roman"/>
                <w:i w:val="0"/>
                <w:iCs w:val="0"/>
                <w:color w:val="auto"/>
                <w:sz w:val="24"/>
                <w:szCs w:val="24"/>
                <w:u w:val="none" w:color="auto"/>
                <w:lang w:val="en-US" w:eastAsia="zh-CN"/>
              </w:rPr>
              <w:t>《报废机动车回收拆解企业技术规范》（GB22128-2019）</w:t>
            </w:r>
            <w:r>
              <w:rPr>
                <w:rFonts w:hint="eastAsia" w:cs="Times New Roman"/>
                <w:i w:val="0"/>
                <w:iCs w:val="0"/>
                <w:color w:val="auto"/>
                <w:sz w:val="24"/>
                <w:szCs w:val="24"/>
                <w:u w:val="none" w:color="auto"/>
                <w:lang w:val="en-US" w:eastAsia="zh-CN"/>
              </w:rPr>
              <w:t>，</w:t>
            </w:r>
            <w:r>
              <w:rPr>
                <w:rFonts w:hint="default" w:ascii="Times New Roman" w:hAnsi="Times New Roman" w:eastAsia="宋体" w:cs="Times New Roman"/>
                <w:i w:val="0"/>
                <w:iCs w:val="0"/>
                <w:color w:val="auto"/>
                <w:sz w:val="24"/>
                <w:szCs w:val="24"/>
                <w:u w:val="none" w:color="auto"/>
                <w:lang w:val="en-US" w:eastAsia="zh-CN"/>
              </w:rPr>
              <w:t>V档地区</w:t>
            </w:r>
            <w:r>
              <w:rPr>
                <w:rFonts w:hint="eastAsia" w:ascii="Times New Roman" w:hAnsi="Times New Roman" w:eastAsia="宋体" w:cs="Times New Roman"/>
                <w:i w:val="0"/>
                <w:iCs w:val="0"/>
                <w:color w:val="auto"/>
                <w:sz w:val="24"/>
                <w:szCs w:val="24"/>
                <w:u w:val="none" w:color="auto"/>
                <w:lang w:val="en-US" w:eastAsia="zh-CN"/>
              </w:rPr>
              <w:t>单个企业年拆解量不低于1万辆，</w:t>
            </w:r>
            <w:r>
              <w:rPr>
                <w:rFonts w:hint="eastAsia"/>
              </w:rPr>
              <w:t>为了进一步满足日益增长的报废机动车拆解需求</w:t>
            </w:r>
            <w:r>
              <w:rPr>
                <w:rFonts w:hint="eastAsia" w:ascii="宋体" w:hAnsi="宋体" w:eastAsia="宋体" w:cs="宋体"/>
              </w:rPr>
              <w:t>，</w:t>
            </w:r>
            <w:r>
              <w:rPr>
                <w:rFonts w:hint="eastAsia" w:ascii="宋体" w:hAnsi="宋体" w:eastAsia="宋体" w:cs="宋体"/>
                <w:lang w:val="en-US" w:eastAsia="zh-CN"/>
              </w:rPr>
              <w:t>湖南省鑫汇鑫环保科技有限公司</w:t>
            </w:r>
            <w:r>
              <w:rPr>
                <w:rFonts w:hint="eastAsia"/>
                <w:lang w:val="en-US" w:eastAsia="zh-CN"/>
              </w:rPr>
              <w:t>抓住机遇</w:t>
            </w:r>
            <w:r>
              <w:rPr>
                <w:rFonts w:hint="eastAsia" w:ascii="宋体" w:hAnsi="宋体" w:eastAsia="宋体" w:cs="宋体"/>
                <w:lang w:val="en-US" w:eastAsia="zh-CN"/>
              </w:rPr>
              <w:t>，</w:t>
            </w:r>
            <w:r>
              <w:rPr>
                <w:rFonts w:hint="eastAsia"/>
                <w:lang w:val="en-US" w:eastAsia="zh-CN"/>
              </w:rPr>
              <w:t>拟投资</w:t>
            </w:r>
            <w:r>
              <w:rPr>
                <w:rFonts w:hint="default"/>
                <w:lang w:eastAsia="zh-CN"/>
              </w:rPr>
              <w:t>2000</w:t>
            </w:r>
            <w:r>
              <w:rPr>
                <w:rFonts w:hint="eastAsia"/>
                <w:lang w:val="en-US" w:eastAsia="zh-CN"/>
              </w:rPr>
              <w:t>万元</w:t>
            </w:r>
            <w:r>
              <w:rPr>
                <w:rFonts w:hint="eastAsia" w:ascii="宋体" w:hAnsi="宋体" w:eastAsia="宋体" w:cs="宋体"/>
                <w:lang w:val="en-US" w:eastAsia="zh-CN"/>
              </w:rPr>
              <w:t>，</w:t>
            </w:r>
            <w:r>
              <w:rPr>
                <w:rFonts w:hint="eastAsia"/>
                <w:lang w:val="en-US" w:eastAsia="zh-CN"/>
              </w:rPr>
              <w:t>于湖南省</w:t>
            </w:r>
            <w:r>
              <w:rPr>
                <w:rFonts w:hint="default"/>
                <w:lang w:eastAsia="zh-CN"/>
              </w:rPr>
              <w:t>衡阳市归阳工业园云鹤循环经济产业园</w:t>
            </w:r>
            <w:r>
              <w:rPr>
                <w:rFonts w:hint="eastAsia"/>
                <w:lang w:val="en-US" w:eastAsia="zh-CN"/>
              </w:rPr>
              <w:t>内进行10000辆/年报废机动车拆解线建设</w:t>
            </w:r>
            <w:r>
              <w:rPr>
                <w:rFonts w:hint="eastAsia" w:ascii="宋体" w:hAnsi="宋体" w:eastAsia="宋体" w:cs="宋体"/>
                <w:lang w:val="en-US" w:eastAsia="zh-CN"/>
              </w:rPr>
              <w:t>。</w:t>
            </w:r>
            <w:r>
              <w:rPr>
                <w:rFonts w:hint="eastAsia" w:ascii="宋体" w:hAnsi="宋体" w:eastAsia="宋体" w:cs="宋体"/>
                <w:color w:val="000000"/>
                <w:kern w:val="0"/>
                <w:sz w:val="24"/>
                <w:szCs w:val="24"/>
                <w:lang w:val="en-US" w:eastAsia="zh-CN" w:bidi="ar"/>
              </w:rPr>
              <w:t>地理位置情况详见附图</w:t>
            </w:r>
            <w:r>
              <w:rPr>
                <w:rFonts w:hint="eastAsia" w:ascii="宋体" w:hAnsi="宋体" w:cs="宋体"/>
                <w:color w:val="000000"/>
                <w:kern w:val="0"/>
                <w:sz w:val="24"/>
                <w:szCs w:val="24"/>
                <w:lang w:val="en-US" w:eastAsia="zh-CN" w:bidi="ar"/>
              </w:rPr>
              <w:t>1</w:t>
            </w:r>
            <w:r>
              <w:rPr>
                <w:rFonts w:hint="eastAsia" w:ascii="宋体" w:hAnsi="宋体" w:eastAsia="宋体" w:cs="宋体"/>
                <w:color w:val="000000"/>
                <w:kern w:val="0"/>
                <w:sz w:val="24"/>
                <w:szCs w:val="24"/>
                <w:lang w:val="en-US" w:eastAsia="zh-CN" w:bidi="ar"/>
              </w:rPr>
              <w:t>。</w:t>
            </w:r>
            <w:r>
              <w:rPr>
                <w:rFonts w:hint="eastAsia"/>
                <w:lang w:val="en-US" w:eastAsia="zh-CN"/>
              </w:rPr>
              <w:t>拆解线涉及报废机动车拆解预处理、拆解加工、拆解产物分类收集储存和处置等</w:t>
            </w:r>
            <w:r>
              <w:rPr>
                <w:rFonts w:hint="eastAsia" w:ascii="宋体" w:hAnsi="宋体" w:eastAsia="宋体" w:cs="宋体"/>
                <w:lang w:val="en-US" w:eastAsia="zh-CN"/>
              </w:rPr>
              <w:t>，</w:t>
            </w:r>
            <w:r>
              <w:rPr>
                <w:rFonts w:hint="eastAsia"/>
                <w:lang w:val="en-US" w:eastAsia="zh-CN"/>
              </w:rPr>
              <w:t>不涉及</w:t>
            </w:r>
            <w:r>
              <w:rPr>
                <w:rFonts w:hint="eastAsia"/>
              </w:rPr>
              <w:t>发动机、方向机等部件的回收再造</w:t>
            </w:r>
            <w:r>
              <w:rPr>
                <w:rFonts w:hint="eastAsia" w:ascii="宋体" w:hAnsi="宋体" w:eastAsia="宋体" w:cs="宋体"/>
                <w:lang w:eastAsia="zh-CN"/>
              </w:rPr>
              <w:t>，</w:t>
            </w:r>
            <w:r>
              <w:rPr>
                <w:rFonts w:hint="eastAsia"/>
                <w:lang w:val="en-US" w:eastAsia="zh-CN"/>
              </w:rPr>
              <w:t>不涉及废电池、废油加工处理</w:t>
            </w:r>
            <w:r>
              <w:rPr>
                <w:rFonts w:hint="eastAsia" w:ascii="宋体" w:hAnsi="宋体" w:eastAsia="宋体" w:cs="宋体"/>
                <w:lang w:eastAsia="zh-CN"/>
              </w:rPr>
              <w:t>，</w:t>
            </w:r>
            <w:r>
              <w:rPr>
                <w:rFonts w:hint="eastAsia"/>
                <w:lang w:val="en-US" w:eastAsia="zh-CN"/>
              </w:rPr>
              <w:t>不涉及深度处理和危险废物处理</w:t>
            </w:r>
            <w:r>
              <w:rPr>
                <w:rFonts w:hint="eastAsia" w:ascii="宋体" w:hAnsi="宋体" w:eastAsia="宋体" w:cs="宋体"/>
                <w:lang w:val="en-US" w:eastAsia="zh-CN"/>
              </w:rPr>
              <w:t>，</w:t>
            </w:r>
            <w:r>
              <w:rPr>
                <w:rFonts w:hint="eastAsia"/>
              </w:rPr>
              <w:t>不接收槽罐车、危险化学品运输车等特殊装备车辆</w:t>
            </w:r>
            <w:r>
              <w:rPr>
                <w:rFonts w:hint="eastAsia" w:ascii="宋体" w:hAnsi="宋体" w:eastAsia="宋体" w:cs="宋体"/>
                <w:lang w:val="en-US" w:eastAsia="zh-CN"/>
              </w:rPr>
              <w:t>。</w:t>
            </w:r>
          </w:p>
          <w:p>
            <w:pPr>
              <w:pStyle w:val="25"/>
              <w:bidi w:val="0"/>
              <w:jc w:val="left"/>
              <w:rPr>
                <w:rFonts w:hint="eastAsia"/>
                <w:lang w:val="en-US" w:eastAsia="zh-CN"/>
              </w:rPr>
            </w:pPr>
            <w:r>
              <w:rPr>
                <w:rFonts w:hint="eastAsia"/>
                <w:lang w:val="en-US" w:eastAsia="zh-CN"/>
              </w:rPr>
              <w:t>因本项目不涉及废电池、废油加工处理</w:t>
            </w:r>
            <w:r>
              <w:rPr>
                <w:rFonts w:hint="eastAsia" w:ascii="宋体" w:hAnsi="宋体" w:eastAsia="宋体" w:cs="宋体"/>
                <w:lang w:val="en-US" w:eastAsia="zh-CN"/>
              </w:rPr>
              <w:t>，</w:t>
            </w:r>
            <w:r>
              <w:rPr>
                <w:rFonts w:hint="eastAsia"/>
                <w:lang w:val="en-US" w:eastAsia="zh-CN"/>
              </w:rPr>
              <w:t>结合《建设项目环境影响评价分类管理名录》（2021年版）内容</w:t>
            </w:r>
            <w:r>
              <w:rPr>
                <w:rFonts w:hint="eastAsia" w:ascii="宋体" w:hAnsi="宋体" w:eastAsia="宋体" w:cs="宋体"/>
                <w:lang w:val="en-US" w:eastAsia="zh-CN"/>
              </w:rPr>
              <w:t>，</w:t>
            </w:r>
            <w:r>
              <w:rPr>
                <w:rFonts w:hint="eastAsia"/>
                <w:lang w:val="en-US" w:eastAsia="zh-CN"/>
              </w:rPr>
              <w:t>本项目属于</w:t>
            </w:r>
            <w:r>
              <w:rPr>
                <w:rFonts w:hint="eastAsia" w:ascii="宋体" w:hAnsi="宋体" w:eastAsia="宋体" w:cs="宋体"/>
                <w:lang w:val="en-US" w:eastAsia="zh-CN"/>
              </w:rPr>
              <w:t>“</w:t>
            </w:r>
            <w:r>
              <w:rPr>
                <w:rFonts w:hint="eastAsia"/>
                <w:lang w:val="en-US" w:eastAsia="zh-CN"/>
              </w:rPr>
              <w:t>三十九、废弃资源综合利用业42</w:t>
            </w:r>
            <w:r>
              <w:rPr>
                <w:rFonts w:hint="eastAsia" w:ascii="宋体" w:hAnsi="宋体" w:eastAsia="宋体" w:cs="宋体"/>
                <w:lang w:val="en-US" w:eastAsia="zh-CN"/>
              </w:rPr>
              <w:t>”</w:t>
            </w:r>
            <w:r>
              <w:rPr>
                <w:rFonts w:hint="eastAsia"/>
                <w:lang w:val="en-US" w:eastAsia="zh-CN"/>
              </w:rPr>
              <w:t>-</w:t>
            </w:r>
            <w:r>
              <w:rPr>
                <w:rFonts w:hint="eastAsia" w:ascii="宋体" w:hAnsi="宋体" w:eastAsia="宋体" w:cs="宋体"/>
                <w:lang w:val="en-US" w:eastAsia="zh-CN"/>
              </w:rPr>
              <w:t>“</w:t>
            </w:r>
            <w:r>
              <w:rPr>
                <w:rFonts w:hint="eastAsia"/>
                <w:lang w:val="en-US" w:eastAsia="zh-CN"/>
              </w:rPr>
              <w:t>金属废料和碎屑加工处理421</w:t>
            </w:r>
            <w:r>
              <w:rPr>
                <w:rFonts w:hint="eastAsia" w:ascii="宋体" w:hAnsi="宋体" w:eastAsia="宋体" w:cs="宋体"/>
                <w:lang w:val="en-US" w:eastAsia="zh-CN"/>
              </w:rPr>
              <w:t>；</w:t>
            </w:r>
            <w:r>
              <w:rPr>
                <w:rFonts w:hint="eastAsia"/>
                <w:lang w:val="en-US" w:eastAsia="zh-CN"/>
              </w:rPr>
              <w:t>非金属废料和碎屑加工处理422（421和422均不含原料为危险废物的</w:t>
            </w:r>
            <w:r>
              <w:rPr>
                <w:rFonts w:hint="eastAsia" w:ascii="宋体" w:hAnsi="宋体" w:eastAsia="宋体" w:cs="宋体"/>
                <w:lang w:val="en-US" w:eastAsia="zh-CN"/>
              </w:rPr>
              <w:t>，</w:t>
            </w:r>
            <w:r>
              <w:rPr>
                <w:rFonts w:hint="eastAsia"/>
                <w:lang w:val="en-US" w:eastAsia="zh-CN"/>
              </w:rPr>
              <w:t>均不含仅分拣、破碎的）- 废弃电器电子产品、</w:t>
            </w:r>
            <w:r>
              <w:rPr>
                <w:rFonts w:hint="eastAsia"/>
                <w:b/>
                <w:bCs/>
                <w:lang w:val="en-US" w:eastAsia="zh-CN"/>
              </w:rPr>
              <w:t>废机动车</w:t>
            </w:r>
            <w:r>
              <w:rPr>
                <w:rFonts w:hint="eastAsia"/>
                <w:lang w:val="en-US" w:eastAsia="zh-CN"/>
              </w:rPr>
              <w:t>、废电机、废电线电缆、废钢、废铁、金属和金属化合物矿灰及残渣、有色金属废料与碎屑、废塑料、废轮胎、废船、含水洗工艺的其他废料和碎屑加工处理（农业生产产生的废旧秧盘、薄膜破碎和清洗工艺的除外）</w:t>
            </w:r>
            <w:r>
              <w:rPr>
                <w:rFonts w:hint="eastAsia" w:ascii="宋体" w:hAnsi="宋体" w:eastAsia="宋体" w:cs="宋体"/>
                <w:lang w:val="en-US" w:eastAsia="zh-CN"/>
              </w:rPr>
              <w:t>”，</w:t>
            </w:r>
            <w:r>
              <w:rPr>
                <w:rFonts w:hint="eastAsia"/>
                <w:lang w:val="en-US" w:eastAsia="zh-CN"/>
              </w:rPr>
              <w:t>应编制环境影响报告表</w:t>
            </w:r>
            <w:r>
              <w:rPr>
                <w:rFonts w:hint="eastAsia" w:ascii="宋体" w:hAnsi="宋体" w:eastAsia="宋体" w:cs="宋体"/>
                <w:lang w:val="en-US" w:eastAsia="zh-CN"/>
              </w:rPr>
              <w:t>。</w:t>
            </w:r>
          </w:p>
          <w:p>
            <w:pPr>
              <w:pStyle w:val="25"/>
              <w:bidi w:val="0"/>
              <w:jc w:val="left"/>
              <w:rPr>
                <w:rFonts w:hint="default"/>
                <w:lang w:val="en-US" w:eastAsia="zh-CN"/>
              </w:rPr>
            </w:pPr>
            <w:r>
              <w:rPr>
                <w:rFonts w:hint="eastAsia" w:ascii="宋体" w:hAnsi="宋体" w:eastAsia="宋体" w:cs="宋体"/>
                <w:lang w:val="en-US" w:eastAsia="zh-CN"/>
              </w:rPr>
              <w:t>湖南省鑫汇鑫环保科技有限公司</w:t>
            </w:r>
            <w:r>
              <w:rPr>
                <w:rFonts w:hint="eastAsia"/>
                <w:lang w:val="en-US" w:eastAsia="zh-CN"/>
              </w:rPr>
              <w:t>委托湖南中晟绿景环保科技有限公司承担项目的环境影响评价工作</w:t>
            </w:r>
            <w:r>
              <w:rPr>
                <w:rFonts w:hint="eastAsia" w:ascii="宋体" w:hAnsi="宋体" w:eastAsia="宋体" w:cs="宋体"/>
                <w:lang w:val="en-US" w:eastAsia="zh-CN"/>
              </w:rPr>
              <w:t>。</w:t>
            </w:r>
            <w:r>
              <w:rPr>
                <w:rFonts w:hint="eastAsia"/>
                <w:lang w:val="en-US" w:eastAsia="zh-CN"/>
              </w:rPr>
              <w:t>接受委托后</w:t>
            </w:r>
            <w:r>
              <w:rPr>
                <w:rFonts w:hint="eastAsia" w:ascii="宋体" w:hAnsi="宋体" w:eastAsia="宋体" w:cs="宋体"/>
                <w:lang w:val="en-US" w:eastAsia="zh-CN"/>
              </w:rPr>
              <w:t>，</w:t>
            </w:r>
            <w:r>
              <w:rPr>
                <w:rFonts w:hint="eastAsia"/>
                <w:lang w:val="en-US" w:eastAsia="zh-CN"/>
              </w:rPr>
              <w:t>环评单位立即组织技术人员进行现场调查及资料收集</w:t>
            </w:r>
            <w:r>
              <w:rPr>
                <w:rFonts w:hint="eastAsia" w:ascii="宋体" w:hAnsi="宋体" w:eastAsia="宋体" w:cs="宋体"/>
                <w:lang w:val="en-US" w:eastAsia="zh-CN"/>
              </w:rPr>
              <w:t>，</w:t>
            </w:r>
            <w:r>
              <w:rPr>
                <w:rFonts w:hint="eastAsia"/>
                <w:lang w:val="en-US" w:eastAsia="zh-CN"/>
              </w:rPr>
              <w:t>在完成工程分析和环境影响因素识别的基础上</w:t>
            </w:r>
            <w:r>
              <w:rPr>
                <w:rFonts w:hint="eastAsia" w:ascii="宋体" w:hAnsi="宋体" w:eastAsia="宋体" w:cs="宋体"/>
                <w:lang w:val="en-US" w:eastAsia="zh-CN"/>
              </w:rPr>
              <w:t>，</w:t>
            </w:r>
            <w:r>
              <w:rPr>
                <w:rFonts w:hint="eastAsia"/>
                <w:lang w:val="en-US" w:eastAsia="zh-CN"/>
              </w:rPr>
              <w:t>按照有关法律法规及技术规范要求编制完成《湖南省鑫汇鑫环保科技有限公司报废汽车拆解再回收项目环境影响报告表》</w:t>
            </w:r>
            <w:r>
              <w:rPr>
                <w:rFonts w:hint="eastAsia" w:ascii="宋体" w:hAnsi="宋体" w:eastAsia="宋体" w:cs="宋体"/>
                <w:lang w:val="en-US" w:eastAsia="zh-CN"/>
              </w:rPr>
              <w:t>。</w:t>
            </w:r>
          </w:p>
          <w:p>
            <w:pPr>
              <w:pStyle w:val="15"/>
              <w:keepNext w:val="0"/>
              <w:keepLines w:val="0"/>
              <w:pageBreakBefore w:val="0"/>
              <w:widowControl/>
              <w:numPr>
                <w:ilvl w:val="0"/>
                <w:numId w:val="3"/>
              </w:numPr>
              <w:kinsoku/>
              <w:wordWrap/>
              <w:overflowPunct/>
              <w:topLinePunct w:val="0"/>
              <w:autoSpaceDE/>
              <w:autoSpaceDN/>
              <w:bidi w:val="0"/>
              <w:adjustRightInd/>
              <w:snapToGrid/>
              <w:spacing w:before="0" w:beforeAutospacing="0" w:after="0" w:afterAutospacing="0" w:line="360" w:lineRule="auto"/>
              <w:ind w:firstLine="482" w:firstLineChars="200"/>
              <w:jc w:val="both"/>
              <w:textAlignment w:val="auto"/>
              <w:outlineLvl w:val="0"/>
              <w:rPr>
                <w:rFonts w:hint="eastAsia" w:ascii="Times New Roman" w:hAnsi="Times New Roman" w:eastAsia="宋体" w:cs="Times New Roman"/>
                <w:b/>
                <w:bCs/>
                <w:kern w:val="2"/>
                <w:sz w:val="24"/>
                <w:szCs w:val="28"/>
                <w:lang w:val="en-US" w:eastAsia="zh-CN" w:bidi="ar-SA"/>
              </w:rPr>
            </w:pPr>
            <w:r>
              <w:rPr>
                <w:rFonts w:hint="eastAsia" w:ascii="Times New Roman" w:hAnsi="Times New Roman" w:cs="Times New Roman"/>
                <w:b/>
                <w:bCs/>
                <w:kern w:val="2"/>
                <w:sz w:val="24"/>
                <w:szCs w:val="28"/>
                <w:lang w:val="en-US" w:eastAsia="zh-CN" w:bidi="ar-SA"/>
              </w:rPr>
              <w:t>建设内容</w:t>
            </w:r>
          </w:p>
          <w:p>
            <w:pPr>
              <w:keepNext w:val="0"/>
              <w:keepLines w:val="0"/>
              <w:widowControl/>
              <w:suppressLineNumbers w:val="0"/>
              <w:spacing w:line="360" w:lineRule="auto"/>
              <w:jc w:val="left"/>
              <w:rPr>
                <w:rFonts w:hint="default" w:ascii="Times New Roman" w:hAnsi="Times New Roman" w:eastAsia="宋体" w:cs="Times New Roman"/>
                <w:kern w:val="2"/>
                <w:sz w:val="24"/>
                <w:szCs w:val="28"/>
                <w:lang w:val="en-US" w:eastAsia="zh-CN" w:bidi="ar-SA"/>
              </w:rPr>
            </w:pPr>
            <w:r>
              <w:rPr>
                <w:rFonts w:hint="eastAsia" w:ascii="Times New Roman" w:hAnsi="Times New Roman" w:eastAsia="宋体" w:cs="Times New Roman"/>
                <w:b/>
                <w:bCs/>
                <w:kern w:val="2"/>
                <w:sz w:val="24"/>
                <w:szCs w:val="28"/>
                <w:lang w:val="en-US" w:eastAsia="zh-CN" w:bidi="ar-SA"/>
              </w:rPr>
              <w:t xml:space="preserve">  </w:t>
            </w:r>
            <w:r>
              <w:rPr>
                <w:rFonts w:hint="default" w:ascii="Times New Roman" w:hAnsi="Times New Roman" w:eastAsia="宋体" w:cs="Times New Roman"/>
                <w:kern w:val="2"/>
                <w:sz w:val="24"/>
                <w:szCs w:val="28"/>
                <w:lang w:val="en-US" w:eastAsia="zh-CN" w:bidi="ar-SA"/>
              </w:rPr>
              <w:t>本项目总占地面积 10</w:t>
            </w:r>
            <w:r>
              <w:rPr>
                <w:rFonts w:hint="eastAsia" w:ascii="Times New Roman" w:hAnsi="Times New Roman" w:cs="Times New Roman"/>
                <w:kern w:val="2"/>
                <w:sz w:val="24"/>
                <w:szCs w:val="28"/>
                <w:lang w:val="en-US" w:eastAsia="zh-CN" w:bidi="ar-SA"/>
              </w:rPr>
              <w:t>666.72</w:t>
            </w:r>
            <w:r>
              <w:rPr>
                <w:rFonts w:hint="default" w:ascii="Times New Roman" w:hAnsi="Times New Roman" w:eastAsia="宋体" w:cs="Times New Roman"/>
                <w:kern w:val="2"/>
                <w:sz w:val="24"/>
                <w:szCs w:val="28"/>
                <w:lang w:val="en-US" w:eastAsia="zh-CN" w:bidi="ar-SA"/>
              </w:rPr>
              <w:t>m</w:t>
            </w:r>
            <w:r>
              <w:rPr>
                <w:rFonts w:hint="default" w:ascii="Times New Roman" w:hAnsi="Times New Roman" w:eastAsia="宋体" w:cs="Times New Roman"/>
                <w:kern w:val="2"/>
                <w:sz w:val="24"/>
                <w:szCs w:val="28"/>
                <w:vertAlign w:val="superscript"/>
                <w:lang w:val="en-US" w:eastAsia="zh-CN" w:bidi="ar-SA"/>
              </w:rPr>
              <w:t>2</w:t>
            </w:r>
            <w:r>
              <w:rPr>
                <w:rFonts w:hint="default" w:ascii="Times New Roman" w:hAnsi="Times New Roman" w:eastAsia="宋体" w:cs="Times New Roman"/>
                <w:kern w:val="2"/>
                <w:sz w:val="24"/>
                <w:szCs w:val="28"/>
                <w:lang w:val="en-US" w:eastAsia="zh-CN" w:bidi="ar-SA"/>
              </w:rPr>
              <w:t xml:space="preserve"> ，生产规模为年拆解报废</w:t>
            </w:r>
            <w:r>
              <w:rPr>
                <w:rFonts w:hint="eastAsia" w:cs="Times New Roman"/>
                <w:kern w:val="2"/>
                <w:sz w:val="24"/>
                <w:szCs w:val="28"/>
                <w:lang w:val="en-US" w:eastAsia="zh-CN" w:bidi="ar-SA"/>
              </w:rPr>
              <w:t>机动车</w:t>
            </w:r>
            <w:r>
              <w:rPr>
                <w:rFonts w:hint="default" w:ascii="Times New Roman" w:hAnsi="Times New Roman" w:eastAsia="宋体" w:cs="Times New Roman"/>
                <w:kern w:val="2"/>
                <w:sz w:val="24"/>
                <w:szCs w:val="28"/>
                <w:lang w:val="en-US" w:eastAsia="zh-CN" w:bidi="ar-SA"/>
              </w:rPr>
              <w:t xml:space="preserve"> 10000 辆，项目主要建设内容包括拆解车间 1 栋（包括动力蓄电池拆卸区）、车辆暂存区、办公室</w:t>
            </w:r>
            <w:r>
              <w:rPr>
                <w:rFonts w:hint="eastAsia" w:ascii="Times New Roman" w:hAnsi="Times New Roman" w:cs="Times New Roman"/>
                <w:kern w:val="2"/>
                <w:sz w:val="24"/>
                <w:szCs w:val="28"/>
                <w:lang w:val="en-US" w:eastAsia="zh-CN" w:bidi="ar-SA"/>
              </w:rPr>
              <w:t>及</w:t>
            </w:r>
            <w:r>
              <w:rPr>
                <w:rFonts w:hint="default" w:ascii="Times New Roman" w:hAnsi="Times New Roman" w:eastAsia="宋体" w:cs="Times New Roman"/>
                <w:kern w:val="2"/>
                <w:sz w:val="24"/>
                <w:szCs w:val="28"/>
                <w:lang w:val="en-US" w:eastAsia="zh-CN" w:bidi="ar-SA"/>
              </w:rPr>
              <w:t>员工宿舍</w:t>
            </w:r>
            <w:r>
              <w:rPr>
                <w:rFonts w:hint="eastAsia" w:ascii="Times New Roman" w:hAnsi="Times New Roman" w:cs="Times New Roman"/>
                <w:kern w:val="2"/>
                <w:sz w:val="24"/>
                <w:szCs w:val="28"/>
                <w:lang w:val="en-US" w:eastAsia="zh-CN" w:bidi="ar-SA"/>
              </w:rPr>
              <w:t>、固废暂存间和危废暂存间</w:t>
            </w:r>
            <w:r>
              <w:rPr>
                <w:rFonts w:hint="default" w:ascii="Times New Roman" w:hAnsi="Times New Roman" w:eastAsia="宋体" w:cs="Times New Roman"/>
                <w:kern w:val="2"/>
                <w:sz w:val="24"/>
                <w:szCs w:val="28"/>
                <w:lang w:val="en-US" w:eastAsia="zh-CN" w:bidi="ar-SA"/>
              </w:rPr>
              <w:t>等，项目工程组成内容见下表 2-1。</w:t>
            </w:r>
          </w:p>
          <w:p>
            <w:pPr>
              <w:pStyle w:val="27"/>
              <w:bidi w:val="0"/>
              <w:spacing w:line="240" w:lineRule="auto"/>
              <w:rPr>
                <w:rFonts w:hint="eastAsia"/>
                <w:lang w:val="en-US" w:eastAsia="zh-CN"/>
              </w:rPr>
            </w:pPr>
            <w:r>
              <w:rPr>
                <w:rFonts w:hint="eastAsia"/>
                <w:lang w:val="en-US" w:eastAsia="zh-CN"/>
              </w:rPr>
              <w:t>表2-1 项目建设内容</w:t>
            </w:r>
          </w:p>
          <w:tbl>
            <w:tblPr>
              <w:tblStyle w:val="19"/>
              <w:tblW w:w="4998"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661"/>
              <w:gridCol w:w="426"/>
              <w:gridCol w:w="2033"/>
              <w:gridCol w:w="4134"/>
              <w:gridCol w:w="79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2" w:type="pct"/>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工程名称</w:t>
                  </w:r>
                </w:p>
              </w:tc>
              <w:tc>
                <w:tcPr>
                  <w:tcW w:w="1493" w:type="pct"/>
                  <w:gridSpan w:val="2"/>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建设内容</w:t>
                  </w:r>
                </w:p>
              </w:tc>
              <w:tc>
                <w:tcPr>
                  <w:tcW w:w="2578" w:type="pct"/>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建设规模</w:t>
                  </w:r>
                </w:p>
              </w:tc>
              <w:tc>
                <w:tcPr>
                  <w:tcW w:w="505" w:type="pct"/>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备注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2" w:type="pct"/>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主体工程</w:t>
                  </w:r>
                </w:p>
              </w:tc>
              <w:tc>
                <w:tcPr>
                  <w:tcW w:w="1493" w:type="pct"/>
                  <w:gridSpan w:val="2"/>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汽车拆解厂房</w:t>
                  </w:r>
                </w:p>
              </w:tc>
              <w:tc>
                <w:tcPr>
                  <w:tcW w:w="2578" w:type="pct"/>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vertAlign w:val="baseline"/>
                      <w:lang w:val="en-US" w:eastAsia="zh-CN"/>
                    </w:rPr>
                  </w:pPr>
                  <w:r>
                    <w:rPr>
                      <w:rFonts w:hint="eastAsia" w:ascii="Times New Roman" w:hAnsi="Times New Roman" w:eastAsia="宋体" w:cs="Times New Roman"/>
                      <w:sz w:val="21"/>
                      <w:szCs w:val="21"/>
                      <w:lang w:val="en-US" w:eastAsia="zh-CN"/>
                    </w:rPr>
                    <w:t>1栋1层，占地3300m</w:t>
                  </w:r>
                  <w:r>
                    <w:rPr>
                      <w:rFonts w:hint="eastAsia" w:ascii="Times New Roman" w:hAnsi="Times New Roman" w:eastAsia="宋体" w:cs="Times New Roman"/>
                      <w:sz w:val="21"/>
                      <w:szCs w:val="21"/>
                      <w:vertAlign w:val="superscript"/>
                      <w:lang w:val="en-US" w:eastAsia="zh-CN"/>
                    </w:rPr>
                    <w:t>2</w:t>
                  </w:r>
                  <w:r>
                    <w:rPr>
                      <w:rFonts w:hint="eastAsia" w:ascii="Times New Roman" w:hAnsi="Times New Roman" w:eastAsia="宋体" w:cs="Times New Roman"/>
                      <w:sz w:val="21"/>
                      <w:szCs w:val="21"/>
                      <w:vertAlign w:val="baseline"/>
                      <w:lang w:val="en-US" w:eastAsia="zh-CN"/>
                    </w:rPr>
                    <w:t>，轻钢结构</w:t>
                  </w:r>
                  <w:r>
                    <w:rPr>
                      <w:rFonts w:hint="eastAsia" w:cs="Times New Roman"/>
                      <w:sz w:val="21"/>
                      <w:szCs w:val="21"/>
                      <w:vertAlign w:val="baseline"/>
                      <w:lang w:val="en-US" w:eastAsia="zh-CN"/>
                    </w:rPr>
                    <w:t>，地面硬化处理，内设燃油车预处理区、燃油车拆解区、新能源电车预处理区、新能源电车拆解区、安全气囊引爆室、打包区、剪切区、废钢暂存区、新能源电车贮存区。</w:t>
                  </w:r>
                </w:p>
              </w:tc>
              <w:tc>
                <w:tcPr>
                  <w:tcW w:w="505" w:type="pct"/>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新建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2" w:type="pct"/>
                  <w:vMerge w:val="restart"/>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辅助工程</w:t>
                  </w:r>
                </w:p>
              </w:tc>
              <w:tc>
                <w:tcPr>
                  <w:tcW w:w="1493" w:type="pct"/>
                  <w:gridSpan w:val="2"/>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办公楼</w:t>
                  </w:r>
                </w:p>
              </w:tc>
              <w:tc>
                <w:tcPr>
                  <w:tcW w:w="2578" w:type="pct"/>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1座，3F，砖混结构</w:t>
                  </w:r>
                  <w:r>
                    <w:rPr>
                      <w:rFonts w:hint="eastAsia" w:cs="Times New Roman"/>
                      <w:sz w:val="21"/>
                      <w:szCs w:val="21"/>
                      <w:lang w:val="en-US" w:eastAsia="zh-CN"/>
                    </w:rPr>
                    <w:t>地面均硬化处理；</w:t>
                  </w:r>
                  <w:r>
                    <w:rPr>
                      <w:rFonts w:hint="default" w:ascii="Times New Roman" w:hAnsi="Times New Roman" w:eastAsia="宋体" w:cs="Times New Roman"/>
                      <w:sz w:val="21"/>
                      <w:szCs w:val="21"/>
                      <w:lang w:val="en-US" w:eastAsia="zh-CN"/>
                    </w:rPr>
                    <w:t>总面积 2747.52m</w:t>
                  </w:r>
                  <w:r>
                    <w:rPr>
                      <w:rFonts w:hint="default" w:ascii="Times New Roman" w:hAnsi="Times New Roman" w:eastAsia="宋体" w:cs="Times New Roman"/>
                      <w:sz w:val="21"/>
                      <w:szCs w:val="21"/>
                      <w:vertAlign w:val="superscript"/>
                      <w:lang w:val="en-US" w:eastAsia="zh-CN"/>
                    </w:rPr>
                    <w:t>2</w:t>
                  </w:r>
                  <w:r>
                    <w:rPr>
                      <w:rFonts w:hint="default" w:ascii="Times New Roman" w:hAnsi="Times New Roman" w:eastAsia="宋体" w:cs="Times New Roman"/>
                      <w:sz w:val="21"/>
                      <w:szCs w:val="21"/>
                      <w:lang w:val="en-US" w:eastAsia="zh-CN"/>
                    </w:rPr>
                    <w:t>，其中</w:t>
                  </w:r>
                  <w:r>
                    <w:rPr>
                      <w:rFonts w:hint="eastAsia" w:cs="Times New Roman"/>
                      <w:sz w:val="21"/>
                      <w:szCs w:val="21"/>
                      <w:lang w:val="en-US" w:eastAsia="zh-CN"/>
                    </w:rPr>
                    <w:t>一楼</w:t>
                  </w:r>
                  <w:r>
                    <w:rPr>
                      <w:rFonts w:hint="default" w:ascii="Times New Roman" w:hAnsi="Times New Roman" w:eastAsia="宋体" w:cs="Times New Roman"/>
                      <w:sz w:val="21"/>
                      <w:szCs w:val="21"/>
                      <w:lang w:val="en-US" w:eastAsia="zh-CN"/>
                    </w:rPr>
                    <w:t>总面积 947.52m</w:t>
                  </w:r>
                  <w:r>
                    <w:rPr>
                      <w:rFonts w:hint="eastAsia" w:cs="Times New Roman"/>
                      <w:sz w:val="21"/>
                      <w:szCs w:val="21"/>
                      <w:vertAlign w:val="superscript"/>
                      <w:lang w:val="en-US" w:eastAsia="zh-CN"/>
                    </w:rPr>
                    <w:t>2</w:t>
                  </w:r>
                  <w:r>
                    <w:rPr>
                      <w:rFonts w:hint="eastAsia" w:cs="Times New Roman"/>
                      <w:sz w:val="21"/>
                      <w:szCs w:val="21"/>
                      <w:lang w:val="en-US" w:eastAsia="zh-CN"/>
                    </w:rPr>
                    <w:t>，</w:t>
                  </w:r>
                  <w:r>
                    <w:rPr>
                      <w:rFonts w:hint="default" w:ascii="Times New Roman" w:hAnsi="Times New Roman" w:eastAsia="宋体" w:cs="Times New Roman"/>
                      <w:sz w:val="21"/>
                      <w:szCs w:val="21"/>
                      <w:lang w:val="en-US" w:eastAsia="zh-CN"/>
                    </w:rPr>
                    <w:t xml:space="preserve">内设一间办证大厅，面积 </w:t>
                  </w:r>
                  <w:r>
                    <w:rPr>
                      <w:rFonts w:hint="eastAsia" w:cs="Times New Roman"/>
                      <w:sz w:val="21"/>
                      <w:szCs w:val="21"/>
                      <w:lang w:val="en-US" w:eastAsia="zh-CN"/>
                    </w:rPr>
                    <w:t>80</w:t>
                  </w:r>
                  <w:r>
                    <w:rPr>
                      <w:rFonts w:hint="default" w:ascii="Times New Roman" w:hAnsi="Times New Roman" w:eastAsia="宋体" w:cs="Times New Roman"/>
                      <w:sz w:val="21"/>
                      <w:szCs w:val="21"/>
                      <w:lang w:val="en-US" w:eastAsia="zh-CN"/>
                    </w:rPr>
                    <w:t>m</w:t>
                  </w:r>
                  <w:r>
                    <w:rPr>
                      <w:rFonts w:hint="eastAsia" w:cs="Times New Roman"/>
                      <w:sz w:val="21"/>
                      <w:szCs w:val="21"/>
                      <w:vertAlign w:val="superscript"/>
                      <w:lang w:val="en-US" w:eastAsia="zh-CN"/>
                    </w:rPr>
                    <w:t>2</w:t>
                  </w:r>
                  <w:r>
                    <w:rPr>
                      <w:rFonts w:hint="eastAsia" w:cs="Times New Roman"/>
                      <w:sz w:val="21"/>
                      <w:szCs w:val="21"/>
                      <w:vertAlign w:val="baseline"/>
                      <w:lang w:val="en-US" w:eastAsia="zh-CN"/>
                    </w:rPr>
                    <w:t>，</w:t>
                  </w:r>
                  <w:r>
                    <w:rPr>
                      <w:rFonts w:hint="eastAsia" w:cs="Times New Roman"/>
                      <w:sz w:val="21"/>
                      <w:szCs w:val="21"/>
                      <w:lang w:val="en-US" w:eastAsia="zh-CN"/>
                    </w:rPr>
                    <w:t>3</w:t>
                  </w:r>
                  <w:r>
                    <w:rPr>
                      <w:rFonts w:hint="default" w:ascii="Times New Roman" w:hAnsi="Times New Roman" w:eastAsia="宋体" w:cs="Times New Roman"/>
                      <w:sz w:val="21"/>
                      <w:szCs w:val="21"/>
                      <w:lang w:val="en-US" w:eastAsia="zh-CN"/>
                    </w:rPr>
                    <w:t>间办公室</w:t>
                  </w:r>
                  <w:r>
                    <w:rPr>
                      <w:rFonts w:hint="eastAsia" w:cs="Times New Roman"/>
                      <w:sz w:val="21"/>
                      <w:szCs w:val="21"/>
                      <w:lang w:val="en-US" w:eastAsia="zh-CN"/>
                    </w:rPr>
                    <w:t>，面积60</w:t>
                  </w:r>
                  <w:r>
                    <w:rPr>
                      <w:rFonts w:hint="default" w:ascii="Times New Roman" w:hAnsi="Times New Roman" w:eastAsia="宋体" w:cs="Times New Roman"/>
                      <w:sz w:val="21"/>
                      <w:szCs w:val="21"/>
                      <w:lang w:val="en-US" w:eastAsia="zh-CN"/>
                    </w:rPr>
                    <w:t>m</w:t>
                  </w:r>
                  <w:r>
                    <w:rPr>
                      <w:rFonts w:hint="default" w:ascii="Times New Roman" w:hAnsi="Times New Roman" w:eastAsia="宋体" w:cs="Times New Roman"/>
                      <w:sz w:val="21"/>
                      <w:szCs w:val="21"/>
                      <w:vertAlign w:val="superscript"/>
                      <w:lang w:val="en-US" w:eastAsia="zh-CN"/>
                    </w:rPr>
                    <w:t>2</w:t>
                  </w:r>
                  <w:r>
                    <w:rPr>
                      <w:rFonts w:hint="eastAsia" w:cs="Times New Roman"/>
                      <w:sz w:val="21"/>
                      <w:szCs w:val="21"/>
                      <w:vertAlign w:val="baseline"/>
                      <w:lang w:val="en-US" w:eastAsia="zh-CN"/>
                    </w:rPr>
                    <w:t>，1间食堂，面积40</w:t>
                  </w:r>
                  <w:r>
                    <w:rPr>
                      <w:rFonts w:hint="default" w:ascii="Times New Roman" w:hAnsi="Times New Roman" w:eastAsia="宋体" w:cs="Times New Roman"/>
                      <w:sz w:val="21"/>
                      <w:szCs w:val="21"/>
                      <w:lang w:val="en-US" w:eastAsia="zh-CN"/>
                    </w:rPr>
                    <w:t>m</w:t>
                  </w:r>
                  <w:r>
                    <w:rPr>
                      <w:rFonts w:hint="default" w:ascii="Times New Roman" w:hAnsi="Times New Roman" w:eastAsia="宋体" w:cs="Times New Roman"/>
                      <w:sz w:val="21"/>
                      <w:szCs w:val="21"/>
                      <w:vertAlign w:val="superscript"/>
                      <w:lang w:val="en-US" w:eastAsia="zh-CN"/>
                    </w:rPr>
                    <w:t>2</w:t>
                  </w:r>
                  <w:r>
                    <w:rPr>
                      <w:rFonts w:hint="default" w:ascii="Times New Roman" w:hAnsi="Times New Roman" w:eastAsia="宋体" w:cs="Times New Roman"/>
                      <w:sz w:val="21"/>
                      <w:szCs w:val="21"/>
                      <w:lang w:val="en-US" w:eastAsia="zh-CN"/>
                    </w:rPr>
                    <w:t>，其余用作成品贮存区，面积</w:t>
                  </w:r>
                  <w:r>
                    <w:rPr>
                      <w:rFonts w:hint="eastAsia" w:cs="Times New Roman"/>
                      <w:sz w:val="21"/>
                      <w:szCs w:val="21"/>
                      <w:lang w:val="en-US" w:eastAsia="zh-CN"/>
                    </w:rPr>
                    <w:t>767.52</w:t>
                  </w:r>
                  <w:r>
                    <w:rPr>
                      <w:rFonts w:hint="default" w:ascii="Times New Roman" w:hAnsi="Times New Roman" w:eastAsia="宋体" w:cs="Times New Roman"/>
                      <w:sz w:val="21"/>
                      <w:szCs w:val="21"/>
                      <w:lang w:val="en-US" w:eastAsia="zh-CN"/>
                    </w:rPr>
                    <w:t>m</w:t>
                  </w:r>
                  <w:r>
                    <w:rPr>
                      <w:rFonts w:hint="default" w:ascii="Times New Roman" w:hAnsi="Times New Roman" w:eastAsia="宋体" w:cs="Times New Roman"/>
                      <w:sz w:val="21"/>
                      <w:szCs w:val="21"/>
                      <w:vertAlign w:val="superscript"/>
                      <w:lang w:val="en-US" w:eastAsia="zh-CN"/>
                    </w:rPr>
                    <w:t>2</w:t>
                  </w:r>
                  <w:r>
                    <w:rPr>
                      <w:rFonts w:hint="default" w:ascii="Times New Roman" w:hAnsi="Times New Roman" w:eastAsia="宋体" w:cs="Times New Roman"/>
                      <w:sz w:val="21"/>
                      <w:szCs w:val="21"/>
                      <w:lang w:val="en-US" w:eastAsia="zh-CN"/>
                    </w:rPr>
                    <w:t>，二楼总面积 900m</w:t>
                  </w:r>
                  <w:r>
                    <w:rPr>
                      <w:rFonts w:hint="default" w:ascii="Times New Roman" w:hAnsi="Times New Roman" w:eastAsia="宋体" w:cs="Times New Roman"/>
                      <w:sz w:val="21"/>
                      <w:szCs w:val="21"/>
                      <w:vertAlign w:val="superscript"/>
                      <w:lang w:val="en-US" w:eastAsia="zh-CN"/>
                    </w:rPr>
                    <w:t>2</w:t>
                  </w:r>
                  <w:r>
                    <w:rPr>
                      <w:rFonts w:hint="default" w:ascii="Times New Roman" w:hAnsi="Times New Roman" w:eastAsia="宋体" w:cs="Times New Roman"/>
                      <w:sz w:val="21"/>
                      <w:szCs w:val="21"/>
                      <w:lang w:val="en-US" w:eastAsia="zh-CN"/>
                    </w:rPr>
                    <w:t>，均用作成品贮存区楼总面积 900m</w:t>
                  </w:r>
                  <w:r>
                    <w:rPr>
                      <w:rFonts w:hint="default" w:ascii="Times New Roman" w:hAnsi="Times New Roman" w:eastAsia="宋体" w:cs="Times New Roman"/>
                      <w:sz w:val="21"/>
                      <w:szCs w:val="21"/>
                      <w:vertAlign w:val="superscript"/>
                      <w:lang w:val="en-US" w:eastAsia="zh-CN"/>
                    </w:rPr>
                    <w:t>2</w:t>
                  </w:r>
                  <w:r>
                    <w:rPr>
                      <w:rFonts w:hint="default" w:ascii="Times New Roman" w:hAnsi="Times New Roman" w:eastAsia="宋体" w:cs="Times New Roman"/>
                      <w:sz w:val="21"/>
                      <w:szCs w:val="21"/>
                      <w:lang w:val="en-US" w:eastAsia="zh-CN"/>
                    </w:rPr>
                    <w:t>，</w:t>
                  </w:r>
                  <w:r>
                    <w:rPr>
                      <w:rFonts w:hint="eastAsia" w:cs="Times New Roman"/>
                      <w:sz w:val="21"/>
                      <w:szCs w:val="21"/>
                      <w:lang w:val="en-US" w:eastAsia="zh-CN"/>
                    </w:rPr>
                    <w:t>三</w:t>
                  </w:r>
                  <w:r>
                    <w:rPr>
                      <w:rFonts w:hint="default" w:ascii="Times New Roman" w:hAnsi="Times New Roman" w:eastAsia="宋体" w:cs="Times New Roman"/>
                      <w:sz w:val="21"/>
                      <w:szCs w:val="21"/>
                      <w:lang w:val="en-US" w:eastAsia="zh-CN"/>
                    </w:rPr>
                    <w:t>楼总面积 900m</w:t>
                  </w:r>
                  <w:r>
                    <w:rPr>
                      <w:rFonts w:hint="default" w:ascii="Times New Roman" w:hAnsi="Times New Roman" w:eastAsia="宋体" w:cs="Times New Roman"/>
                      <w:sz w:val="21"/>
                      <w:szCs w:val="21"/>
                      <w:vertAlign w:val="superscript"/>
                      <w:lang w:val="en-US" w:eastAsia="zh-CN"/>
                    </w:rPr>
                    <w:t>2</w:t>
                  </w:r>
                  <w:r>
                    <w:rPr>
                      <w:rFonts w:hint="default" w:ascii="Times New Roman" w:hAnsi="Times New Roman" w:eastAsia="宋体" w:cs="Times New Roman"/>
                      <w:sz w:val="21"/>
                      <w:szCs w:val="21"/>
                      <w:lang w:val="en-US" w:eastAsia="zh-CN"/>
                    </w:rPr>
                    <w:t>，内设食堂跟员工宿舍。</w:t>
                  </w:r>
                </w:p>
              </w:tc>
              <w:tc>
                <w:tcPr>
                  <w:tcW w:w="505" w:type="pct"/>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租用</w:t>
                  </w:r>
                  <w:r>
                    <w:rPr>
                      <w:rFonts w:hint="eastAsia" w:ascii="Times New Roman" w:hAnsi="Times New Roman" w:eastAsia="宋体" w:cs="Times New Roman"/>
                      <w:sz w:val="21"/>
                      <w:szCs w:val="21"/>
                      <w:lang w:val="en-US" w:eastAsia="zh-CN"/>
                    </w:rPr>
                    <w:t>现有</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2" w:type="pct"/>
                  <w:vMerge w:val="continue"/>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1493" w:type="pct"/>
                  <w:gridSpan w:val="2"/>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报废汽车堆存区</w:t>
                  </w:r>
                </w:p>
              </w:tc>
              <w:tc>
                <w:tcPr>
                  <w:tcW w:w="2578" w:type="pct"/>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位于拆解厂房外东南侧，主要用作摩托车和燃油汽车的堆放，占地面积1200</w:t>
                  </w:r>
                  <w:r>
                    <w:rPr>
                      <w:rFonts w:hint="default" w:ascii="Times New Roman" w:hAnsi="Times New Roman" w:eastAsia="宋体" w:cs="Times New Roman"/>
                      <w:sz w:val="21"/>
                      <w:szCs w:val="21"/>
                      <w:lang w:val="en-US" w:eastAsia="zh-CN"/>
                    </w:rPr>
                    <w:t>m</w:t>
                  </w:r>
                  <w:r>
                    <w:rPr>
                      <w:rFonts w:hint="default" w:ascii="Times New Roman" w:hAnsi="Times New Roman" w:eastAsia="宋体" w:cs="Times New Roman"/>
                      <w:sz w:val="21"/>
                      <w:szCs w:val="21"/>
                      <w:vertAlign w:val="superscript"/>
                      <w:lang w:val="en-US" w:eastAsia="zh-CN"/>
                    </w:rPr>
                    <w:t>2</w:t>
                  </w:r>
                  <w:r>
                    <w:rPr>
                      <w:rFonts w:hint="eastAsia" w:cs="Times New Roman"/>
                      <w:sz w:val="21"/>
                      <w:szCs w:val="21"/>
                      <w:vertAlign w:val="baseline"/>
                      <w:lang w:val="en-US" w:eastAsia="zh-CN"/>
                    </w:rPr>
                    <w:t>，露天堆放，地面均作水泥硬化和防渗处理</w:t>
                  </w:r>
                </w:p>
              </w:tc>
              <w:tc>
                <w:tcPr>
                  <w:tcW w:w="505" w:type="pct"/>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新建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2" w:type="pct"/>
                  <w:vMerge w:val="continue"/>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1493" w:type="pct"/>
                  <w:gridSpan w:val="2"/>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地磅</w:t>
                  </w:r>
                </w:p>
              </w:tc>
              <w:tc>
                <w:tcPr>
                  <w:tcW w:w="2578" w:type="pct"/>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w:t>
                  </w:r>
                  <w:r>
                    <w:rPr>
                      <w:rFonts w:hint="eastAsia" w:cs="Times New Roman"/>
                      <w:sz w:val="21"/>
                      <w:szCs w:val="21"/>
                      <w:lang w:val="en-US" w:eastAsia="zh-CN"/>
                    </w:rPr>
                    <w:t>个</w:t>
                  </w:r>
                  <w:r>
                    <w:rPr>
                      <w:rFonts w:hint="eastAsia" w:ascii="Times New Roman" w:hAnsi="Times New Roman" w:eastAsia="宋体" w:cs="Times New Roman"/>
                      <w:sz w:val="21"/>
                      <w:szCs w:val="21"/>
                      <w:lang w:val="en-US" w:eastAsia="zh-CN"/>
                    </w:rPr>
                    <w:t>，占地</w:t>
                  </w:r>
                  <w:r>
                    <w:rPr>
                      <w:rFonts w:hint="eastAsia" w:cs="Times New Roman"/>
                      <w:sz w:val="21"/>
                      <w:szCs w:val="21"/>
                      <w:lang w:val="en-US" w:eastAsia="zh-CN"/>
                    </w:rPr>
                    <w:t>50m</w:t>
                  </w:r>
                  <w:r>
                    <w:rPr>
                      <w:rFonts w:hint="eastAsia" w:cs="Times New Roman"/>
                      <w:sz w:val="21"/>
                      <w:szCs w:val="21"/>
                      <w:vertAlign w:val="superscript"/>
                      <w:lang w:val="en-US" w:eastAsia="zh-CN"/>
                    </w:rPr>
                    <w:t>2</w:t>
                  </w:r>
                  <w:r>
                    <w:rPr>
                      <w:rFonts w:hint="eastAsia" w:ascii="Times New Roman" w:hAnsi="Times New Roman" w:eastAsia="宋体" w:cs="Times New Roman"/>
                      <w:sz w:val="21"/>
                      <w:szCs w:val="21"/>
                      <w:lang w:val="en-US" w:eastAsia="zh-CN"/>
                    </w:rPr>
                    <w:t>，</w:t>
                  </w:r>
                  <w:r>
                    <w:rPr>
                      <w:rFonts w:hint="eastAsia" w:cs="Times New Roman"/>
                      <w:sz w:val="21"/>
                      <w:szCs w:val="21"/>
                      <w:lang w:val="en-US" w:eastAsia="zh-CN"/>
                    </w:rPr>
                    <w:t>用作汽车进出场过磅</w:t>
                  </w:r>
                </w:p>
              </w:tc>
              <w:tc>
                <w:tcPr>
                  <w:tcW w:w="505" w:type="pct"/>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新建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2" w:type="pct"/>
                  <w:vMerge w:val="continue"/>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1493" w:type="pct"/>
                  <w:gridSpan w:val="2"/>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地下设备房</w:t>
                  </w:r>
                </w:p>
              </w:tc>
              <w:tc>
                <w:tcPr>
                  <w:tcW w:w="2578" w:type="pct"/>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1间，位于地下，占地面积120m</w:t>
                  </w:r>
                  <w:r>
                    <w:rPr>
                      <w:rFonts w:hint="eastAsia" w:cs="Times New Roman"/>
                      <w:sz w:val="21"/>
                      <w:szCs w:val="21"/>
                      <w:vertAlign w:val="superscript"/>
                      <w:lang w:val="en-US" w:eastAsia="zh-CN"/>
                    </w:rPr>
                    <w:t>2</w:t>
                  </w:r>
                </w:p>
              </w:tc>
              <w:tc>
                <w:tcPr>
                  <w:tcW w:w="505"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新建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2" w:type="pct"/>
                  <w:vMerge w:val="restart"/>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公共工程</w:t>
                  </w:r>
                </w:p>
              </w:tc>
              <w:tc>
                <w:tcPr>
                  <w:tcW w:w="1493" w:type="pct"/>
                  <w:gridSpan w:val="2"/>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给水工程</w:t>
                  </w:r>
                </w:p>
              </w:tc>
              <w:tc>
                <w:tcPr>
                  <w:tcW w:w="2578" w:type="pct"/>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由市政供水管网提供</w:t>
                  </w:r>
                </w:p>
              </w:tc>
              <w:tc>
                <w:tcPr>
                  <w:tcW w:w="505" w:type="pct"/>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422" w:type="pct"/>
                  <w:vMerge w:val="continue"/>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1493" w:type="pct"/>
                  <w:gridSpan w:val="2"/>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排水工程</w:t>
                  </w:r>
                </w:p>
              </w:tc>
              <w:tc>
                <w:tcPr>
                  <w:tcW w:w="2578" w:type="pct"/>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雨污分流，初期雨水由初期雨水收集池收集，再由隔油沉淀池（气浮+油水分离器）处理后经市政污水管网排入归阳污水处理厂，拖把清洗废水通过管道排入厂区隔油沉淀池（气浮+油水分离器）内进行处理，和初期雨水一起经市政污水管网排入归阳污水处理厂，后期雨水在雨水排放口设切换阀，直接排入市政雨水管网</w:t>
                  </w:r>
                </w:p>
              </w:tc>
              <w:tc>
                <w:tcPr>
                  <w:tcW w:w="505" w:type="pct"/>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2" w:type="pct"/>
                  <w:vMerge w:val="continue"/>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1493" w:type="pct"/>
                  <w:gridSpan w:val="2"/>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供电工程</w:t>
                  </w:r>
                </w:p>
              </w:tc>
              <w:tc>
                <w:tcPr>
                  <w:tcW w:w="2578"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由市政电网提供</w:t>
                  </w:r>
                </w:p>
              </w:tc>
              <w:tc>
                <w:tcPr>
                  <w:tcW w:w="505" w:type="pct"/>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2" w:type="pct"/>
                  <w:vMerge w:val="restart"/>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环保工程</w:t>
                  </w:r>
                </w:p>
              </w:tc>
              <w:tc>
                <w:tcPr>
                  <w:tcW w:w="219" w:type="pct"/>
                  <w:vMerge w:val="restart"/>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废气</w:t>
                  </w:r>
                </w:p>
              </w:tc>
              <w:tc>
                <w:tcPr>
                  <w:tcW w:w="1274"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废油液抽取废气</w:t>
                  </w:r>
                </w:p>
              </w:tc>
              <w:tc>
                <w:tcPr>
                  <w:tcW w:w="2578"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在预处理过程中，首先使用专用设备对各类废油液、气体进行封闭抽取，抽取后采用封闭罐体进行储存，减少项目非甲烷总烃的排放，加强车间通风</w:t>
                  </w:r>
                </w:p>
              </w:tc>
              <w:tc>
                <w:tcPr>
                  <w:tcW w:w="505"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新建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2" w:type="pct"/>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219" w:type="pct"/>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1274" w:type="pct"/>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制冷剂回收过程</w:t>
                  </w:r>
                  <w:r>
                    <w:rPr>
                      <w:rFonts w:hint="eastAsia" w:cs="Times New Roman"/>
                      <w:sz w:val="21"/>
                      <w:szCs w:val="21"/>
                      <w:lang w:val="en-US" w:eastAsia="zh-CN"/>
                    </w:rPr>
                    <w:t>产生的废气</w:t>
                  </w:r>
                </w:p>
              </w:tc>
              <w:tc>
                <w:tcPr>
                  <w:tcW w:w="2578"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使用专用工具回收、密封储存管理、加强车间通风等措施</w:t>
                  </w:r>
                </w:p>
              </w:tc>
              <w:tc>
                <w:tcPr>
                  <w:tcW w:w="505"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新建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2" w:type="pct"/>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219" w:type="pct"/>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1274"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拆解粉尘、安全气囊引爆粉尘</w:t>
                  </w:r>
                </w:p>
              </w:tc>
              <w:tc>
                <w:tcPr>
                  <w:tcW w:w="2578"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设安全气囊引爆室，建设封闭式厂房</w:t>
                  </w:r>
                </w:p>
              </w:tc>
              <w:tc>
                <w:tcPr>
                  <w:tcW w:w="505"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新建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79" w:hRule="atLeast"/>
              </w:trPr>
              <w:tc>
                <w:tcPr>
                  <w:tcW w:w="422" w:type="pct"/>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219" w:type="pct"/>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1274"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切割打包粉尘</w:t>
                  </w:r>
                </w:p>
              </w:tc>
              <w:tc>
                <w:tcPr>
                  <w:tcW w:w="2578"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项目产生的切割粉尘经移动式烟尘净化器处理后车间内排放</w:t>
                  </w:r>
                </w:p>
              </w:tc>
              <w:tc>
                <w:tcPr>
                  <w:tcW w:w="505"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新建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2" w:type="pct"/>
                  <w:vMerge w:val="continue"/>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219" w:type="pct"/>
                  <w:vMerge w:val="restart"/>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废水</w:t>
                  </w:r>
                </w:p>
              </w:tc>
              <w:tc>
                <w:tcPr>
                  <w:tcW w:w="1274"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生活污水</w:t>
                  </w:r>
                </w:p>
              </w:tc>
              <w:tc>
                <w:tcPr>
                  <w:tcW w:w="2578" w:type="pct"/>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生活污水</w:t>
                  </w:r>
                  <w:r>
                    <w:rPr>
                      <w:rFonts w:hint="default" w:ascii="Times New Roman" w:hAnsi="Times New Roman" w:eastAsia="宋体" w:cs="Times New Roman"/>
                      <w:sz w:val="21"/>
                      <w:szCs w:val="21"/>
                      <w:lang w:val="en-US" w:eastAsia="zh-CN"/>
                    </w:rPr>
                    <w:t>经</w:t>
                  </w:r>
                  <w:r>
                    <w:rPr>
                      <w:rFonts w:hint="eastAsia" w:cs="Times New Roman"/>
                      <w:sz w:val="21"/>
                      <w:szCs w:val="21"/>
                      <w:lang w:val="en-US" w:eastAsia="zh-CN"/>
                    </w:rPr>
                    <w:t>化粪池、隔油池处理后经市政污水管网排入归阳污水处理厂。</w:t>
                  </w:r>
                </w:p>
              </w:tc>
              <w:tc>
                <w:tcPr>
                  <w:tcW w:w="505"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新建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2" w:type="pct"/>
                  <w:vMerge w:val="continue"/>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219" w:type="pct"/>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1274"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地面清洁废水</w:t>
                  </w:r>
                </w:p>
              </w:tc>
              <w:tc>
                <w:tcPr>
                  <w:tcW w:w="2578" w:type="pct"/>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拆解厂房主要使用拖把进行清洁，拖把在厂房内的清洗池进行清洗，拖把清洗废水通过管道排入厂区隔油沉淀池（气浮+油水分离器）内进行处理，和初期雨水一起经市政污水管网排入归阳污水处理厂</w:t>
                  </w:r>
                </w:p>
              </w:tc>
              <w:tc>
                <w:tcPr>
                  <w:tcW w:w="505"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新建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2" w:type="pct"/>
                  <w:vMerge w:val="continue"/>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219" w:type="pct"/>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1274"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初期雨水</w:t>
                  </w:r>
                </w:p>
              </w:tc>
              <w:tc>
                <w:tcPr>
                  <w:tcW w:w="2578" w:type="pct"/>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厂区初期雨水收集池收集，再经隔油沉淀池处理后，经市政污水管网排入归阳污水处理厂</w:t>
                  </w:r>
                </w:p>
              </w:tc>
              <w:tc>
                <w:tcPr>
                  <w:tcW w:w="505"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新建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2" w:type="pct"/>
                  <w:vMerge w:val="continue"/>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1493" w:type="pct"/>
                  <w:gridSpan w:val="2"/>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噪声</w:t>
                  </w:r>
                </w:p>
              </w:tc>
              <w:tc>
                <w:tcPr>
                  <w:tcW w:w="2578"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采用先进的低噪声设备，并加强防振、消声措施；对噪声设备进行合理布局，重视总平面布置</w:t>
                  </w:r>
                </w:p>
              </w:tc>
              <w:tc>
                <w:tcPr>
                  <w:tcW w:w="505"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新建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2" w:type="pct"/>
                  <w:vMerge w:val="continue"/>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1493" w:type="pct"/>
                  <w:gridSpan w:val="2"/>
                  <w:vMerge w:val="restart"/>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固体废物</w:t>
                  </w:r>
                </w:p>
              </w:tc>
              <w:tc>
                <w:tcPr>
                  <w:tcW w:w="2578"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一般固废可作为产品外售的收集于</w:t>
                  </w:r>
                  <w:r>
                    <w:rPr>
                      <w:rFonts w:hint="eastAsia" w:cs="Times New Roman"/>
                      <w:sz w:val="21"/>
                      <w:szCs w:val="21"/>
                      <w:lang w:val="en-US" w:eastAsia="zh-CN"/>
                    </w:rPr>
                    <w:t>综合楼一楼、二楼（成品贮存区总面积1667.52m</w:t>
                  </w:r>
                  <w:r>
                    <w:rPr>
                      <w:rFonts w:hint="eastAsia" w:cs="Times New Roman"/>
                      <w:sz w:val="21"/>
                      <w:szCs w:val="21"/>
                      <w:vertAlign w:val="superscript"/>
                      <w:lang w:val="en-US" w:eastAsia="zh-CN"/>
                    </w:rPr>
                    <w:t>2</w:t>
                  </w:r>
                  <w:r>
                    <w:rPr>
                      <w:rFonts w:hint="eastAsia" w:cs="Times New Roman"/>
                      <w:sz w:val="21"/>
                      <w:szCs w:val="21"/>
                      <w:vertAlign w:val="baseline"/>
                      <w:lang w:val="en-US" w:eastAsia="zh-CN"/>
                    </w:rPr>
                    <w:t>）</w:t>
                  </w:r>
                  <w:r>
                    <w:rPr>
                      <w:rFonts w:hint="eastAsia" w:ascii="Times New Roman" w:hAnsi="Times New Roman" w:eastAsia="宋体" w:cs="Times New Roman"/>
                      <w:sz w:val="21"/>
                      <w:szCs w:val="21"/>
                      <w:lang w:val="en-US" w:eastAsia="zh-CN"/>
                    </w:rPr>
                    <w:t>作为产品外售；不能利用的物资经分类收集暂存于一般固废暂存间</w:t>
                  </w:r>
                  <w:r>
                    <w:rPr>
                      <w:rFonts w:hint="eastAsia" w:cs="Times New Roman"/>
                      <w:sz w:val="21"/>
                      <w:szCs w:val="21"/>
                      <w:lang w:val="en-US" w:eastAsia="zh-CN"/>
                    </w:rPr>
                    <w:t>（占地面积约50m</w:t>
                  </w:r>
                  <w:r>
                    <w:rPr>
                      <w:rFonts w:hint="eastAsia" w:cs="Times New Roman"/>
                      <w:sz w:val="21"/>
                      <w:szCs w:val="21"/>
                      <w:vertAlign w:val="superscript"/>
                      <w:lang w:val="en-US" w:eastAsia="zh-CN"/>
                    </w:rPr>
                    <w:t>2</w:t>
                  </w:r>
                  <w:r>
                    <w:rPr>
                      <w:rFonts w:hint="eastAsia" w:cs="Times New Roman"/>
                      <w:sz w:val="21"/>
                      <w:szCs w:val="21"/>
                      <w:vertAlign w:val="baseline"/>
                      <w:lang w:val="en-US" w:eastAsia="zh-CN"/>
                    </w:rPr>
                    <w:t>）</w:t>
                  </w:r>
                  <w:r>
                    <w:rPr>
                      <w:rFonts w:hint="eastAsia" w:ascii="Times New Roman" w:hAnsi="Times New Roman" w:eastAsia="宋体" w:cs="Times New Roman"/>
                      <w:sz w:val="21"/>
                      <w:szCs w:val="21"/>
                      <w:lang w:val="en-US" w:eastAsia="zh-CN"/>
                    </w:rPr>
                    <w:t>，定期外售废品回收站</w:t>
                  </w:r>
                </w:p>
              </w:tc>
              <w:tc>
                <w:tcPr>
                  <w:tcW w:w="505"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新建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2" w:type="pct"/>
                  <w:vMerge w:val="continue"/>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1493" w:type="pct"/>
                  <w:gridSpan w:val="2"/>
                  <w:vMerge w:val="continue"/>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2578"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危险废物经分类收集暂存于现有危废暂存间（占地面积约</w:t>
                  </w:r>
                  <w:r>
                    <w:rPr>
                      <w:rFonts w:hint="eastAsia" w:cs="Times New Roman"/>
                      <w:sz w:val="21"/>
                      <w:szCs w:val="21"/>
                      <w:lang w:val="en-US" w:eastAsia="zh-CN"/>
                    </w:rPr>
                    <w:t>200</w:t>
                  </w:r>
                  <w:r>
                    <w:rPr>
                      <w:rFonts w:hint="eastAsia" w:ascii="Times New Roman" w:hAnsi="Times New Roman" w:eastAsia="宋体" w:cs="Times New Roman"/>
                      <w:sz w:val="21"/>
                      <w:szCs w:val="21"/>
                      <w:lang w:val="en-US" w:eastAsia="zh-CN"/>
                    </w:rPr>
                    <w:t>m</w:t>
                  </w:r>
                  <w:r>
                    <w:rPr>
                      <w:rFonts w:hint="eastAsia" w:ascii="Times New Roman" w:hAnsi="Times New Roman" w:eastAsia="宋体" w:cs="Times New Roman"/>
                      <w:sz w:val="21"/>
                      <w:szCs w:val="21"/>
                      <w:vertAlign w:val="superscript"/>
                      <w:lang w:val="en-US" w:eastAsia="zh-CN"/>
                    </w:rPr>
                    <w:t>2</w:t>
                  </w:r>
                  <w:r>
                    <w:rPr>
                      <w:rFonts w:hint="eastAsia" w:ascii="Times New Roman" w:hAnsi="Times New Roman" w:eastAsia="宋体" w:cs="Times New Roman"/>
                      <w:sz w:val="21"/>
                      <w:szCs w:val="21"/>
                      <w:lang w:val="en-US" w:eastAsia="zh-CN"/>
                    </w:rPr>
                    <w:t>），定期交由有资质的单位进行处置</w:t>
                  </w:r>
                </w:p>
              </w:tc>
              <w:tc>
                <w:tcPr>
                  <w:tcW w:w="505"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新建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2" w:type="pct"/>
                  <w:vMerge w:val="continue"/>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1493" w:type="pct"/>
                  <w:gridSpan w:val="2"/>
                  <w:vMerge w:val="continue"/>
                  <w:tcBorders>
                    <w:tl2br w:val="nil"/>
                    <w:tr2bl w:val="nil"/>
                  </w:tcBorders>
                  <w:noWrap w:val="0"/>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2578"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生活垃圾：集中收集至垃圾桶，由环卫部门清运</w:t>
                  </w:r>
                </w:p>
              </w:tc>
              <w:tc>
                <w:tcPr>
                  <w:tcW w:w="505" w:type="pct"/>
                  <w:tcBorders>
                    <w:tl2br w:val="nil"/>
                    <w:tr2bl w:val="nil"/>
                  </w:tcBorders>
                  <w:noWrap w:val="0"/>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新建</w:t>
                  </w:r>
                </w:p>
              </w:tc>
            </w:tr>
          </w:tbl>
          <w:p>
            <w:pPr>
              <w:pStyle w:val="27"/>
              <w:bidi w:val="0"/>
              <w:spacing w:line="240" w:lineRule="auto"/>
              <w:rPr>
                <w:rFonts w:hint="default"/>
                <w:lang w:val="en-US" w:eastAsia="zh-CN"/>
              </w:rPr>
            </w:pPr>
            <w:r>
              <w:rPr>
                <w:rFonts w:hint="eastAsia"/>
                <w:lang w:val="en-US" w:eastAsia="zh-CN"/>
              </w:rPr>
              <w:t>表2-2  工程主要经济技术指标一览表</w:t>
            </w:r>
          </w:p>
          <w:tbl>
            <w:tblPr>
              <w:tblStyle w:val="18"/>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554"/>
              <w:gridCol w:w="1825"/>
              <w:gridCol w:w="1449"/>
              <w:gridCol w:w="1449"/>
              <w:gridCol w:w="277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344" w:type="pct"/>
                  <w:tcBorders>
                    <w:tl2br w:val="nil"/>
                    <w:tr2bl w:val="nil"/>
                  </w:tcBorders>
                  <w:shd w:val="clear" w:color="auto" w:fill="auto"/>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序号</w:t>
                  </w:r>
                </w:p>
              </w:tc>
              <w:tc>
                <w:tcPr>
                  <w:tcW w:w="1133" w:type="pct"/>
                  <w:tcBorders>
                    <w:tl2br w:val="nil"/>
                    <w:tr2bl w:val="nil"/>
                  </w:tcBorders>
                  <w:shd w:val="clear" w:color="auto" w:fill="auto"/>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指标名称</w:t>
                  </w:r>
                </w:p>
              </w:tc>
              <w:tc>
                <w:tcPr>
                  <w:tcW w:w="900" w:type="pct"/>
                  <w:tcBorders>
                    <w:tl2br w:val="nil"/>
                    <w:tr2bl w:val="nil"/>
                  </w:tcBorders>
                  <w:shd w:val="clear" w:color="auto" w:fill="auto"/>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单位</w:t>
                  </w:r>
                </w:p>
              </w:tc>
              <w:tc>
                <w:tcPr>
                  <w:tcW w:w="900" w:type="pct"/>
                  <w:tcBorders>
                    <w:tl2br w:val="nil"/>
                    <w:tr2bl w:val="nil"/>
                  </w:tcBorders>
                  <w:shd w:val="clear" w:color="auto" w:fill="auto"/>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数量</w:t>
                  </w:r>
                </w:p>
              </w:tc>
              <w:tc>
                <w:tcPr>
                  <w:tcW w:w="1721" w:type="pct"/>
                  <w:tcBorders>
                    <w:tl2br w:val="nil"/>
                    <w:tr2bl w:val="nil"/>
                  </w:tcBorders>
                  <w:shd w:val="clear" w:color="auto" w:fill="auto"/>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备注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344" w:type="pct"/>
                  <w:tcBorders>
                    <w:tl2br w:val="nil"/>
                    <w:tr2bl w:val="nil"/>
                  </w:tcBorders>
                  <w:shd w:val="clear" w:color="auto" w:fill="auto"/>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w:t>
                  </w:r>
                </w:p>
              </w:tc>
              <w:tc>
                <w:tcPr>
                  <w:tcW w:w="1133" w:type="pct"/>
                  <w:tcBorders>
                    <w:tl2br w:val="nil"/>
                    <w:tr2bl w:val="nil"/>
                  </w:tcBorders>
                  <w:shd w:val="clear" w:color="auto" w:fill="auto"/>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报废汽车拆解规模</w:t>
                  </w:r>
                </w:p>
              </w:tc>
              <w:tc>
                <w:tcPr>
                  <w:tcW w:w="900" w:type="pct"/>
                  <w:tcBorders>
                    <w:tl2br w:val="nil"/>
                    <w:tr2bl w:val="nil"/>
                  </w:tcBorders>
                  <w:shd w:val="clear" w:color="auto" w:fill="auto"/>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辆/年</w:t>
                  </w:r>
                </w:p>
              </w:tc>
              <w:tc>
                <w:tcPr>
                  <w:tcW w:w="900" w:type="pct"/>
                  <w:tcBorders>
                    <w:tl2br w:val="nil"/>
                    <w:tr2bl w:val="nil"/>
                  </w:tcBorders>
                  <w:shd w:val="clear" w:color="auto" w:fill="auto"/>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10000</w:t>
                  </w:r>
                </w:p>
              </w:tc>
              <w:tc>
                <w:tcPr>
                  <w:tcW w:w="1721" w:type="pct"/>
                  <w:tcBorders>
                    <w:tl2br w:val="nil"/>
                    <w:tr2bl w:val="nil"/>
                  </w:tcBorders>
                  <w:shd w:val="clear" w:color="auto" w:fill="auto"/>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燃油小型汽车5000</w:t>
                  </w:r>
                  <w:r>
                    <w:rPr>
                      <w:rFonts w:hint="eastAsia" w:ascii="Times New Roman" w:hAnsi="Times New Roman" w:eastAsia="宋体" w:cs="Times New Roman"/>
                      <w:sz w:val="21"/>
                      <w:szCs w:val="21"/>
                      <w:lang w:val="en-US" w:eastAsia="zh-CN"/>
                    </w:rPr>
                    <w:t>辆/年</w:t>
                  </w:r>
                  <w:r>
                    <w:rPr>
                      <w:rFonts w:hint="eastAsia" w:cs="Times New Roman"/>
                      <w:sz w:val="21"/>
                      <w:szCs w:val="21"/>
                      <w:lang w:val="en-US" w:eastAsia="zh-CN"/>
                    </w:rPr>
                    <w:t>、燃油中大型汽车1000</w:t>
                  </w:r>
                  <w:r>
                    <w:rPr>
                      <w:rFonts w:hint="eastAsia" w:ascii="Times New Roman" w:hAnsi="Times New Roman" w:eastAsia="宋体" w:cs="Times New Roman"/>
                      <w:sz w:val="21"/>
                      <w:szCs w:val="21"/>
                      <w:lang w:val="en-US" w:eastAsia="zh-CN"/>
                    </w:rPr>
                    <w:t>辆/年</w:t>
                  </w:r>
                  <w:r>
                    <w:rPr>
                      <w:rFonts w:hint="eastAsia" w:cs="Times New Roman"/>
                      <w:sz w:val="21"/>
                      <w:szCs w:val="21"/>
                      <w:lang w:val="en-US" w:eastAsia="zh-CN"/>
                    </w:rPr>
                    <w:t>、新能源电车1000</w:t>
                  </w:r>
                  <w:r>
                    <w:rPr>
                      <w:rFonts w:hint="eastAsia" w:ascii="Times New Roman" w:hAnsi="Times New Roman" w:eastAsia="宋体" w:cs="Times New Roman"/>
                      <w:sz w:val="21"/>
                      <w:szCs w:val="21"/>
                      <w:lang w:val="en-US" w:eastAsia="zh-CN"/>
                    </w:rPr>
                    <w:t>辆/年</w:t>
                  </w:r>
                  <w:r>
                    <w:rPr>
                      <w:rFonts w:hint="eastAsia" w:cs="Times New Roman"/>
                      <w:sz w:val="21"/>
                      <w:szCs w:val="21"/>
                      <w:lang w:val="en-US" w:eastAsia="zh-CN"/>
                    </w:rPr>
                    <w:t>、摩托车2000</w:t>
                  </w:r>
                  <w:r>
                    <w:rPr>
                      <w:rFonts w:hint="eastAsia" w:ascii="Times New Roman" w:hAnsi="Times New Roman" w:eastAsia="宋体" w:cs="Times New Roman"/>
                      <w:sz w:val="21"/>
                      <w:szCs w:val="21"/>
                      <w:lang w:val="en-US" w:eastAsia="zh-CN"/>
                    </w:rPr>
                    <w:t>辆/年</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344" w:type="pct"/>
                  <w:tcBorders>
                    <w:tl2br w:val="nil"/>
                    <w:tr2bl w:val="nil"/>
                  </w:tcBorders>
                  <w:shd w:val="clear" w:color="auto" w:fill="auto"/>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w:t>
                  </w:r>
                </w:p>
              </w:tc>
              <w:tc>
                <w:tcPr>
                  <w:tcW w:w="1133" w:type="pct"/>
                  <w:tcBorders>
                    <w:tl2br w:val="nil"/>
                    <w:tr2bl w:val="nil"/>
                  </w:tcBorders>
                  <w:shd w:val="clear" w:color="auto" w:fill="auto"/>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年工作日</w:t>
                  </w:r>
                </w:p>
              </w:tc>
              <w:tc>
                <w:tcPr>
                  <w:tcW w:w="900" w:type="pct"/>
                  <w:tcBorders>
                    <w:tl2br w:val="nil"/>
                    <w:tr2bl w:val="nil"/>
                  </w:tcBorders>
                  <w:shd w:val="clear" w:color="auto" w:fill="auto"/>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天</w:t>
                  </w:r>
                </w:p>
              </w:tc>
              <w:tc>
                <w:tcPr>
                  <w:tcW w:w="900" w:type="pct"/>
                  <w:tcBorders>
                    <w:tl2br w:val="nil"/>
                    <w:tr2bl w:val="nil"/>
                  </w:tcBorders>
                  <w:shd w:val="clear" w:color="auto" w:fill="auto"/>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300</w:t>
                  </w:r>
                </w:p>
              </w:tc>
              <w:tc>
                <w:tcPr>
                  <w:tcW w:w="1721" w:type="pct"/>
                  <w:tcBorders>
                    <w:tl2br w:val="nil"/>
                    <w:tr2bl w:val="nil"/>
                  </w:tcBorders>
                  <w:shd w:val="clear" w:color="auto" w:fill="auto"/>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年工作2400小时</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344" w:type="pct"/>
                  <w:tcBorders>
                    <w:tl2br w:val="nil"/>
                    <w:tr2bl w:val="nil"/>
                  </w:tcBorders>
                  <w:shd w:val="clear" w:color="auto" w:fill="auto"/>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w:t>
                  </w:r>
                </w:p>
              </w:tc>
              <w:tc>
                <w:tcPr>
                  <w:tcW w:w="1133" w:type="pct"/>
                  <w:tcBorders>
                    <w:tl2br w:val="nil"/>
                    <w:tr2bl w:val="nil"/>
                  </w:tcBorders>
                  <w:shd w:val="clear" w:color="auto" w:fill="auto"/>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劳动定员</w:t>
                  </w:r>
                </w:p>
              </w:tc>
              <w:tc>
                <w:tcPr>
                  <w:tcW w:w="900" w:type="pct"/>
                  <w:tcBorders>
                    <w:tl2br w:val="nil"/>
                    <w:tr2bl w:val="nil"/>
                  </w:tcBorders>
                  <w:shd w:val="clear" w:color="auto" w:fill="auto"/>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人</w:t>
                  </w:r>
                </w:p>
              </w:tc>
              <w:tc>
                <w:tcPr>
                  <w:tcW w:w="900" w:type="pct"/>
                  <w:tcBorders>
                    <w:tl2br w:val="nil"/>
                    <w:tr2bl w:val="nil"/>
                  </w:tcBorders>
                  <w:shd w:val="clear" w:color="auto" w:fill="auto"/>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35</w:t>
                  </w:r>
                </w:p>
              </w:tc>
              <w:tc>
                <w:tcPr>
                  <w:tcW w:w="1721" w:type="pct"/>
                  <w:tcBorders>
                    <w:tl2br w:val="nil"/>
                    <w:tr2bl w:val="nil"/>
                  </w:tcBorders>
                  <w:shd w:val="clear" w:color="auto" w:fill="auto"/>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均在厂区内食宿</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344" w:type="pct"/>
                  <w:tcBorders>
                    <w:tl2br w:val="nil"/>
                    <w:tr2bl w:val="nil"/>
                  </w:tcBorders>
                  <w:shd w:val="clear" w:color="auto" w:fill="auto"/>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4</w:t>
                  </w:r>
                </w:p>
              </w:tc>
              <w:tc>
                <w:tcPr>
                  <w:tcW w:w="1133" w:type="pct"/>
                  <w:tcBorders>
                    <w:tl2br w:val="nil"/>
                    <w:tr2bl w:val="nil"/>
                  </w:tcBorders>
                  <w:shd w:val="clear" w:color="auto" w:fill="auto"/>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总用地面积</w:t>
                  </w:r>
                </w:p>
              </w:tc>
              <w:tc>
                <w:tcPr>
                  <w:tcW w:w="900" w:type="pct"/>
                  <w:tcBorders>
                    <w:tl2br w:val="nil"/>
                    <w:tr2bl w:val="nil"/>
                  </w:tcBorders>
                  <w:shd w:val="clear" w:color="auto" w:fill="auto"/>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m</w:t>
                  </w:r>
                  <w:r>
                    <w:rPr>
                      <w:rFonts w:hint="eastAsia" w:ascii="Times New Roman" w:hAnsi="Times New Roman" w:eastAsia="宋体" w:cs="Times New Roman"/>
                      <w:sz w:val="21"/>
                      <w:szCs w:val="21"/>
                      <w:vertAlign w:val="superscript"/>
                      <w:lang w:val="en-US" w:eastAsia="zh-CN"/>
                    </w:rPr>
                    <w:t>2</w:t>
                  </w:r>
                </w:p>
              </w:tc>
              <w:tc>
                <w:tcPr>
                  <w:tcW w:w="900" w:type="pct"/>
                  <w:tcBorders>
                    <w:tl2br w:val="nil"/>
                    <w:tr2bl w:val="nil"/>
                  </w:tcBorders>
                  <w:shd w:val="clear" w:color="auto" w:fill="auto"/>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10666.72</w:t>
                  </w:r>
                </w:p>
              </w:tc>
              <w:tc>
                <w:tcPr>
                  <w:tcW w:w="1721" w:type="pct"/>
                  <w:tcBorders>
                    <w:tl2br w:val="nil"/>
                    <w:tr2bl w:val="nil"/>
                  </w:tcBorders>
                  <w:shd w:val="clear" w:color="auto" w:fill="auto"/>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344" w:type="pct"/>
                  <w:tcBorders>
                    <w:tl2br w:val="nil"/>
                    <w:tr2bl w:val="nil"/>
                  </w:tcBorders>
                  <w:shd w:val="clear" w:color="auto" w:fill="auto"/>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5</w:t>
                  </w:r>
                </w:p>
              </w:tc>
              <w:tc>
                <w:tcPr>
                  <w:tcW w:w="1133" w:type="pct"/>
                  <w:tcBorders>
                    <w:tl2br w:val="nil"/>
                    <w:tr2bl w:val="nil"/>
                  </w:tcBorders>
                  <w:shd w:val="clear" w:color="auto" w:fill="auto"/>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作业场地面积</w:t>
                  </w:r>
                </w:p>
              </w:tc>
              <w:tc>
                <w:tcPr>
                  <w:tcW w:w="900" w:type="pct"/>
                  <w:tcBorders>
                    <w:tl2br w:val="nil"/>
                    <w:tr2bl w:val="nil"/>
                  </w:tcBorders>
                  <w:shd w:val="clear" w:color="auto" w:fill="auto"/>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m</w:t>
                  </w:r>
                  <w:r>
                    <w:rPr>
                      <w:rFonts w:hint="eastAsia" w:ascii="Times New Roman" w:hAnsi="Times New Roman" w:eastAsia="宋体" w:cs="Times New Roman"/>
                      <w:sz w:val="21"/>
                      <w:szCs w:val="21"/>
                      <w:vertAlign w:val="superscript"/>
                      <w:lang w:val="en-US" w:eastAsia="zh-CN"/>
                    </w:rPr>
                    <w:t>2</w:t>
                  </w:r>
                </w:p>
              </w:tc>
              <w:tc>
                <w:tcPr>
                  <w:tcW w:w="900" w:type="pct"/>
                  <w:tcBorders>
                    <w:tl2br w:val="nil"/>
                    <w:tr2bl w:val="nil"/>
                  </w:tcBorders>
                  <w:shd w:val="clear" w:color="auto" w:fill="auto"/>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6417.52</w:t>
                  </w:r>
                </w:p>
              </w:tc>
              <w:tc>
                <w:tcPr>
                  <w:tcW w:w="1721" w:type="pct"/>
                  <w:tcBorders>
                    <w:tl2br w:val="nil"/>
                    <w:tr2bl w:val="nil"/>
                  </w:tcBorders>
                  <w:shd w:val="clear" w:color="auto" w:fill="auto"/>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车间</w:t>
                  </w:r>
                  <w:r>
                    <w:rPr>
                      <w:rFonts w:hint="eastAsia" w:cs="Times New Roman"/>
                      <w:sz w:val="21"/>
                      <w:szCs w:val="21"/>
                      <w:lang w:val="en-US" w:eastAsia="zh-CN"/>
                    </w:rPr>
                    <w:t>3300</w:t>
                  </w:r>
                  <w:r>
                    <w:rPr>
                      <w:rFonts w:hint="eastAsia" w:ascii="Times New Roman" w:hAnsi="Times New Roman" w:eastAsia="宋体" w:cs="Times New Roman"/>
                      <w:sz w:val="21"/>
                      <w:szCs w:val="21"/>
                      <w:lang w:val="en-US" w:eastAsia="zh-CN"/>
                    </w:rPr>
                    <w:t>m</w:t>
                  </w:r>
                  <w:r>
                    <w:rPr>
                      <w:rFonts w:hint="eastAsia" w:ascii="Times New Roman" w:hAnsi="Times New Roman" w:eastAsia="宋体" w:cs="Times New Roman"/>
                      <w:sz w:val="21"/>
                      <w:szCs w:val="21"/>
                      <w:vertAlign w:val="superscript"/>
                      <w:lang w:val="en-US" w:eastAsia="zh-CN"/>
                    </w:rPr>
                    <w:t>2</w:t>
                  </w:r>
                  <w:r>
                    <w:rPr>
                      <w:rFonts w:hint="eastAsia" w:cs="Times New Roman"/>
                      <w:sz w:val="21"/>
                      <w:szCs w:val="21"/>
                      <w:vertAlign w:val="baseline"/>
                      <w:lang w:val="en-US" w:eastAsia="zh-CN"/>
                    </w:rPr>
                    <w:t>、成品贮存区1667.52</w:t>
                  </w:r>
                  <w:r>
                    <w:rPr>
                      <w:rFonts w:hint="eastAsia" w:ascii="Times New Roman" w:hAnsi="Times New Roman" w:eastAsia="宋体" w:cs="Times New Roman"/>
                      <w:sz w:val="21"/>
                      <w:szCs w:val="21"/>
                      <w:lang w:val="en-US" w:eastAsia="zh-CN"/>
                    </w:rPr>
                    <w:t>m</w:t>
                  </w:r>
                  <w:r>
                    <w:rPr>
                      <w:rFonts w:hint="eastAsia" w:ascii="Times New Roman" w:hAnsi="Times New Roman" w:eastAsia="宋体" w:cs="Times New Roman"/>
                      <w:sz w:val="21"/>
                      <w:szCs w:val="21"/>
                      <w:vertAlign w:val="superscript"/>
                      <w:lang w:val="en-US" w:eastAsia="zh-CN"/>
                    </w:rPr>
                    <w:t>2</w:t>
                  </w:r>
                  <w:r>
                    <w:rPr>
                      <w:rFonts w:hint="eastAsia" w:ascii="Times New Roman" w:hAnsi="Times New Roman" w:eastAsia="宋体" w:cs="Times New Roman"/>
                      <w:sz w:val="21"/>
                      <w:szCs w:val="21"/>
                      <w:lang w:val="en-US" w:eastAsia="zh-CN"/>
                    </w:rPr>
                    <w:t>、</w:t>
                  </w:r>
                  <w:r>
                    <w:rPr>
                      <w:rFonts w:hint="eastAsia" w:cs="Times New Roman"/>
                      <w:sz w:val="21"/>
                      <w:szCs w:val="21"/>
                      <w:lang w:val="en-US" w:eastAsia="zh-CN"/>
                    </w:rPr>
                    <w:t>汽车堆场1200</w:t>
                  </w:r>
                  <w:r>
                    <w:rPr>
                      <w:rFonts w:hint="eastAsia" w:ascii="Times New Roman" w:hAnsi="Times New Roman" w:eastAsia="宋体" w:cs="Times New Roman"/>
                      <w:sz w:val="21"/>
                      <w:szCs w:val="21"/>
                      <w:lang w:val="en-US" w:eastAsia="zh-CN"/>
                    </w:rPr>
                    <w:t>m</w:t>
                  </w:r>
                  <w:r>
                    <w:rPr>
                      <w:rFonts w:hint="eastAsia" w:ascii="Times New Roman" w:hAnsi="Times New Roman" w:eastAsia="宋体" w:cs="Times New Roman"/>
                      <w:sz w:val="21"/>
                      <w:szCs w:val="21"/>
                      <w:vertAlign w:val="superscript"/>
                      <w:lang w:val="en-US" w:eastAsia="zh-CN"/>
                    </w:rPr>
                    <w:t>2</w:t>
                  </w:r>
                  <w:r>
                    <w:rPr>
                      <w:rFonts w:hint="eastAsia" w:cs="Times New Roman"/>
                      <w:sz w:val="21"/>
                      <w:szCs w:val="21"/>
                      <w:vertAlign w:val="baseline"/>
                      <w:lang w:val="en-US" w:eastAsia="zh-CN"/>
                    </w:rPr>
                    <w:t>、一般固废暂存间50</w:t>
                  </w:r>
                  <w:r>
                    <w:rPr>
                      <w:rFonts w:hint="eastAsia" w:ascii="Times New Roman" w:hAnsi="Times New Roman" w:eastAsia="宋体" w:cs="Times New Roman"/>
                      <w:sz w:val="21"/>
                      <w:szCs w:val="21"/>
                      <w:lang w:val="en-US" w:eastAsia="zh-CN"/>
                    </w:rPr>
                    <w:t>m</w:t>
                  </w:r>
                  <w:r>
                    <w:rPr>
                      <w:rFonts w:hint="eastAsia" w:ascii="Times New Roman" w:hAnsi="Times New Roman" w:eastAsia="宋体" w:cs="Times New Roman"/>
                      <w:sz w:val="21"/>
                      <w:szCs w:val="21"/>
                      <w:vertAlign w:val="superscript"/>
                      <w:lang w:val="en-US" w:eastAsia="zh-CN"/>
                    </w:rPr>
                    <w:t>2</w:t>
                  </w:r>
                  <w:r>
                    <w:rPr>
                      <w:rFonts w:hint="eastAsia" w:cs="Times New Roman"/>
                      <w:sz w:val="21"/>
                      <w:szCs w:val="21"/>
                      <w:vertAlign w:val="baseline"/>
                      <w:lang w:val="en-US" w:eastAsia="zh-CN"/>
                    </w:rPr>
                    <w:t>、危废暂存间200</w:t>
                  </w:r>
                  <w:r>
                    <w:rPr>
                      <w:rFonts w:hint="eastAsia" w:ascii="Times New Roman" w:hAnsi="Times New Roman" w:eastAsia="宋体" w:cs="Times New Roman"/>
                      <w:sz w:val="21"/>
                      <w:szCs w:val="21"/>
                      <w:lang w:val="en-US" w:eastAsia="zh-CN"/>
                    </w:rPr>
                    <w:t>m</w:t>
                  </w:r>
                  <w:r>
                    <w:rPr>
                      <w:rFonts w:hint="eastAsia" w:ascii="Times New Roman" w:hAnsi="Times New Roman" w:eastAsia="宋体" w:cs="Times New Roman"/>
                      <w:sz w:val="21"/>
                      <w:szCs w:val="21"/>
                      <w:vertAlign w:val="superscript"/>
                      <w:lang w:val="en-US" w:eastAsia="zh-CN"/>
                    </w:rPr>
                    <w:t>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344" w:type="pct"/>
                  <w:tcBorders>
                    <w:tl2br w:val="nil"/>
                    <w:tr2bl w:val="nil"/>
                  </w:tcBorders>
                  <w:shd w:val="clear" w:color="auto" w:fill="auto"/>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6</w:t>
                  </w:r>
                </w:p>
              </w:tc>
              <w:tc>
                <w:tcPr>
                  <w:tcW w:w="1133" w:type="pct"/>
                  <w:tcBorders>
                    <w:tl2br w:val="nil"/>
                    <w:tr2bl w:val="nil"/>
                  </w:tcBorders>
                  <w:shd w:val="clear" w:color="auto" w:fill="auto"/>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总投资</w:t>
                  </w:r>
                </w:p>
              </w:tc>
              <w:tc>
                <w:tcPr>
                  <w:tcW w:w="900" w:type="pct"/>
                  <w:tcBorders>
                    <w:tl2br w:val="nil"/>
                    <w:tr2bl w:val="nil"/>
                  </w:tcBorders>
                  <w:shd w:val="clear" w:color="auto" w:fill="auto"/>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万元</w:t>
                  </w:r>
                </w:p>
              </w:tc>
              <w:tc>
                <w:tcPr>
                  <w:tcW w:w="900" w:type="pct"/>
                  <w:tcBorders>
                    <w:tl2br w:val="nil"/>
                    <w:tr2bl w:val="nil"/>
                  </w:tcBorders>
                  <w:shd w:val="clear" w:color="auto" w:fill="auto"/>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1000</w:t>
                  </w:r>
                </w:p>
              </w:tc>
              <w:tc>
                <w:tcPr>
                  <w:tcW w:w="1721" w:type="pct"/>
                  <w:tcBorders>
                    <w:tl2br w:val="nil"/>
                    <w:tr2bl w:val="nil"/>
                  </w:tcBorders>
                  <w:shd w:val="clear" w:color="auto" w:fill="auto"/>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w:t>
                  </w:r>
                </w:p>
              </w:tc>
            </w:tr>
          </w:tbl>
          <w:p>
            <w:pPr>
              <w:pStyle w:val="15"/>
              <w:keepNext w:val="0"/>
              <w:keepLines w:val="0"/>
              <w:pageBreakBefore w:val="0"/>
              <w:widowControl/>
              <w:numPr>
                <w:ilvl w:val="0"/>
                <w:numId w:val="3"/>
              </w:numPr>
              <w:kinsoku/>
              <w:wordWrap/>
              <w:overflowPunct/>
              <w:topLinePunct w:val="0"/>
              <w:autoSpaceDE/>
              <w:autoSpaceDN/>
              <w:bidi w:val="0"/>
              <w:adjustRightInd/>
              <w:snapToGrid/>
              <w:spacing w:before="0" w:beforeAutospacing="0" w:after="0" w:afterAutospacing="0" w:line="360" w:lineRule="auto"/>
              <w:ind w:firstLine="482" w:firstLineChars="200"/>
              <w:jc w:val="both"/>
              <w:textAlignment w:val="auto"/>
              <w:outlineLvl w:val="0"/>
              <w:rPr>
                <w:rFonts w:hint="eastAsia" w:ascii="Times New Roman" w:hAnsi="Times New Roman" w:eastAsia="宋体" w:cs="Times New Roman"/>
                <w:b/>
                <w:bCs/>
                <w:kern w:val="2"/>
                <w:sz w:val="24"/>
                <w:szCs w:val="28"/>
                <w:lang w:val="en-US" w:eastAsia="zh-CN" w:bidi="ar-SA"/>
              </w:rPr>
            </w:pPr>
            <w:r>
              <w:rPr>
                <w:rFonts w:hint="eastAsia" w:ascii="Times New Roman" w:hAnsi="Times New Roman" w:cs="Times New Roman"/>
                <w:b/>
                <w:bCs/>
                <w:kern w:val="2"/>
                <w:sz w:val="24"/>
                <w:szCs w:val="28"/>
                <w:lang w:val="en-US" w:eastAsia="zh-CN" w:bidi="ar-SA"/>
              </w:rPr>
              <w:t>主要产品及产能</w:t>
            </w:r>
          </w:p>
          <w:p>
            <w:pPr>
              <w:pStyle w:val="15"/>
              <w:keepNext w:val="0"/>
              <w:keepLines w:val="0"/>
              <w:pageBreakBefore w:val="0"/>
              <w:widowControl/>
              <w:numPr>
                <w:ilvl w:val="0"/>
                <w:numId w:val="0"/>
              </w:numPr>
              <w:kinsoku/>
              <w:wordWrap/>
              <w:overflowPunct/>
              <w:topLinePunct w:val="0"/>
              <w:autoSpaceDE/>
              <w:autoSpaceDN/>
              <w:bidi w:val="0"/>
              <w:adjustRightInd/>
              <w:snapToGrid/>
              <w:spacing w:before="0" w:beforeAutospacing="0" w:after="0" w:afterAutospacing="0" w:line="360" w:lineRule="auto"/>
              <w:ind w:firstLine="480" w:firstLineChars="200"/>
              <w:jc w:val="both"/>
              <w:textAlignment w:val="auto"/>
              <w:outlineLvl w:val="0"/>
              <w:rPr>
                <w:rFonts w:hint="default" w:ascii="Times New Roman" w:hAnsi="Times New Roman" w:eastAsia="宋体" w:cs="Times New Roman"/>
                <w:kern w:val="2"/>
                <w:sz w:val="24"/>
                <w:szCs w:val="28"/>
                <w:lang w:val="en-US" w:eastAsia="zh-CN" w:bidi="ar-SA"/>
              </w:rPr>
            </w:pPr>
            <w:r>
              <w:rPr>
                <w:rFonts w:hint="eastAsia" w:ascii="Times New Roman" w:hAnsi="Times New Roman" w:cs="Times New Roman"/>
                <w:kern w:val="2"/>
                <w:sz w:val="24"/>
                <w:szCs w:val="28"/>
                <w:lang w:val="en-US" w:eastAsia="zh-CN" w:bidi="ar-SA"/>
              </w:rPr>
              <w:t>（一）</w:t>
            </w:r>
            <w:r>
              <w:rPr>
                <w:rFonts w:hint="eastAsia" w:cs="Times New Roman"/>
                <w:b w:val="0"/>
                <w:bCs w:val="0"/>
                <w:color w:val="auto"/>
                <w:sz w:val="24"/>
                <w:szCs w:val="24"/>
                <w:u w:color="auto"/>
                <w:lang w:eastAsia="zh-CN"/>
              </w:rPr>
              <w:t>报废机动车拆解规模</w:t>
            </w:r>
          </w:p>
          <w:p>
            <w:pPr>
              <w:pStyle w:val="15"/>
              <w:keepNext w:val="0"/>
              <w:keepLines w:val="0"/>
              <w:pageBreakBefore w:val="0"/>
              <w:widowControl/>
              <w:numPr>
                <w:ilvl w:val="0"/>
                <w:numId w:val="0"/>
              </w:numPr>
              <w:kinsoku/>
              <w:wordWrap/>
              <w:overflowPunct/>
              <w:topLinePunct w:val="0"/>
              <w:autoSpaceDE/>
              <w:autoSpaceDN/>
              <w:bidi w:val="0"/>
              <w:adjustRightInd/>
              <w:snapToGrid/>
              <w:spacing w:before="0" w:beforeAutospacing="0" w:after="0" w:afterAutospacing="0" w:line="360" w:lineRule="auto"/>
              <w:ind w:firstLine="480" w:firstLineChars="200"/>
              <w:jc w:val="both"/>
              <w:textAlignment w:val="auto"/>
              <w:outlineLvl w:val="0"/>
              <w:rPr>
                <w:rFonts w:hint="eastAsia" w:ascii="Times New Roman" w:hAnsi="Times New Roman" w:eastAsia="宋体" w:cs="Times New Roman"/>
                <w:kern w:val="2"/>
                <w:sz w:val="24"/>
                <w:szCs w:val="28"/>
                <w:lang w:val="en-US" w:eastAsia="zh-CN" w:bidi="ar-SA"/>
              </w:rPr>
            </w:pPr>
            <w:r>
              <w:rPr>
                <w:rFonts w:hint="eastAsia" w:ascii="Times New Roman" w:hAnsi="Times New Roman" w:eastAsia="宋体" w:cs="Times New Roman"/>
                <w:kern w:val="2"/>
                <w:sz w:val="24"/>
                <w:szCs w:val="28"/>
                <w:lang w:val="en-US" w:eastAsia="zh-CN" w:bidi="ar-SA"/>
              </w:rPr>
              <w:t xml:space="preserve">项目生产规模为拆解废旧摩托车 </w:t>
            </w:r>
            <w:r>
              <w:rPr>
                <w:rFonts w:hint="eastAsia" w:ascii="Times New Roman" w:hAnsi="Times New Roman" w:cs="Times New Roman"/>
                <w:kern w:val="2"/>
                <w:sz w:val="24"/>
                <w:szCs w:val="28"/>
                <w:lang w:val="en-US" w:eastAsia="zh-CN" w:bidi="ar-SA"/>
              </w:rPr>
              <w:t>2000</w:t>
            </w:r>
            <w:r>
              <w:rPr>
                <w:rFonts w:hint="eastAsia" w:ascii="Times New Roman" w:hAnsi="Times New Roman" w:eastAsia="宋体" w:cs="Times New Roman"/>
                <w:kern w:val="2"/>
                <w:sz w:val="24"/>
                <w:szCs w:val="28"/>
                <w:lang w:val="en-US" w:eastAsia="zh-CN" w:bidi="ar-SA"/>
              </w:rPr>
              <w:t xml:space="preserve"> 辆/年、</w:t>
            </w:r>
            <w:r>
              <w:rPr>
                <w:rFonts w:hint="eastAsia" w:ascii="Times New Roman" w:hAnsi="Times New Roman" w:cs="Times New Roman"/>
                <w:kern w:val="2"/>
                <w:sz w:val="24"/>
                <w:szCs w:val="28"/>
                <w:lang w:val="en-US" w:eastAsia="zh-CN" w:bidi="ar-SA"/>
              </w:rPr>
              <w:t>燃油小型汽车</w:t>
            </w:r>
            <w:r>
              <w:rPr>
                <w:rFonts w:hint="eastAsia" w:ascii="Times New Roman" w:hAnsi="Times New Roman" w:eastAsia="宋体" w:cs="Times New Roman"/>
                <w:kern w:val="2"/>
                <w:sz w:val="24"/>
                <w:szCs w:val="28"/>
                <w:lang w:val="en-US" w:eastAsia="zh-CN" w:bidi="ar-SA"/>
              </w:rPr>
              <w:t xml:space="preserve"> </w:t>
            </w:r>
            <w:r>
              <w:rPr>
                <w:rFonts w:hint="eastAsia" w:ascii="Times New Roman" w:hAnsi="Times New Roman" w:cs="Times New Roman"/>
                <w:kern w:val="2"/>
                <w:sz w:val="24"/>
                <w:szCs w:val="28"/>
                <w:lang w:val="en-US" w:eastAsia="zh-CN" w:bidi="ar-SA"/>
              </w:rPr>
              <w:t>5</w:t>
            </w:r>
            <w:r>
              <w:rPr>
                <w:rFonts w:hint="eastAsia" w:ascii="Times New Roman" w:hAnsi="Times New Roman" w:eastAsia="宋体" w:cs="Times New Roman"/>
                <w:kern w:val="2"/>
                <w:sz w:val="24"/>
                <w:szCs w:val="28"/>
                <w:lang w:val="en-US" w:eastAsia="zh-CN" w:bidi="ar-SA"/>
              </w:rPr>
              <w:t>000 辆/年、</w:t>
            </w:r>
            <w:r>
              <w:rPr>
                <w:rFonts w:hint="eastAsia" w:ascii="Times New Roman" w:hAnsi="Times New Roman" w:cs="Times New Roman"/>
                <w:kern w:val="2"/>
                <w:sz w:val="24"/>
                <w:szCs w:val="28"/>
                <w:lang w:val="en-US" w:eastAsia="zh-CN" w:bidi="ar-SA"/>
              </w:rPr>
              <w:t>燃油大中型汽车</w:t>
            </w:r>
            <w:r>
              <w:rPr>
                <w:rFonts w:hint="eastAsia" w:ascii="Times New Roman" w:hAnsi="Times New Roman" w:eastAsia="宋体" w:cs="Times New Roman"/>
                <w:kern w:val="2"/>
                <w:sz w:val="24"/>
                <w:szCs w:val="28"/>
                <w:lang w:val="en-US" w:eastAsia="zh-CN" w:bidi="ar-SA"/>
              </w:rPr>
              <w:t xml:space="preserve"> </w:t>
            </w:r>
            <w:r>
              <w:rPr>
                <w:rFonts w:hint="eastAsia" w:ascii="Times New Roman" w:hAnsi="Times New Roman" w:cs="Times New Roman"/>
                <w:kern w:val="2"/>
                <w:sz w:val="24"/>
                <w:szCs w:val="28"/>
                <w:lang w:val="en-US" w:eastAsia="zh-CN" w:bidi="ar-SA"/>
              </w:rPr>
              <w:t>2</w:t>
            </w:r>
            <w:r>
              <w:rPr>
                <w:rFonts w:hint="eastAsia" w:ascii="Times New Roman" w:hAnsi="Times New Roman" w:eastAsia="宋体" w:cs="Times New Roman"/>
                <w:kern w:val="2"/>
                <w:sz w:val="24"/>
                <w:szCs w:val="28"/>
                <w:lang w:val="en-US" w:eastAsia="zh-CN" w:bidi="ar-SA"/>
              </w:rPr>
              <w:t xml:space="preserve">000 辆/年、 新能源汽车 </w:t>
            </w:r>
            <w:r>
              <w:rPr>
                <w:rFonts w:hint="eastAsia" w:ascii="Times New Roman" w:hAnsi="Times New Roman" w:cs="Times New Roman"/>
                <w:kern w:val="2"/>
                <w:sz w:val="24"/>
                <w:szCs w:val="28"/>
                <w:lang w:val="en-US" w:eastAsia="zh-CN" w:bidi="ar-SA"/>
              </w:rPr>
              <w:t>1</w:t>
            </w:r>
            <w:r>
              <w:rPr>
                <w:rFonts w:hint="eastAsia" w:ascii="Times New Roman" w:hAnsi="Times New Roman" w:eastAsia="宋体" w:cs="Times New Roman"/>
                <w:kern w:val="2"/>
                <w:sz w:val="24"/>
                <w:szCs w:val="28"/>
                <w:lang w:val="en-US" w:eastAsia="zh-CN" w:bidi="ar-SA"/>
              </w:rPr>
              <w:t xml:space="preserve">000 辆/年。 </w:t>
            </w:r>
          </w:p>
          <w:p>
            <w:pPr>
              <w:pStyle w:val="27"/>
              <w:bidi w:val="0"/>
              <w:spacing w:line="240" w:lineRule="auto"/>
              <w:rPr>
                <w:rFonts w:hint="eastAsia"/>
                <w:lang w:val="en-US" w:eastAsia="zh-CN"/>
              </w:rPr>
            </w:pPr>
            <w:r>
              <w:rPr>
                <w:rFonts w:hint="eastAsia"/>
                <w:lang w:val="en-US" w:eastAsia="zh-CN"/>
              </w:rPr>
              <w:t>表2-3  产品规模一览表</w:t>
            </w:r>
          </w:p>
          <w:tbl>
            <w:tblPr>
              <w:tblStyle w:val="18"/>
              <w:tblW w:w="4998" w:type="pct"/>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680"/>
              <w:gridCol w:w="1419"/>
              <w:gridCol w:w="1401"/>
              <w:gridCol w:w="1653"/>
              <w:gridCol w:w="1445"/>
              <w:gridCol w:w="1451"/>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1303" w:type="pct"/>
                  <w:gridSpan w:val="2"/>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类型</w:t>
                  </w:r>
                </w:p>
              </w:tc>
              <w:tc>
                <w:tcPr>
                  <w:tcW w:w="870"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数量（辆/a）</w:t>
                  </w:r>
                </w:p>
              </w:tc>
              <w:tc>
                <w:tcPr>
                  <w:tcW w:w="1026"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拆解量（t/a）</w:t>
                  </w:r>
                </w:p>
              </w:tc>
              <w:tc>
                <w:tcPr>
                  <w:tcW w:w="897"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厂区最大贮存量</w:t>
                  </w:r>
                </w:p>
              </w:tc>
              <w:tc>
                <w:tcPr>
                  <w:tcW w:w="901"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备注</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422" w:type="pct"/>
                  <w:vMerge w:val="restar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燃油汽车</w:t>
                  </w:r>
                </w:p>
              </w:tc>
              <w:tc>
                <w:tcPr>
                  <w:tcW w:w="881" w:type="pc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小型汽车</w:t>
                  </w:r>
                </w:p>
              </w:tc>
              <w:tc>
                <w:tcPr>
                  <w:tcW w:w="870" w:type="pc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5000</w:t>
                  </w:r>
                </w:p>
              </w:tc>
              <w:tc>
                <w:tcPr>
                  <w:tcW w:w="1026" w:type="pc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6500</w:t>
                  </w:r>
                </w:p>
              </w:tc>
              <w:tc>
                <w:tcPr>
                  <w:tcW w:w="897"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cs="Times New Roman"/>
                      <w:sz w:val="21"/>
                      <w:szCs w:val="21"/>
                      <w:lang w:val="en-US" w:eastAsia="zh-CN"/>
                    </w:rPr>
                    <w:t>4</w:t>
                  </w:r>
                  <w:r>
                    <w:rPr>
                      <w:rFonts w:hint="eastAsia" w:ascii="Times New Roman" w:hAnsi="Times New Roman" w:eastAsia="宋体" w:cs="Times New Roman"/>
                      <w:sz w:val="21"/>
                      <w:szCs w:val="21"/>
                      <w:lang w:val="en-US" w:eastAsia="zh-CN"/>
                    </w:rPr>
                    <w:t>00辆</w:t>
                  </w:r>
                </w:p>
              </w:tc>
              <w:tc>
                <w:tcPr>
                  <w:tcW w:w="901"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1.3t/辆</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422" w:type="pct"/>
                  <w:vMerge w:val="continue"/>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881" w:type="pc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大中型汽车</w:t>
                  </w:r>
                </w:p>
              </w:tc>
              <w:tc>
                <w:tcPr>
                  <w:tcW w:w="870" w:type="pc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2000</w:t>
                  </w:r>
                </w:p>
              </w:tc>
              <w:tc>
                <w:tcPr>
                  <w:tcW w:w="1026" w:type="pc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10600</w:t>
                  </w:r>
                </w:p>
              </w:tc>
              <w:tc>
                <w:tcPr>
                  <w:tcW w:w="897"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cs="Times New Roman"/>
                      <w:sz w:val="21"/>
                      <w:szCs w:val="21"/>
                      <w:lang w:val="en-US" w:eastAsia="zh-CN"/>
                    </w:rPr>
                    <w:t>1</w:t>
                  </w:r>
                  <w:r>
                    <w:rPr>
                      <w:rFonts w:hint="eastAsia" w:ascii="Times New Roman" w:hAnsi="Times New Roman" w:eastAsia="宋体" w:cs="Times New Roman"/>
                      <w:sz w:val="21"/>
                      <w:szCs w:val="21"/>
                      <w:lang w:val="en-US" w:eastAsia="zh-CN"/>
                    </w:rPr>
                    <w:t>0辆</w:t>
                  </w:r>
                </w:p>
              </w:tc>
              <w:tc>
                <w:tcPr>
                  <w:tcW w:w="901"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5.3t/辆</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1303" w:type="pct"/>
                  <w:gridSpan w:val="2"/>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新能源</w:t>
                  </w:r>
                  <w:r>
                    <w:rPr>
                      <w:rFonts w:hint="eastAsia" w:cs="Times New Roman"/>
                      <w:sz w:val="21"/>
                      <w:szCs w:val="21"/>
                      <w:lang w:val="en-US" w:eastAsia="zh-CN"/>
                    </w:rPr>
                    <w:t>电</w:t>
                  </w:r>
                  <w:r>
                    <w:rPr>
                      <w:rFonts w:hint="eastAsia" w:ascii="Times New Roman" w:hAnsi="Times New Roman" w:eastAsia="宋体" w:cs="Times New Roman"/>
                      <w:sz w:val="21"/>
                      <w:szCs w:val="21"/>
                      <w:lang w:val="en-US" w:eastAsia="zh-CN"/>
                    </w:rPr>
                    <w:t>车</w:t>
                  </w:r>
                </w:p>
              </w:tc>
              <w:tc>
                <w:tcPr>
                  <w:tcW w:w="870" w:type="pc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1000</w:t>
                  </w:r>
                </w:p>
              </w:tc>
              <w:tc>
                <w:tcPr>
                  <w:tcW w:w="1026" w:type="pc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1300</w:t>
                  </w:r>
                </w:p>
              </w:tc>
              <w:tc>
                <w:tcPr>
                  <w:tcW w:w="897"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cs="Times New Roman"/>
                      <w:sz w:val="21"/>
                      <w:szCs w:val="21"/>
                      <w:lang w:val="en-US" w:eastAsia="zh-CN"/>
                    </w:rPr>
                    <w:t>2</w:t>
                  </w:r>
                  <w:r>
                    <w:rPr>
                      <w:rFonts w:hint="eastAsia" w:ascii="Times New Roman" w:hAnsi="Times New Roman" w:eastAsia="宋体" w:cs="Times New Roman"/>
                      <w:sz w:val="21"/>
                      <w:szCs w:val="21"/>
                      <w:lang w:val="en-US" w:eastAsia="zh-CN"/>
                    </w:rPr>
                    <w:t>0辆</w:t>
                  </w:r>
                </w:p>
              </w:tc>
              <w:tc>
                <w:tcPr>
                  <w:tcW w:w="901"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1.3t/辆</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1303" w:type="pct"/>
                  <w:gridSpan w:val="2"/>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摩托车(含电动)</w:t>
                  </w:r>
                </w:p>
              </w:tc>
              <w:tc>
                <w:tcPr>
                  <w:tcW w:w="870"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2000</w:t>
                  </w:r>
                </w:p>
              </w:tc>
              <w:tc>
                <w:tcPr>
                  <w:tcW w:w="1026"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300</w:t>
                  </w:r>
                </w:p>
              </w:tc>
              <w:tc>
                <w:tcPr>
                  <w:tcW w:w="897"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cs="Times New Roman"/>
                      <w:sz w:val="21"/>
                      <w:szCs w:val="21"/>
                      <w:lang w:val="en-US" w:eastAsia="zh-CN"/>
                    </w:rPr>
                    <w:t>5</w:t>
                  </w:r>
                  <w:r>
                    <w:rPr>
                      <w:rFonts w:hint="eastAsia" w:ascii="Times New Roman" w:hAnsi="Times New Roman" w:eastAsia="宋体" w:cs="Times New Roman"/>
                      <w:sz w:val="21"/>
                      <w:szCs w:val="21"/>
                      <w:lang w:val="en-US" w:eastAsia="zh-CN"/>
                    </w:rPr>
                    <w:t>00辆</w:t>
                  </w:r>
                </w:p>
              </w:tc>
              <w:tc>
                <w:tcPr>
                  <w:tcW w:w="901"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0.15t/辆</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1303" w:type="pct"/>
                  <w:gridSpan w:val="2"/>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合计</w:t>
                  </w:r>
                </w:p>
              </w:tc>
              <w:tc>
                <w:tcPr>
                  <w:tcW w:w="870"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10000</w:t>
                  </w:r>
                </w:p>
              </w:tc>
              <w:tc>
                <w:tcPr>
                  <w:tcW w:w="1026" w:type="pc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18700</w:t>
                  </w:r>
                </w:p>
              </w:tc>
              <w:tc>
                <w:tcPr>
                  <w:tcW w:w="897"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901"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r>
          </w:tbl>
          <w:p>
            <w:pPr>
              <w:keepNext w:val="0"/>
              <w:keepLines w:val="0"/>
              <w:widowControl/>
              <w:suppressLineNumbers w:val="0"/>
              <w:jc w:val="left"/>
            </w:pPr>
            <w:r>
              <w:rPr>
                <w:rFonts w:hint="eastAsia" w:ascii="Times New Roman" w:hAnsi="Times New Roman" w:cs="Times New Roman"/>
                <w:b w:val="0"/>
                <w:bCs w:val="0"/>
                <w:kern w:val="2"/>
                <w:sz w:val="24"/>
                <w:szCs w:val="28"/>
                <w:lang w:val="en-US" w:eastAsia="zh-CN" w:bidi="ar-SA"/>
              </w:rPr>
              <w:t>注：</w:t>
            </w:r>
            <w:r>
              <w:rPr>
                <w:rFonts w:hint="eastAsia" w:ascii="宋体" w:hAnsi="宋体" w:eastAsia="宋体" w:cs="宋体"/>
                <w:b w:val="0"/>
                <w:bCs w:val="0"/>
                <w:color w:val="000000"/>
                <w:kern w:val="0"/>
                <w:sz w:val="24"/>
                <w:szCs w:val="24"/>
                <w:lang w:val="en-US" w:eastAsia="zh-CN" w:bidi="ar"/>
              </w:rPr>
              <w:t>报废机动车在厂区的贮存要求：</w:t>
            </w:r>
            <w:r>
              <w:rPr>
                <w:rFonts w:hint="eastAsia" w:ascii="宋体" w:hAnsi="宋体" w:eastAsia="宋体" w:cs="宋体"/>
                <w:b/>
                <w:bCs/>
                <w:color w:val="000000"/>
                <w:kern w:val="0"/>
                <w:sz w:val="24"/>
                <w:szCs w:val="24"/>
                <w:lang w:val="en-US" w:eastAsia="zh-CN" w:bidi="ar"/>
              </w:rPr>
              <w:t xml:space="preserve"> </w:t>
            </w:r>
          </w:p>
          <w:p>
            <w:pPr>
              <w:keepNext w:val="0"/>
              <w:keepLines w:val="0"/>
              <w:widowControl/>
              <w:suppressLineNumbers w:val="0"/>
              <w:ind w:firstLine="480" w:firstLineChars="200"/>
              <w:jc w:val="left"/>
            </w:pPr>
            <w:r>
              <w:rPr>
                <w:rFonts w:hint="eastAsia" w:ascii="宋体" w:hAnsi="宋体" w:eastAsia="宋体" w:cs="宋体"/>
                <w:color w:val="000000"/>
                <w:kern w:val="0"/>
                <w:sz w:val="24"/>
                <w:szCs w:val="24"/>
                <w:lang w:val="en-US" w:eastAsia="zh-CN" w:bidi="ar"/>
              </w:rPr>
              <w:t xml:space="preserve">本项目报废机动车储存分为燃油车暂存区、以及摩托车暂存区，燃油车及摩托车暂存区为露天堆放，新能源车暂存区位于拆解车间内部，为全封闭钢架结构。报废机动车在厂区贮存要求如下： </w:t>
            </w:r>
          </w:p>
          <w:p>
            <w:pPr>
              <w:keepNext w:val="0"/>
              <w:keepLines w:val="0"/>
              <w:widowControl/>
              <w:suppressLineNumbers w:val="0"/>
              <w:ind w:firstLine="480" w:firstLineChars="200"/>
              <w:jc w:val="left"/>
            </w:pPr>
            <w:r>
              <w:rPr>
                <w:rFonts w:hint="eastAsia" w:ascii="宋体" w:hAnsi="宋体" w:eastAsia="宋体" w:cs="宋体"/>
                <w:color w:val="000000"/>
                <w:kern w:val="0"/>
                <w:sz w:val="24"/>
                <w:szCs w:val="24"/>
                <w:lang w:val="en-US" w:eastAsia="zh-CN" w:bidi="ar"/>
              </w:rPr>
              <w:t>（</w:t>
            </w:r>
            <w:r>
              <w:rPr>
                <w:rFonts w:hint="default" w:ascii="Times New Roman" w:hAnsi="Times New Roman" w:eastAsia="宋体" w:cs="Times New Roman"/>
                <w:color w:val="000000"/>
                <w:kern w:val="0"/>
                <w:sz w:val="24"/>
                <w:szCs w:val="24"/>
                <w:lang w:val="en-US" w:eastAsia="zh-CN" w:bidi="ar"/>
              </w:rPr>
              <w:t>1</w:t>
            </w:r>
            <w:r>
              <w:rPr>
                <w:rFonts w:hint="eastAsia" w:ascii="宋体" w:hAnsi="宋体" w:eastAsia="宋体" w:cs="宋体"/>
                <w:color w:val="000000"/>
                <w:kern w:val="0"/>
                <w:sz w:val="24"/>
                <w:szCs w:val="24"/>
                <w:lang w:val="en-US" w:eastAsia="zh-CN" w:bidi="ar"/>
              </w:rPr>
              <w:t xml:space="preserve">）所有车辆应避免侧放、倒放，电动汽车在动力蓄电池未拆卸前不应叠放。 </w:t>
            </w:r>
          </w:p>
          <w:p>
            <w:pPr>
              <w:keepNext w:val="0"/>
              <w:keepLines w:val="0"/>
              <w:widowControl/>
              <w:suppressLineNumbers w:val="0"/>
              <w:ind w:firstLine="480" w:firstLineChars="200"/>
              <w:jc w:val="left"/>
            </w:pPr>
            <w:r>
              <w:rPr>
                <w:rFonts w:hint="eastAsia" w:ascii="宋体" w:hAnsi="宋体" w:eastAsia="宋体" w:cs="宋体"/>
                <w:color w:val="000000"/>
                <w:kern w:val="0"/>
                <w:sz w:val="24"/>
                <w:szCs w:val="24"/>
                <w:lang w:val="en-US" w:eastAsia="zh-CN" w:bidi="ar"/>
              </w:rPr>
              <w:t>（</w:t>
            </w:r>
            <w:r>
              <w:rPr>
                <w:rFonts w:hint="default" w:ascii="Times New Roman" w:hAnsi="Times New Roman" w:eastAsia="宋体" w:cs="Times New Roman"/>
                <w:color w:val="000000"/>
                <w:kern w:val="0"/>
                <w:sz w:val="24"/>
                <w:szCs w:val="24"/>
                <w:lang w:val="en-US" w:eastAsia="zh-CN" w:bidi="ar"/>
              </w:rPr>
              <w:t>2</w:t>
            </w:r>
            <w:r>
              <w:rPr>
                <w:rFonts w:hint="eastAsia" w:ascii="宋体" w:hAnsi="宋体" w:eastAsia="宋体" w:cs="宋体"/>
                <w:color w:val="000000"/>
                <w:kern w:val="0"/>
                <w:sz w:val="24"/>
                <w:szCs w:val="24"/>
                <w:lang w:val="en-US" w:eastAsia="zh-CN" w:bidi="ar"/>
              </w:rPr>
              <w:t xml:space="preserve">）机动车如需叠放，应使上下车辆的重心尽量重合，且不应超过 </w:t>
            </w:r>
            <w:r>
              <w:rPr>
                <w:rFonts w:hint="default" w:ascii="Times New Roman" w:hAnsi="Times New Roman" w:eastAsia="宋体" w:cs="Times New Roman"/>
                <w:color w:val="000000"/>
                <w:kern w:val="0"/>
                <w:sz w:val="24"/>
                <w:szCs w:val="24"/>
                <w:lang w:val="en-US" w:eastAsia="zh-CN" w:bidi="ar"/>
              </w:rPr>
              <w:t xml:space="preserve">3 </w:t>
            </w:r>
          </w:p>
          <w:p>
            <w:pPr>
              <w:keepNext w:val="0"/>
              <w:keepLines w:val="0"/>
              <w:widowControl/>
              <w:suppressLineNumbers w:val="0"/>
              <w:jc w:val="left"/>
            </w:pPr>
            <w:r>
              <w:rPr>
                <w:rFonts w:hint="eastAsia" w:ascii="宋体" w:hAnsi="宋体" w:eastAsia="宋体" w:cs="宋体"/>
                <w:color w:val="000000"/>
                <w:kern w:val="0"/>
                <w:sz w:val="24"/>
                <w:szCs w:val="24"/>
                <w:lang w:val="en-US" w:eastAsia="zh-CN" w:bidi="ar"/>
              </w:rPr>
              <w:t>层。</w:t>
            </w:r>
            <w:r>
              <w:rPr>
                <w:rFonts w:hint="default" w:ascii="Times New Roman" w:hAnsi="Times New Roman" w:eastAsia="宋体" w:cs="Times New Roman"/>
                <w:color w:val="000000"/>
                <w:kern w:val="0"/>
                <w:sz w:val="24"/>
                <w:szCs w:val="24"/>
                <w:lang w:val="en-US" w:eastAsia="zh-CN" w:bidi="ar"/>
              </w:rPr>
              <w:t xml:space="preserve">2 </w:t>
            </w:r>
            <w:r>
              <w:rPr>
                <w:rFonts w:hint="eastAsia" w:ascii="宋体" w:hAnsi="宋体" w:eastAsia="宋体" w:cs="宋体"/>
                <w:color w:val="000000"/>
                <w:kern w:val="0"/>
                <w:sz w:val="24"/>
                <w:szCs w:val="24"/>
                <w:lang w:val="en-US" w:eastAsia="zh-CN" w:bidi="ar"/>
              </w:rPr>
              <w:t xml:space="preserve">层和 </w:t>
            </w:r>
            <w:r>
              <w:rPr>
                <w:rFonts w:hint="default" w:ascii="Times New Roman" w:hAnsi="Times New Roman" w:eastAsia="宋体" w:cs="Times New Roman"/>
                <w:color w:val="000000"/>
                <w:kern w:val="0"/>
                <w:sz w:val="24"/>
                <w:szCs w:val="24"/>
                <w:lang w:val="en-US" w:eastAsia="zh-CN" w:bidi="ar"/>
              </w:rPr>
              <w:t xml:space="preserve">3 </w:t>
            </w:r>
            <w:r>
              <w:rPr>
                <w:rFonts w:hint="eastAsia" w:ascii="宋体" w:hAnsi="宋体" w:eastAsia="宋体" w:cs="宋体"/>
                <w:color w:val="000000"/>
                <w:kern w:val="0"/>
                <w:sz w:val="24"/>
                <w:szCs w:val="24"/>
                <w:lang w:val="en-US" w:eastAsia="zh-CN" w:bidi="ar"/>
              </w:rPr>
              <w:t xml:space="preserve">层叠放时，高度分别不应超过 </w:t>
            </w:r>
            <w:r>
              <w:rPr>
                <w:rFonts w:hint="default" w:ascii="Times New Roman" w:hAnsi="Times New Roman" w:eastAsia="宋体" w:cs="Times New Roman"/>
                <w:color w:val="000000"/>
                <w:kern w:val="0"/>
                <w:sz w:val="24"/>
                <w:szCs w:val="24"/>
                <w:lang w:val="en-US" w:eastAsia="zh-CN" w:bidi="ar"/>
              </w:rPr>
              <w:t xml:space="preserve">3m </w:t>
            </w:r>
            <w:r>
              <w:rPr>
                <w:rFonts w:hint="eastAsia" w:ascii="宋体" w:hAnsi="宋体" w:eastAsia="宋体" w:cs="宋体"/>
                <w:color w:val="000000"/>
                <w:kern w:val="0"/>
                <w:sz w:val="24"/>
                <w:szCs w:val="24"/>
                <w:lang w:val="en-US" w:eastAsia="zh-CN" w:bidi="ar"/>
              </w:rPr>
              <w:t xml:space="preserve">和 </w:t>
            </w:r>
            <w:r>
              <w:rPr>
                <w:rFonts w:hint="default" w:ascii="Times New Roman" w:hAnsi="Times New Roman" w:eastAsia="宋体" w:cs="Times New Roman"/>
                <w:color w:val="000000"/>
                <w:kern w:val="0"/>
                <w:sz w:val="24"/>
                <w:szCs w:val="24"/>
                <w:lang w:val="en-US" w:eastAsia="zh-CN" w:bidi="ar"/>
              </w:rPr>
              <w:t>4.5m</w:t>
            </w:r>
            <w:r>
              <w:rPr>
                <w:rFonts w:hint="eastAsia" w:ascii="宋体" w:hAnsi="宋体" w:eastAsia="宋体" w:cs="宋体"/>
                <w:color w:val="000000"/>
                <w:kern w:val="0"/>
                <w:sz w:val="24"/>
                <w:szCs w:val="24"/>
                <w:lang w:val="en-US" w:eastAsia="zh-CN" w:bidi="ar"/>
              </w:rPr>
              <w:t xml:space="preserve">。大中型车辆应单层平置。采用框架结构存放的，要保证安全性，并易于装卸。 </w:t>
            </w:r>
          </w:p>
          <w:p>
            <w:pPr>
              <w:keepNext w:val="0"/>
              <w:keepLines w:val="0"/>
              <w:widowControl/>
              <w:suppressLineNumbers w:val="0"/>
              <w:ind w:firstLine="480" w:firstLineChars="200"/>
              <w:jc w:val="left"/>
            </w:pPr>
            <w:r>
              <w:rPr>
                <w:rFonts w:hint="eastAsia" w:ascii="宋体" w:hAnsi="宋体" w:eastAsia="宋体" w:cs="宋体"/>
                <w:color w:val="000000"/>
                <w:kern w:val="0"/>
                <w:sz w:val="24"/>
                <w:szCs w:val="24"/>
                <w:lang w:val="en-US" w:eastAsia="zh-CN" w:bidi="ar"/>
              </w:rPr>
              <w:t>（</w:t>
            </w:r>
            <w:r>
              <w:rPr>
                <w:rFonts w:hint="default" w:ascii="Times New Roman" w:hAnsi="Times New Roman" w:eastAsia="宋体" w:cs="Times New Roman"/>
                <w:color w:val="000000"/>
                <w:kern w:val="0"/>
                <w:sz w:val="24"/>
                <w:szCs w:val="24"/>
                <w:lang w:val="en-US" w:eastAsia="zh-CN" w:bidi="ar"/>
              </w:rPr>
              <w:t>3</w:t>
            </w:r>
            <w:r>
              <w:rPr>
                <w:rFonts w:hint="eastAsia" w:ascii="宋体" w:hAnsi="宋体" w:eastAsia="宋体" w:cs="宋体"/>
                <w:color w:val="000000"/>
                <w:kern w:val="0"/>
                <w:sz w:val="24"/>
                <w:szCs w:val="24"/>
                <w:lang w:val="en-US" w:eastAsia="zh-CN" w:bidi="ar"/>
              </w:rPr>
              <w:t xml:space="preserve">）电动汽车在动力蓄电池未拆卸前应单独贮存，并采取防火、防水、 </w:t>
            </w:r>
          </w:p>
          <w:p>
            <w:pPr>
              <w:keepNext w:val="0"/>
              <w:keepLines w:val="0"/>
              <w:widowControl/>
              <w:suppressLineNumbers w:val="0"/>
              <w:jc w:val="left"/>
            </w:pPr>
            <w:r>
              <w:rPr>
                <w:rFonts w:hint="eastAsia" w:ascii="宋体" w:hAnsi="宋体" w:eastAsia="宋体" w:cs="宋体"/>
                <w:color w:val="000000"/>
                <w:kern w:val="0"/>
                <w:sz w:val="24"/>
                <w:szCs w:val="24"/>
                <w:lang w:val="en-US" w:eastAsia="zh-CN" w:bidi="ar"/>
              </w:rPr>
              <w:t xml:space="preserve">绝缘、隔热等安全保障措施。 </w:t>
            </w:r>
          </w:p>
          <w:p>
            <w:pPr>
              <w:keepNext w:val="0"/>
              <w:keepLines w:val="0"/>
              <w:widowControl/>
              <w:suppressLineNumbers w:val="0"/>
              <w:ind w:firstLine="480" w:firstLineChars="200"/>
              <w:jc w:val="left"/>
              <w:rPr>
                <w:rFonts w:hint="default" w:ascii="Times New Roman" w:hAnsi="Times New Roman" w:eastAsia="宋体" w:cs="Times New Roman"/>
                <w:kern w:val="2"/>
                <w:sz w:val="24"/>
                <w:szCs w:val="28"/>
                <w:lang w:val="en-US" w:eastAsia="zh-CN" w:bidi="ar-SA"/>
              </w:rPr>
            </w:pPr>
            <w:r>
              <w:rPr>
                <w:rFonts w:hint="eastAsia" w:ascii="宋体" w:hAnsi="宋体" w:eastAsia="宋体" w:cs="宋体"/>
                <w:color w:val="000000"/>
                <w:kern w:val="0"/>
                <w:sz w:val="24"/>
                <w:szCs w:val="24"/>
                <w:lang w:val="en-US" w:eastAsia="zh-CN" w:bidi="ar"/>
              </w:rPr>
              <w:t>（</w:t>
            </w:r>
            <w:r>
              <w:rPr>
                <w:rFonts w:hint="default" w:ascii="Times New Roman" w:hAnsi="Times New Roman" w:eastAsia="宋体" w:cs="Times New Roman"/>
                <w:color w:val="000000"/>
                <w:kern w:val="0"/>
                <w:sz w:val="24"/>
                <w:szCs w:val="24"/>
                <w:lang w:val="en-US" w:eastAsia="zh-CN" w:bidi="ar"/>
              </w:rPr>
              <w:t>4</w:t>
            </w:r>
            <w:r>
              <w:rPr>
                <w:rFonts w:hint="eastAsia" w:ascii="宋体" w:hAnsi="宋体" w:eastAsia="宋体" w:cs="宋体"/>
                <w:color w:val="000000"/>
                <w:kern w:val="0"/>
                <w:sz w:val="24"/>
                <w:szCs w:val="24"/>
                <w:lang w:val="en-US" w:eastAsia="zh-CN" w:bidi="ar"/>
              </w:rPr>
              <w:t>）电动汽车中的事故车以及发生动力蓄电池破损的车辆应直接进入拆解车间拆解、不临时堆放。</w:t>
            </w:r>
          </w:p>
          <w:p>
            <w:pPr>
              <w:pStyle w:val="15"/>
              <w:keepNext w:val="0"/>
              <w:keepLines w:val="0"/>
              <w:pageBreakBefore w:val="0"/>
              <w:widowControl/>
              <w:numPr>
                <w:ilvl w:val="0"/>
                <w:numId w:val="0"/>
              </w:numPr>
              <w:kinsoku/>
              <w:wordWrap/>
              <w:overflowPunct/>
              <w:topLinePunct w:val="0"/>
              <w:autoSpaceDE/>
              <w:autoSpaceDN/>
              <w:bidi w:val="0"/>
              <w:adjustRightInd/>
              <w:snapToGrid/>
              <w:spacing w:before="0" w:beforeAutospacing="0" w:after="0" w:afterAutospacing="0" w:line="360" w:lineRule="auto"/>
              <w:ind w:firstLine="480" w:firstLineChars="200"/>
              <w:jc w:val="both"/>
              <w:textAlignment w:val="auto"/>
              <w:outlineLvl w:val="0"/>
              <w:rPr>
                <w:rFonts w:hint="default" w:ascii="Times New Roman" w:hAnsi="Times New Roman" w:eastAsia="宋体" w:cs="Times New Roman"/>
                <w:kern w:val="2"/>
                <w:sz w:val="24"/>
                <w:szCs w:val="28"/>
                <w:lang w:val="en-US" w:eastAsia="zh-CN" w:bidi="ar-SA"/>
              </w:rPr>
            </w:pPr>
            <w:r>
              <w:rPr>
                <w:rFonts w:hint="eastAsia" w:ascii="Times New Roman" w:hAnsi="Times New Roman" w:cs="Times New Roman"/>
                <w:kern w:val="2"/>
                <w:sz w:val="24"/>
                <w:szCs w:val="28"/>
                <w:lang w:val="en-US" w:eastAsia="zh-CN" w:bidi="ar-SA"/>
              </w:rPr>
              <w:t>（二）</w:t>
            </w:r>
            <w:r>
              <w:rPr>
                <w:rFonts w:hint="eastAsia"/>
                <w:color w:val="auto"/>
                <w:sz w:val="24"/>
                <w:szCs w:val="24"/>
                <w:u w:color="auto"/>
              </w:rPr>
              <w:t>报废机动车</w:t>
            </w:r>
            <w:r>
              <w:rPr>
                <w:color w:val="auto"/>
                <w:sz w:val="24"/>
                <w:szCs w:val="24"/>
                <w:u w:color="auto"/>
              </w:rPr>
              <w:t>产品方案</w:t>
            </w:r>
          </w:p>
          <w:p>
            <w:pPr>
              <w:pStyle w:val="15"/>
              <w:keepNext w:val="0"/>
              <w:keepLines w:val="0"/>
              <w:pageBreakBefore w:val="0"/>
              <w:widowControl/>
              <w:numPr>
                <w:ilvl w:val="0"/>
                <w:numId w:val="0"/>
              </w:numPr>
              <w:kinsoku/>
              <w:wordWrap/>
              <w:overflowPunct/>
              <w:topLinePunct w:val="0"/>
              <w:autoSpaceDE/>
              <w:autoSpaceDN/>
              <w:bidi w:val="0"/>
              <w:adjustRightInd/>
              <w:snapToGrid/>
              <w:spacing w:before="0" w:beforeAutospacing="0" w:after="0" w:afterAutospacing="0" w:line="360" w:lineRule="auto"/>
              <w:ind w:firstLine="480" w:firstLineChars="200"/>
              <w:jc w:val="both"/>
              <w:textAlignment w:val="auto"/>
              <w:outlineLvl w:val="0"/>
              <w:rPr>
                <w:rFonts w:hint="eastAsia" w:ascii="Times New Roman" w:hAnsi="Times New Roman" w:eastAsia="宋体" w:cs="Times New Roman"/>
                <w:kern w:val="2"/>
                <w:sz w:val="24"/>
                <w:szCs w:val="28"/>
                <w:lang w:val="en-US" w:eastAsia="zh-CN" w:bidi="ar-SA"/>
              </w:rPr>
            </w:pPr>
            <w:r>
              <w:rPr>
                <w:rFonts w:hint="eastAsia" w:ascii="Times New Roman" w:hAnsi="Times New Roman" w:eastAsia="宋体" w:cs="Times New Roman"/>
                <w:kern w:val="2"/>
                <w:sz w:val="24"/>
                <w:szCs w:val="28"/>
                <w:lang w:val="en-US" w:eastAsia="zh-CN" w:bidi="ar-SA"/>
              </w:rPr>
              <w:t>本项目属于报废机动车拆解项目，由于项目的特殊性，拆解所得的物料同时也是本项目的主要产品，因此，项目产品方案为报废机动车拆解下来的各种可回收的物品和零部件，即本项目的产品包括钢铁、有色金属、塑料、橡胶、燃油、尼龙布和零部件等，建设单位将各种类拆解所得物料进行分类收集，并根据其用途、性质进行外售综合利用或委托其他有资质单位处置。</w:t>
            </w:r>
          </w:p>
          <w:p>
            <w:pPr>
              <w:pStyle w:val="15"/>
              <w:keepNext w:val="0"/>
              <w:keepLines w:val="0"/>
              <w:pageBreakBefore w:val="0"/>
              <w:widowControl/>
              <w:numPr>
                <w:ilvl w:val="0"/>
                <w:numId w:val="0"/>
              </w:numPr>
              <w:kinsoku/>
              <w:wordWrap/>
              <w:overflowPunct/>
              <w:topLinePunct w:val="0"/>
              <w:autoSpaceDE/>
              <w:autoSpaceDN/>
              <w:bidi w:val="0"/>
              <w:adjustRightInd/>
              <w:snapToGrid/>
              <w:spacing w:before="0" w:beforeAutospacing="0" w:after="0" w:afterAutospacing="0" w:line="360" w:lineRule="auto"/>
              <w:ind w:firstLine="480" w:firstLineChars="200"/>
              <w:jc w:val="both"/>
              <w:textAlignment w:val="auto"/>
              <w:outlineLvl w:val="0"/>
              <w:rPr>
                <w:rFonts w:hint="eastAsia" w:ascii="Times New Roman" w:hAnsi="Times New Roman" w:eastAsia="宋体" w:cs="Times New Roman"/>
                <w:kern w:val="2"/>
                <w:sz w:val="24"/>
                <w:szCs w:val="28"/>
                <w:lang w:val="en-US" w:eastAsia="zh-CN" w:bidi="ar-SA"/>
              </w:rPr>
            </w:pPr>
            <w:r>
              <w:rPr>
                <w:rFonts w:hint="eastAsia" w:ascii="Times New Roman" w:hAnsi="Times New Roman" w:eastAsia="宋体" w:cs="Times New Roman"/>
                <w:kern w:val="2"/>
                <w:sz w:val="24"/>
                <w:szCs w:val="28"/>
                <w:lang w:val="en-US" w:eastAsia="zh-CN" w:bidi="ar-SA"/>
              </w:rPr>
              <w:t>报废机动车拆解产生的燃料油、废油液(除燃料油外的发动机油、润滑油等)、废空调制冷剂、废尾气净化器、废电容、废电路板、废蓄电池、废冷却液等属于危险废物，按照危险废物的有关规定进行管理和处置。本项目不对发动机变速器、蓄电池、电路板及电子元器件(含电容器)等零部件进行深度拆解，不接收拆解装有液化气罐的车辆和运输危险化学品的车辆、油罐车等特种作业车辆。</w:t>
            </w:r>
          </w:p>
          <w:p>
            <w:pPr>
              <w:pStyle w:val="15"/>
              <w:keepNext w:val="0"/>
              <w:keepLines w:val="0"/>
              <w:pageBreakBefore w:val="0"/>
              <w:widowControl/>
              <w:numPr>
                <w:ilvl w:val="0"/>
                <w:numId w:val="0"/>
              </w:numPr>
              <w:kinsoku/>
              <w:wordWrap/>
              <w:overflowPunct/>
              <w:topLinePunct w:val="0"/>
              <w:autoSpaceDE/>
              <w:autoSpaceDN/>
              <w:bidi w:val="0"/>
              <w:adjustRightInd/>
              <w:snapToGrid/>
              <w:spacing w:before="0" w:beforeAutospacing="0" w:after="0" w:afterAutospacing="0" w:line="360" w:lineRule="auto"/>
              <w:ind w:firstLine="480" w:firstLineChars="200"/>
              <w:jc w:val="both"/>
              <w:textAlignment w:val="auto"/>
              <w:outlineLvl w:val="0"/>
              <w:rPr>
                <w:rFonts w:hint="eastAsia"/>
                <w:lang w:val="en-US" w:eastAsia="zh-CN"/>
              </w:rPr>
            </w:pPr>
            <w:r>
              <w:rPr>
                <w:color w:val="auto"/>
                <w:sz w:val="24"/>
                <w:szCs w:val="24"/>
                <w:u w:color="auto"/>
              </w:rPr>
              <w:t>根据《汽车报废拆解与材料回收利用》（化学工业出版社）及同类型企业经验数据的类比分析</w:t>
            </w:r>
            <w:r>
              <w:rPr>
                <w:rFonts w:hint="eastAsia"/>
                <w:color w:val="auto"/>
                <w:sz w:val="24"/>
                <w:szCs w:val="24"/>
                <w:u w:color="auto"/>
                <w:lang w:eastAsia="zh-CN"/>
              </w:rPr>
              <w:t>，</w:t>
            </w:r>
            <w:r>
              <w:rPr>
                <w:rFonts w:hint="eastAsia"/>
                <w:color w:val="auto"/>
                <w:sz w:val="24"/>
                <w:szCs w:val="24"/>
                <w:u w:color="auto"/>
                <w:lang w:val="en-US" w:eastAsia="zh-CN"/>
              </w:rPr>
              <w:t>本项目拆解产生的物品组成如下：</w:t>
            </w:r>
          </w:p>
          <w:p>
            <w:pPr>
              <w:pStyle w:val="27"/>
              <w:bidi w:val="0"/>
              <w:spacing w:line="240" w:lineRule="auto"/>
              <w:jc w:val="center"/>
              <w:rPr>
                <w:rFonts w:hint="eastAsia"/>
                <w:vertAlign w:val="baseline"/>
                <w:lang w:val="en-US" w:eastAsia="zh-CN"/>
              </w:rPr>
            </w:pPr>
            <w:r>
              <w:rPr>
                <w:rFonts w:hint="eastAsia"/>
                <w:lang w:val="en-US" w:eastAsia="zh-CN"/>
              </w:rPr>
              <w:t>表2-4  单辆报废机动车产物一览表  单位：（kg/辆）</w:t>
            </w:r>
          </w:p>
          <w:tbl>
            <w:tblPr>
              <w:tblStyle w:val="19"/>
              <w:tblW w:w="0" w:type="auto"/>
              <w:tblInd w:w="-11"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426"/>
              <w:gridCol w:w="1805"/>
              <w:gridCol w:w="889"/>
              <w:gridCol w:w="1020"/>
              <w:gridCol w:w="796"/>
              <w:gridCol w:w="650"/>
              <w:gridCol w:w="2101"/>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6" w:type="dxa"/>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序</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号</w:t>
                  </w:r>
                </w:p>
              </w:tc>
              <w:tc>
                <w:tcPr>
                  <w:tcW w:w="1805" w:type="dxa"/>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拆解产物</w:t>
                  </w:r>
                </w:p>
              </w:tc>
              <w:tc>
                <w:tcPr>
                  <w:tcW w:w="889"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燃油小型汽车</w:t>
                  </w:r>
                </w:p>
              </w:tc>
              <w:tc>
                <w:tcPr>
                  <w:tcW w:w="1020" w:type="dxa"/>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燃油中大型汽车</w:t>
                  </w:r>
                </w:p>
              </w:tc>
              <w:tc>
                <w:tcPr>
                  <w:tcW w:w="796"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新能源电车</w:t>
                  </w:r>
                </w:p>
              </w:tc>
              <w:tc>
                <w:tcPr>
                  <w:tcW w:w="650"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摩托车</w:t>
                  </w:r>
                </w:p>
              </w:tc>
              <w:tc>
                <w:tcPr>
                  <w:tcW w:w="2101"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备注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6"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w:t>
                  </w:r>
                </w:p>
              </w:tc>
              <w:tc>
                <w:tcPr>
                  <w:tcW w:w="1805" w:type="dxa"/>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钢铁</w:t>
                  </w:r>
                </w:p>
              </w:tc>
              <w:tc>
                <w:tcPr>
                  <w:tcW w:w="889"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322.8</w:t>
                  </w:r>
                </w:p>
              </w:tc>
              <w:tc>
                <w:tcPr>
                  <w:tcW w:w="1020"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2786.5</w:t>
                  </w:r>
                </w:p>
              </w:tc>
              <w:tc>
                <w:tcPr>
                  <w:tcW w:w="796"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290</w:t>
                  </w:r>
                </w:p>
              </w:tc>
              <w:tc>
                <w:tcPr>
                  <w:tcW w:w="650"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21.3</w:t>
                  </w:r>
                </w:p>
              </w:tc>
              <w:tc>
                <w:tcPr>
                  <w:tcW w:w="2101" w:type="dxa"/>
                  <w:vMerge w:val="restar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color w:val="000000"/>
                      <w:sz w:val="21"/>
                      <w:szCs w:val="21"/>
                      <w:u w:color="auto"/>
                      <w:lang w:val="en-US"/>
                    </w:rPr>
                    <w:t>产品，</w:t>
                  </w:r>
                  <w:r>
                    <w:rPr>
                      <w:rFonts w:hint="eastAsia" w:cs="Times New Roman"/>
                      <w:color w:val="000000"/>
                      <w:sz w:val="21"/>
                      <w:szCs w:val="21"/>
                      <w:u w:color="auto"/>
                      <w:lang w:val="en-US" w:eastAsia="zh-CN"/>
                    </w:rPr>
                    <w:t>定期</w:t>
                  </w:r>
                  <w:r>
                    <w:rPr>
                      <w:rFonts w:hint="default" w:ascii="Times New Roman" w:hAnsi="Times New Roman" w:eastAsia="宋体" w:cs="Times New Roman"/>
                      <w:color w:val="000000"/>
                      <w:sz w:val="21"/>
                      <w:szCs w:val="21"/>
                      <w:u w:color="auto"/>
                      <w:lang w:val="en-US"/>
                    </w:rPr>
                    <w:t>出售给具备再制造能力的企业</w:t>
                  </w:r>
                  <w:r>
                    <w:rPr>
                      <w:rFonts w:hint="eastAsia" w:cs="Times New Roman"/>
                      <w:color w:val="000000"/>
                      <w:sz w:val="21"/>
                      <w:szCs w:val="21"/>
                      <w:u w:color="auto"/>
                      <w:lang w:val="en-US" w:eastAsia="zh-CN"/>
                    </w:rPr>
                    <w:t>，暂存于综合楼1、2楼。</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6"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w:t>
                  </w:r>
                </w:p>
              </w:tc>
              <w:tc>
                <w:tcPr>
                  <w:tcW w:w="1805" w:type="dxa"/>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有色金属</w:t>
                  </w:r>
                </w:p>
              </w:tc>
              <w:tc>
                <w:tcPr>
                  <w:tcW w:w="889"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80</w:t>
                  </w:r>
                </w:p>
              </w:tc>
              <w:tc>
                <w:tcPr>
                  <w:tcW w:w="1020"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300</w:t>
                  </w:r>
                </w:p>
              </w:tc>
              <w:tc>
                <w:tcPr>
                  <w:tcW w:w="796"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47.5</w:t>
                  </w:r>
                </w:p>
              </w:tc>
              <w:tc>
                <w:tcPr>
                  <w:tcW w:w="650"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20</w:t>
                  </w:r>
                </w:p>
              </w:tc>
              <w:tc>
                <w:tcPr>
                  <w:tcW w:w="2101" w:type="dxa"/>
                  <w:vMerge w:val="continue"/>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6"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w:t>
                  </w:r>
                </w:p>
              </w:tc>
              <w:tc>
                <w:tcPr>
                  <w:tcW w:w="1805" w:type="dxa"/>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玻璃</w:t>
                  </w:r>
                </w:p>
              </w:tc>
              <w:tc>
                <w:tcPr>
                  <w:tcW w:w="889"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22</w:t>
                  </w:r>
                </w:p>
              </w:tc>
              <w:tc>
                <w:tcPr>
                  <w:tcW w:w="1020"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50</w:t>
                  </w:r>
                </w:p>
              </w:tc>
              <w:tc>
                <w:tcPr>
                  <w:tcW w:w="796"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22</w:t>
                  </w:r>
                </w:p>
              </w:tc>
              <w:tc>
                <w:tcPr>
                  <w:tcW w:w="650"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0.2</w:t>
                  </w:r>
                </w:p>
              </w:tc>
              <w:tc>
                <w:tcPr>
                  <w:tcW w:w="2101" w:type="dxa"/>
                  <w:vMerge w:val="continue"/>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6"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4</w:t>
                  </w:r>
                </w:p>
              </w:tc>
              <w:tc>
                <w:tcPr>
                  <w:tcW w:w="1805" w:type="dxa"/>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塑料</w:t>
                  </w:r>
                </w:p>
              </w:tc>
              <w:tc>
                <w:tcPr>
                  <w:tcW w:w="889"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40</w:t>
                  </w:r>
                </w:p>
              </w:tc>
              <w:tc>
                <w:tcPr>
                  <w:tcW w:w="1020"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80</w:t>
                  </w:r>
                </w:p>
              </w:tc>
              <w:tc>
                <w:tcPr>
                  <w:tcW w:w="796"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40</w:t>
                  </w:r>
                </w:p>
              </w:tc>
              <w:tc>
                <w:tcPr>
                  <w:tcW w:w="650"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5</w:t>
                  </w:r>
                </w:p>
              </w:tc>
              <w:tc>
                <w:tcPr>
                  <w:tcW w:w="2101" w:type="dxa"/>
                  <w:vMerge w:val="continue"/>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6"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5</w:t>
                  </w:r>
                </w:p>
              </w:tc>
              <w:tc>
                <w:tcPr>
                  <w:tcW w:w="1805" w:type="dxa"/>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橡胶</w:t>
                  </w:r>
                </w:p>
              </w:tc>
              <w:tc>
                <w:tcPr>
                  <w:tcW w:w="889"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43</w:t>
                  </w:r>
                </w:p>
              </w:tc>
              <w:tc>
                <w:tcPr>
                  <w:tcW w:w="1020"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170</w:t>
                  </w:r>
                </w:p>
              </w:tc>
              <w:tc>
                <w:tcPr>
                  <w:tcW w:w="796"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43</w:t>
                  </w:r>
                </w:p>
              </w:tc>
              <w:tc>
                <w:tcPr>
                  <w:tcW w:w="650"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10</w:t>
                  </w:r>
                </w:p>
              </w:tc>
              <w:tc>
                <w:tcPr>
                  <w:tcW w:w="2101" w:type="dxa"/>
                  <w:vMerge w:val="continue"/>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6"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6</w:t>
                  </w:r>
                </w:p>
              </w:tc>
              <w:tc>
                <w:tcPr>
                  <w:tcW w:w="1805" w:type="dxa"/>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可用零部件</w:t>
                  </w:r>
                </w:p>
              </w:tc>
              <w:tc>
                <w:tcPr>
                  <w:tcW w:w="889"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65</w:t>
                  </w:r>
                </w:p>
              </w:tc>
              <w:tc>
                <w:tcPr>
                  <w:tcW w:w="1020"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90</w:t>
                  </w:r>
                </w:p>
              </w:tc>
              <w:tc>
                <w:tcPr>
                  <w:tcW w:w="796"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65</w:t>
                  </w:r>
                </w:p>
              </w:tc>
              <w:tc>
                <w:tcPr>
                  <w:tcW w:w="650"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5</w:t>
                  </w:r>
                </w:p>
              </w:tc>
              <w:tc>
                <w:tcPr>
                  <w:tcW w:w="2101" w:type="dxa"/>
                  <w:vMerge w:val="continue"/>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6"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7</w:t>
                  </w:r>
                </w:p>
              </w:tc>
              <w:tc>
                <w:tcPr>
                  <w:tcW w:w="1805" w:type="dxa"/>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动力电池</w:t>
                  </w:r>
                </w:p>
              </w:tc>
              <w:tc>
                <w:tcPr>
                  <w:tcW w:w="889"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i w:val="0"/>
                      <w:iCs w:val="0"/>
                      <w:color w:val="000000"/>
                      <w:kern w:val="0"/>
                      <w:sz w:val="21"/>
                      <w:szCs w:val="21"/>
                      <w:u w:val="none"/>
                      <w:lang w:val="en-US" w:eastAsia="zh-CN" w:bidi="ar"/>
                    </w:rPr>
                    <w:t>/</w:t>
                  </w:r>
                </w:p>
              </w:tc>
              <w:tc>
                <w:tcPr>
                  <w:tcW w:w="1020"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i w:val="0"/>
                      <w:iCs w:val="0"/>
                      <w:color w:val="000000"/>
                      <w:kern w:val="0"/>
                      <w:sz w:val="21"/>
                      <w:szCs w:val="21"/>
                      <w:u w:val="none"/>
                      <w:lang w:val="en-US" w:eastAsia="zh-CN" w:bidi="ar"/>
                    </w:rPr>
                    <w:t>/</w:t>
                  </w:r>
                </w:p>
              </w:tc>
              <w:tc>
                <w:tcPr>
                  <w:tcW w:w="796"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i w:val="0"/>
                      <w:iCs w:val="0"/>
                      <w:color w:val="000000"/>
                      <w:kern w:val="0"/>
                      <w:sz w:val="21"/>
                      <w:szCs w:val="21"/>
                      <w:u w:val="none"/>
                      <w:lang w:val="en-US" w:eastAsia="zh-CN" w:bidi="ar"/>
                    </w:rPr>
                    <w:t>100</w:t>
                  </w:r>
                </w:p>
              </w:tc>
              <w:tc>
                <w:tcPr>
                  <w:tcW w:w="650"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i w:val="0"/>
                      <w:iCs w:val="0"/>
                      <w:color w:val="000000"/>
                      <w:kern w:val="0"/>
                      <w:sz w:val="21"/>
                      <w:szCs w:val="21"/>
                      <w:u w:val="none"/>
                      <w:lang w:val="en-US" w:eastAsia="zh-CN" w:bidi="ar"/>
                    </w:rPr>
                    <w:t>/</w:t>
                  </w:r>
                </w:p>
              </w:tc>
              <w:tc>
                <w:tcPr>
                  <w:tcW w:w="2101" w:type="dxa"/>
                  <w:vMerge w:val="continue"/>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6"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8</w:t>
                  </w:r>
                </w:p>
              </w:tc>
              <w:tc>
                <w:tcPr>
                  <w:tcW w:w="1805" w:type="dxa"/>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五大总成</w:t>
                  </w:r>
                  <w:r>
                    <w:rPr>
                      <w:rFonts w:hint="default" w:ascii="Times New Roman" w:hAnsi="Times New Roman" w:eastAsia="宋体" w:cs="Times New Roman"/>
                      <w:sz w:val="21"/>
                      <w:szCs w:val="21"/>
                      <w:lang w:val="en-US" w:eastAsia="zh-CN"/>
                    </w:rPr>
                    <w:fldChar w:fldCharType="begin"/>
                  </w:r>
                  <w:r>
                    <w:rPr>
                      <w:rFonts w:hint="default" w:ascii="Times New Roman" w:hAnsi="Times New Roman" w:eastAsia="宋体" w:cs="Times New Roman"/>
                      <w:sz w:val="21"/>
                      <w:szCs w:val="21"/>
                      <w:lang w:val="en-US" w:eastAsia="zh-CN"/>
                    </w:rPr>
                    <w:instrText xml:space="preserve"> = 4 \* GB3 \* MERGEFORMAT </w:instrText>
                  </w:r>
                  <w:r>
                    <w:rPr>
                      <w:rFonts w:hint="default" w:ascii="Times New Roman" w:hAnsi="Times New Roman" w:eastAsia="宋体" w:cs="Times New Roman"/>
                      <w:sz w:val="21"/>
                      <w:szCs w:val="21"/>
                      <w:lang w:val="en-US" w:eastAsia="zh-CN"/>
                    </w:rPr>
                    <w:fldChar w:fldCharType="separate"/>
                  </w:r>
                  <w:r>
                    <w:rPr>
                      <w:rFonts w:hint="default" w:ascii="Times New Roman" w:hAnsi="Times New Roman" w:eastAsia="宋体" w:cs="Times New Roman"/>
                      <w:sz w:val="21"/>
                      <w:szCs w:val="21"/>
                      <w:lang w:val="en-US" w:eastAsia="zh-CN"/>
                    </w:rPr>
                    <w:t>④</w:t>
                  </w:r>
                  <w:r>
                    <w:rPr>
                      <w:rFonts w:hint="default" w:ascii="Times New Roman" w:hAnsi="Times New Roman" w:eastAsia="宋体" w:cs="Times New Roman"/>
                      <w:sz w:val="21"/>
                      <w:szCs w:val="21"/>
                      <w:lang w:val="en-US" w:eastAsia="zh-CN"/>
                    </w:rPr>
                    <w:fldChar w:fldCharType="end"/>
                  </w:r>
                </w:p>
              </w:tc>
              <w:tc>
                <w:tcPr>
                  <w:tcW w:w="889"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650</w:t>
                  </w:r>
                </w:p>
              </w:tc>
              <w:tc>
                <w:tcPr>
                  <w:tcW w:w="1020"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1581</w:t>
                  </w:r>
                </w:p>
              </w:tc>
              <w:tc>
                <w:tcPr>
                  <w:tcW w:w="796"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i w:val="0"/>
                      <w:iCs w:val="0"/>
                      <w:color w:val="000000"/>
                      <w:kern w:val="0"/>
                      <w:sz w:val="21"/>
                      <w:szCs w:val="21"/>
                      <w:u w:val="none"/>
                      <w:lang w:val="en-US" w:eastAsia="zh-CN" w:bidi="ar"/>
                    </w:rPr>
                    <w:t>633</w:t>
                  </w:r>
                </w:p>
              </w:tc>
              <w:tc>
                <w:tcPr>
                  <w:tcW w:w="650"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75</w:t>
                  </w:r>
                </w:p>
              </w:tc>
              <w:tc>
                <w:tcPr>
                  <w:tcW w:w="2101" w:type="dxa"/>
                  <w:vMerge w:val="continue"/>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c>
                <w:tcPr>
                  <w:tcW w:w="426"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9</w:t>
                  </w:r>
                </w:p>
              </w:tc>
              <w:tc>
                <w:tcPr>
                  <w:tcW w:w="1805" w:type="dxa"/>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不可利用废物</w:t>
                  </w:r>
                  <w:r>
                    <w:rPr>
                      <w:rFonts w:hint="default" w:ascii="Times New Roman" w:hAnsi="Times New Roman" w:eastAsia="宋体" w:cs="Times New Roman"/>
                      <w:sz w:val="21"/>
                      <w:szCs w:val="21"/>
                      <w:lang w:val="en-US" w:eastAsia="zh-CN"/>
                    </w:rPr>
                    <w:fldChar w:fldCharType="begin"/>
                  </w:r>
                  <w:r>
                    <w:rPr>
                      <w:rFonts w:hint="default" w:ascii="Times New Roman" w:hAnsi="Times New Roman" w:eastAsia="宋体" w:cs="Times New Roman"/>
                      <w:sz w:val="21"/>
                      <w:szCs w:val="21"/>
                      <w:lang w:val="en-US" w:eastAsia="zh-CN"/>
                    </w:rPr>
                    <w:instrText xml:space="preserve"> = 1 \* GB3 \* MERGEFORMAT </w:instrText>
                  </w:r>
                  <w:r>
                    <w:rPr>
                      <w:rFonts w:hint="default" w:ascii="Times New Roman" w:hAnsi="Times New Roman" w:eastAsia="宋体" w:cs="Times New Roman"/>
                      <w:sz w:val="21"/>
                      <w:szCs w:val="21"/>
                      <w:lang w:val="en-US" w:eastAsia="zh-CN"/>
                    </w:rPr>
                    <w:fldChar w:fldCharType="separate"/>
                  </w:r>
                  <w:r>
                    <w:rPr>
                      <w:rFonts w:hint="default" w:ascii="Times New Roman" w:hAnsi="Times New Roman" w:eastAsia="宋体" w:cs="Times New Roman"/>
                      <w:sz w:val="21"/>
                      <w:szCs w:val="21"/>
                      <w:lang w:val="en-US" w:eastAsia="zh-CN"/>
                    </w:rPr>
                    <w:t>①</w:t>
                  </w:r>
                  <w:r>
                    <w:rPr>
                      <w:rFonts w:hint="default" w:ascii="Times New Roman" w:hAnsi="Times New Roman" w:eastAsia="宋体" w:cs="Times New Roman"/>
                      <w:sz w:val="21"/>
                      <w:szCs w:val="21"/>
                      <w:lang w:val="en-US" w:eastAsia="zh-CN"/>
                    </w:rPr>
                    <w:fldChar w:fldCharType="end"/>
                  </w:r>
                </w:p>
              </w:tc>
              <w:tc>
                <w:tcPr>
                  <w:tcW w:w="889"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40</w:t>
                  </w:r>
                </w:p>
              </w:tc>
              <w:tc>
                <w:tcPr>
                  <w:tcW w:w="1020"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150</w:t>
                  </w:r>
                </w:p>
              </w:tc>
              <w:tc>
                <w:tcPr>
                  <w:tcW w:w="796"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40</w:t>
                  </w:r>
                </w:p>
              </w:tc>
              <w:tc>
                <w:tcPr>
                  <w:tcW w:w="650"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6</w:t>
                  </w:r>
                </w:p>
              </w:tc>
              <w:tc>
                <w:tcPr>
                  <w:tcW w:w="2101" w:type="dxa"/>
                  <w:vMerge w:val="restart"/>
                  <w:tcBorders>
                    <w:tl2br w:val="nil"/>
                    <w:tr2bl w:val="nil"/>
                  </w:tcBorders>
                  <w:vAlign w:val="center"/>
                </w:tcPr>
                <w:p>
                  <w:pPr>
                    <w:pStyle w:val="30"/>
                    <w:keepNext w:val="0"/>
                    <w:keepLines w:val="0"/>
                    <w:pageBreakBefore w:val="0"/>
                    <w:kinsoku/>
                    <w:wordWrap/>
                    <w:overflowPunct/>
                    <w:topLinePunct w:val="0"/>
                    <w:autoSpaceDE/>
                    <w:autoSpaceDN/>
                    <w:bidi w:val="0"/>
                    <w:adjustRightInd/>
                    <w:snapToGrid/>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color w:val="000000"/>
                      <w:sz w:val="21"/>
                      <w:szCs w:val="21"/>
                      <w:u w:color="auto"/>
                      <w:lang w:val="en-US"/>
                    </w:rPr>
                    <w:t>一般工业固废，</w:t>
                  </w:r>
                  <w:r>
                    <w:rPr>
                      <w:rFonts w:hint="eastAsia" w:cs="Times New Roman"/>
                      <w:color w:val="000000"/>
                      <w:sz w:val="21"/>
                      <w:szCs w:val="21"/>
                      <w:u w:color="auto"/>
                      <w:lang w:val="en-US" w:eastAsia="zh-CN"/>
                    </w:rPr>
                    <w:t>定期</w:t>
                  </w:r>
                  <w:r>
                    <w:rPr>
                      <w:rFonts w:hint="default" w:ascii="Times New Roman" w:hAnsi="Times New Roman" w:eastAsia="宋体" w:cs="Times New Roman"/>
                      <w:color w:val="000000"/>
                      <w:sz w:val="21"/>
                      <w:szCs w:val="21"/>
                      <w:u w:color="auto"/>
                      <w:lang w:val="en-US"/>
                    </w:rPr>
                    <w:t>交由环卫部门处置</w:t>
                  </w:r>
                  <w:r>
                    <w:rPr>
                      <w:rFonts w:hint="eastAsia" w:cs="Times New Roman"/>
                      <w:color w:val="000000"/>
                      <w:sz w:val="21"/>
                      <w:szCs w:val="21"/>
                      <w:u w:color="auto"/>
                      <w:lang w:val="en-US" w:eastAsia="zh-CN"/>
                    </w:rPr>
                    <w:t>，暂存于固体废物暂存间</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6"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10</w:t>
                  </w:r>
                </w:p>
              </w:tc>
              <w:tc>
                <w:tcPr>
                  <w:tcW w:w="1805"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废安全气囊</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（引爆后）</w:t>
                  </w:r>
                </w:p>
              </w:tc>
              <w:tc>
                <w:tcPr>
                  <w:tcW w:w="889"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1</w:t>
                  </w:r>
                </w:p>
              </w:tc>
              <w:tc>
                <w:tcPr>
                  <w:tcW w:w="1020"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1</w:t>
                  </w:r>
                </w:p>
              </w:tc>
              <w:tc>
                <w:tcPr>
                  <w:tcW w:w="796"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1</w:t>
                  </w:r>
                </w:p>
              </w:tc>
              <w:tc>
                <w:tcPr>
                  <w:tcW w:w="650"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color w:val="000000"/>
                      <w:kern w:val="0"/>
                      <w:sz w:val="21"/>
                      <w:szCs w:val="21"/>
                      <w:u w:val="none"/>
                      <w:lang w:val="en-US" w:eastAsia="zh-CN" w:bidi="ar"/>
                    </w:rPr>
                    <w:t>/</w:t>
                  </w:r>
                </w:p>
              </w:tc>
              <w:tc>
                <w:tcPr>
                  <w:tcW w:w="2101" w:type="dxa"/>
                  <w:vMerge w:val="continue"/>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6"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11</w:t>
                  </w:r>
                </w:p>
              </w:tc>
              <w:tc>
                <w:tcPr>
                  <w:tcW w:w="1805" w:type="dxa"/>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废蓄电池</w:t>
                  </w:r>
                </w:p>
              </w:tc>
              <w:tc>
                <w:tcPr>
                  <w:tcW w:w="889"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12</w:t>
                  </w:r>
                </w:p>
              </w:tc>
              <w:tc>
                <w:tcPr>
                  <w:tcW w:w="1020"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50</w:t>
                  </w:r>
                </w:p>
              </w:tc>
              <w:tc>
                <w:tcPr>
                  <w:tcW w:w="796"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i w:val="0"/>
                      <w:iCs w:val="0"/>
                      <w:color w:val="000000"/>
                      <w:kern w:val="0"/>
                      <w:sz w:val="21"/>
                      <w:szCs w:val="21"/>
                      <w:u w:val="none"/>
                      <w:lang w:val="en-US" w:eastAsia="zh-CN" w:bidi="ar"/>
                    </w:rPr>
                    <w:t>/</w:t>
                  </w:r>
                </w:p>
              </w:tc>
              <w:tc>
                <w:tcPr>
                  <w:tcW w:w="650"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color w:val="000000"/>
                      <w:kern w:val="0"/>
                      <w:sz w:val="21"/>
                      <w:szCs w:val="21"/>
                      <w:u w:val="none"/>
                      <w:lang w:val="en-US" w:eastAsia="zh-CN" w:bidi="ar"/>
                    </w:rPr>
                    <w:t>1</w:t>
                  </w:r>
                </w:p>
              </w:tc>
              <w:tc>
                <w:tcPr>
                  <w:tcW w:w="2101" w:type="dxa"/>
                  <w:vMerge w:val="restart"/>
                  <w:tcBorders>
                    <w:tl2br w:val="nil"/>
                    <w:tr2bl w:val="nil"/>
                  </w:tcBorders>
                  <w:vAlign w:val="center"/>
                </w:tcPr>
                <w:p>
                  <w:pPr>
                    <w:pStyle w:val="30"/>
                    <w:keepNext w:val="0"/>
                    <w:keepLines w:val="0"/>
                    <w:pageBreakBefore w:val="0"/>
                    <w:kinsoku/>
                    <w:wordWrap/>
                    <w:overflowPunct/>
                    <w:topLinePunct w:val="0"/>
                    <w:autoSpaceDE/>
                    <w:autoSpaceDN/>
                    <w:bidi w:val="0"/>
                    <w:adjustRightInd/>
                    <w:snapToGrid/>
                    <w:spacing w:line="240" w:lineRule="auto"/>
                    <w:jc w:val="center"/>
                    <w:rPr>
                      <w:rFonts w:hint="default" w:ascii="Times New Roman" w:hAnsi="Times New Roman" w:eastAsia="宋体" w:cs="Times New Roman"/>
                      <w:color w:val="000000"/>
                      <w:sz w:val="21"/>
                      <w:szCs w:val="21"/>
                      <w:u w:color="auto"/>
                      <w:lang w:val="en-US"/>
                    </w:rPr>
                  </w:pPr>
                  <w:r>
                    <w:rPr>
                      <w:rFonts w:hint="default" w:ascii="Times New Roman" w:hAnsi="Times New Roman" w:eastAsia="宋体" w:cs="Times New Roman"/>
                      <w:color w:val="000000"/>
                      <w:sz w:val="21"/>
                      <w:szCs w:val="21"/>
                      <w:u w:color="auto"/>
                      <w:lang w:val="en-US"/>
                    </w:rPr>
                    <w:t>危险废物，</w:t>
                  </w:r>
                  <w:r>
                    <w:rPr>
                      <w:rFonts w:hint="eastAsia" w:cs="Times New Roman"/>
                      <w:color w:val="000000"/>
                      <w:sz w:val="21"/>
                      <w:szCs w:val="21"/>
                      <w:u w:color="auto"/>
                      <w:lang w:val="en-US" w:eastAsia="zh-CN"/>
                    </w:rPr>
                    <w:t>暂存于危险废物暂存间，定期</w:t>
                  </w:r>
                  <w:r>
                    <w:rPr>
                      <w:rFonts w:hint="default" w:ascii="Times New Roman" w:hAnsi="Times New Roman" w:eastAsia="宋体" w:cs="Times New Roman"/>
                      <w:color w:val="000000"/>
                      <w:sz w:val="21"/>
                      <w:szCs w:val="21"/>
                      <w:u w:color="auto"/>
                      <w:lang w:val="en-US"/>
                    </w:rPr>
                    <w:t>交由相关资质单位</w:t>
                  </w:r>
                </w:p>
                <w:p>
                  <w:pPr>
                    <w:pStyle w:val="30"/>
                    <w:keepNext w:val="0"/>
                    <w:keepLines w:val="0"/>
                    <w:pageBreakBefore w:val="0"/>
                    <w:kinsoku/>
                    <w:wordWrap/>
                    <w:overflowPunct/>
                    <w:topLinePunct w:val="0"/>
                    <w:autoSpaceDE/>
                    <w:autoSpaceDN/>
                    <w:bidi w:val="0"/>
                    <w:adjustRightInd/>
                    <w:snapToGrid/>
                    <w:spacing w:line="240" w:lineRule="auto"/>
                    <w:jc w:val="center"/>
                    <w:rPr>
                      <w:rFonts w:hint="default" w:ascii="Times New Roman" w:hAnsi="Times New Roman" w:eastAsia="宋体" w:cs="Times New Roman"/>
                      <w:color w:val="000000"/>
                      <w:sz w:val="21"/>
                      <w:szCs w:val="21"/>
                      <w:u w:color="auto"/>
                      <w:lang w:val="en-US"/>
                    </w:rPr>
                  </w:pPr>
                  <w:r>
                    <w:rPr>
                      <w:rFonts w:hint="default" w:ascii="Times New Roman" w:hAnsi="Times New Roman" w:eastAsia="宋体" w:cs="Times New Roman"/>
                      <w:color w:val="000000"/>
                      <w:sz w:val="21"/>
                      <w:szCs w:val="21"/>
                      <w:u w:color="auto"/>
                      <w:lang w:val="en-US"/>
                    </w:rPr>
                    <w:t>处置</w:t>
                  </w:r>
                </w:p>
                <w:p>
                  <w:pPr>
                    <w:adjustRightInd w:val="0"/>
                    <w:snapToGrid w:val="0"/>
                    <w:spacing w:line="240" w:lineRule="auto"/>
                    <w:jc w:val="center"/>
                    <w:rPr>
                      <w:rFonts w:hint="eastAsia"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6"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12</w:t>
                  </w:r>
                </w:p>
              </w:tc>
              <w:tc>
                <w:tcPr>
                  <w:tcW w:w="1805" w:type="dxa"/>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废电容器</w:t>
                  </w:r>
                </w:p>
              </w:tc>
              <w:tc>
                <w:tcPr>
                  <w:tcW w:w="889"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12</w:t>
                  </w:r>
                </w:p>
              </w:tc>
              <w:tc>
                <w:tcPr>
                  <w:tcW w:w="1020"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15</w:t>
                  </w:r>
                </w:p>
              </w:tc>
              <w:tc>
                <w:tcPr>
                  <w:tcW w:w="796"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12</w:t>
                  </w:r>
                </w:p>
              </w:tc>
              <w:tc>
                <w:tcPr>
                  <w:tcW w:w="650"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color w:val="000000"/>
                      <w:kern w:val="0"/>
                      <w:sz w:val="21"/>
                      <w:szCs w:val="21"/>
                      <w:u w:val="none"/>
                      <w:lang w:val="en-US" w:eastAsia="zh-CN" w:bidi="ar"/>
                    </w:rPr>
                    <w:t>4</w:t>
                  </w:r>
                </w:p>
              </w:tc>
              <w:tc>
                <w:tcPr>
                  <w:tcW w:w="2101" w:type="dxa"/>
                  <w:vMerge w:val="continue"/>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6"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13</w:t>
                  </w:r>
                </w:p>
              </w:tc>
              <w:tc>
                <w:tcPr>
                  <w:tcW w:w="1805"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废尾气</w:t>
                  </w:r>
                </w:p>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净化装置</w:t>
                  </w:r>
                </w:p>
              </w:tc>
              <w:tc>
                <w:tcPr>
                  <w:tcW w:w="889"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1</w:t>
                  </w:r>
                </w:p>
              </w:tc>
              <w:tc>
                <w:tcPr>
                  <w:tcW w:w="1020"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4</w:t>
                  </w:r>
                </w:p>
              </w:tc>
              <w:tc>
                <w:tcPr>
                  <w:tcW w:w="796" w:type="dxa"/>
                  <w:tcBorders>
                    <w:tl2br w:val="nil"/>
                    <w:tr2bl w:val="nil"/>
                  </w:tcBorders>
                  <w:vAlign w:val="center"/>
                </w:tcPr>
                <w:p>
                  <w:pPr>
                    <w:pStyle w:val="30"/>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color w:val="000000"/>
                      <w:sz w:val="21"/>
                      <w:szCs w:val="21"/>
                      <w:u w:color="auto"/>
                      <w:lang w:val="en-US"/>
                    </w:rPr>
                    <w:t>/</w:t>
                  </w:r>
                </w:p>
              </w:tc>
              <w:tc>
                <w:tcPr>
                  <w:tcW w:w="650"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color w:val="000000"/>
                      <w:kern w:val="0"/>
                      <w:sz w:val="21"/>
                      <w:szCs w:val="21"/>
                      <w:u w:val="none"/>
                      <w:lang w:val="en-US" w:eastAsia="zh-CN" w:bidi="ar"/>
                    </w:rPr>
                    <w:t>0.1</w:t>
                  </w:r>
                </w:p>
              </w:tc>
              <w:tc>
                <w:tcPr>
                  <w:tcW w:w="2101" w:type="dxa"/>
                  <w:vMerge w:val="continue"/>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6"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14</w:t>
                  </w:r>
                </w:p>
              </w:tc>
              <w:tc>
                <w:tcPr>
                  <w:tcW w:w="1805" w:type="dxa"/>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废油液</w:t>
                  </w:r>
                  <w:r>
                    <w:rPr>
                      <w:rFonts w:hint="default" w:ascii="Times New Roman" w:hAnsi="Times New Roman" w:eastAsia="宋体" w:cs="Times New Roman"/>
                      <w:sz w:val="21"/>
                      <w:szCs w:val="21"/>
                      <w:lang w:val="en-US" w:eastAsia="zh-CN"/>
                    </w:rPr>
                    <w:fldChar w:fldCharType="begin"/>
                  </w:r>
                  <w:r>
                    <w:rPr>
                      <w:rFonts w:hint="default" w:ascii="Times New Roman" w:hAnsi="Times New Roman" w:eastAsia="宋体" w:cs="Times New Roman"/>
                      <w:sz w:val="21"/>
                      <w:szCs w:val="21"/>
                      <w:lang w:val="en-US" w:eastAsia="zh-CN"/>
                    </w:rPr>
                    <w:instrText xml:space="preserve"> = 3 \* GB3 \* MERGEFORMAT </w:instrText>
                  </w:r>
                  <w:r>
                    <w:rPr>
                      <w:rFonts w:hint="default" w:ascii="Times New Roman" w:hAnsi="Times New Roman" w:eastAsia="宋体" w:cs="Times New Roman"/>
                      <w:sz w:val="21"/>
                      <w:szCs w:val="21"/>
                      <w:lang w:val="en-US" w:eastAsia="zh-CN"/>
                    </w:rPr>
                    <w:fldChar w:fldCharType="separate"/>
                  </w:r>
                  <w:r>
                    <w:rPr>
                      <w:rFonts w:hint="default" w:ascii="Times New Roman" w:hAnsi="Times New Roman" w:eastAsia="宋体" w:cs="Times New Roman"/>
                      <w:sz w:val="21"/>
                      <w:szCs w:val="21"/>
                      <w:lang w:val="en-US" w:eastAsia="zh-CN"/>
                    </w:rPr>
                    <w:t>③</w:t>
                  </w:r>
                  <w:r>
                    <w:rPr>
                      <w:rFonts w:hint="default" w:ascii="Times New Roman" w:hAnsi="Times New Roman" w:eastAsia="宋体" w:cs="Times New Roman"/>
                      <w:sz w:val="21"/>
                      <w:szCs w:val="21"/>
                      <w:lang w:val="en-US" w:eastAsia="zh-CN"/>
                    </w:rPr>
                    <w:fldChar w:fldCharType="end"/>
                  </w:r>
                </w:p>
              </w:tc>
              <w:tc>
                <w:tcPr>
                  <w:tcW w:w="889"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5</w:t>
                  </w:r>
                </w:p>
              </w:tc>
              <w:tc>
                <w:tcPr>
                  <w:tcW w:w="1020"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10</w:t>
                  </w:r>
                </w:p>
              </w:tc>
              <w:tc>
                <w:tcPr>
                  <w:tcW w:w="796" w:type="dxa"/>
                  <w:tcBorders>
                    <w:tl2br w:val="nil"/>
                    <w:tr2bl w:val="nil"/>
                  </w:tcBorders>
                  <w:vAlign w:val="center"/>
                </w:tcPr>
                <w:p>
                  <w:pPr>
                    <w:pStyle w:val="30"/>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color w:val="000000"/>
                      <w:sz w:val="21"/>
                      <w:szCs w:val="21"/>
                      <w:u w:color="auto"/>
                      <w:lang w:val="en-US" w:eastAsia="zh-CN"/>
                    </w:rPr>
                    <w:t>2</w:t>
                  </w:r>
                </w:p>
              </w:tc>
              <w:tc>
                <w:tcPr>
                  <w:tcW w:w="650"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color w:val="000000"/>
                      <w:kern w:val="0"/>
                      <w:sz w:val="21"/>
                      <w:szCs w:val="21"/>
                      <w:u w:val="none"/>
                      <w:lang w:val="en-US" w:eastAsia="zh-CN" w:bidi="ar"/>
                    </w:rPr>
                    <w:t>1.5</w:t>
                  </w:r>
                </w:p>
              </w:tc>
              <w:tc>
                <w:tcPr>
                  <w:tcW w:w="2101" w:type="dxa"/>
                  <w:vMerge w:val="continue"/>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6"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15</w:t>
                  </w:r>
                </w:p>
              </w:tc>
              <w:tc>
                <w:tcPr>
                  <w:tcW w:w="1805" w:type="dxa"/>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燃油（柴、汽油）</w:t>
                  </w:r>
                </w:p>
              </w:tc>
              <w:tc>
                <w:tcPr>
                  <w:tcW w:w="889"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2</w:t>
                  </w:r>
                </w:p>
              </w:tc>
              <w:tc>
                <w:tcPr>
                  <w:tcW w:w="1020"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5</w:t>
                  </w:r>
                </w:p>
              </w:tc>
              <w:tc>
                <w:tcPr>
                  <w:tcW w:w="796" w:type="dxa"/>
                  <w:tcBorders>
                    <w:tl2br w:val="nil"/>
                    <w:tr2bl w:val="nil"/>
                  </w:tcBorders>
                  <w:vAlign w:val="center"/>
                </w:tcPr>
                <w:p>
                  <w:pPr>
                    <w:pStyle w:val="30"/>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color w:val="000000"/>
                      <w:sz w:val="21"/>
                      <w:szCs w:val="21"/>
                      <w:u w:color="auto"/>
                      <w:lang w:val="en-US"/>
                    </w:rPr>
                    <w:t>/</w:t>
                  </w:r>
                </w:p>
              </w:tc>
              <w:tc>
                <w:tcPr>
                  <w:tcW w:w="650"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color w:val="000000"/>
                      <w:kern w:val="0"/>
                      <w:sz w:val="21"/>
                      <w:szCs w:val="21"/>
                      <w:u w:val="none"/>
                      <w:lang w:val="en-US" w:eastAsia="zh-CN" w:bidi="ar"/>
                    </w:rPr>
                    <w:t>0.5</w:t>
                  </w:r>
                </w:p>
              </w:tc>
              <w:tc>
                <w:tcPr>
                  <w:tcW w:w="2101" w:type="dxa"/>
                  <w:vMerge w:val="continue"/>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6"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16</w:t>
                  </w:r>
                </w:p>
              </w:tc>
              <w:tc>
                <w:tcPr>
                  <w:tcW w:w="1805" w:type="dxa"/>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废空调制冷剂</w:t>
                  </w:r>
                </w:p>
              </w:tc>
              <w:tc>
                <w:tcPr>
                  <w:tcW w:w="889"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1</w:t>
                  </w:r>
                </w:p>
              </w:tc>
              <w:tc>
                <w:tcPr>
                  <w:tcW w:w="1020"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2</w:t>
                  </w:r>
                </w:p>
              </w:tc>
              <w:tc>
                <w:tcPr>
                  <w:tcW w:w="796" w:type="dxa"/>
                  <w:tcBorders>
                    <w:tl2br w:val="nil"/>
                    <w:tr2bl w:val="nil"/>
                  </w:tcBorders>
                  <w:vAlign w:val="center"/>
                </w:tcPr>
                <w:p>
                  <w:pPr>
                    <w:pStyle w:val="30"/>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color w:val="000000"/>
                      <w:sz w:val="21"/>
                      <w:szCs w:val="21"/>
                      <w:u w:color="auto"/>
                      <w:lang w:val="en-US" w:eastAsia="zh-CN"/>
                    </w:rPr>
                    <w:t>1</w:t>
                  </w:r>
                </w:p>
              </w:tc>
              <w:tc>
                <w:tcPr>
                  <w:tcW w:w="650"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color w:val="000000"/>
                      <w:kern w:val="0"/>
                      <w:sz w:val="21"/>
                      <w:szCs w:val="21"/>
                      <w:u w:val="none"/>
                      <w:lang w:val="en-US" w:eastAsia="zh-CN" w:bidi="ar"/>
                    </w:rPr>
                    <w:t>/</w:t>
                  </w:r>
                </w:p>
              </w:tc>
              <w:tc>
                <w:tcPr>
                  <w:tcW w:w="2101" w:type="dxa"/>
                  <w:vMerge w:val="continue"/>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6"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17</w:t>
                  </w:r>
                </w:p>
              </w:tc>
              <w:tc>
                <w:tcPr>
                  <w:tcW w:w="1805" w:type="dxa"/>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废冷却液</w:t>
                  </w:r>
                </w:p>
              </w:tc>
              <w:tc>
                <w:tcPr>
                  <w:tcW w:w="889"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eastAsia" w:cs="Times New Roman"/>
                      <w:i w:val="0"/>
                      <w:iCs w:val="0"/>
                      <w:color w:val="000000"/>
                      <w:kern w:val="0"/>
                      <w:sz w:val="21"/>
                      <w:szCs w:val="21"/>
                      <w:u w:val="none"/>
                      <w:lang w:val="en-US" w:eastAsia="zh-CN" w:bidi="ar"/>
                    </w:rPr>
                    <w:t>/</w:t>
                  </w:r>
                </w:p>
              </w:tc>
              <w:tc>
                <w:tcPr>
                  <w:tcW w:w="1020"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eastAsia" w:cs="Times New Roman"/>
                      <w:i w:val="0"/>
                      <w:iCs w:val="0"/>
                      <w:color w:val="000000"/>
                      <w:kern w:val="0"/>
                      <w:sz w:val="21"/>
                      <w:szCs w:val="21"/>
                      <w:u w:val="none"/>
                      <w:lang w:val="en-US" w:eastAsia="zh-CN" w:bidi="ar"/>
                    </w:rPr>
                    <w:t>/</w:t>
                  </w:r>
                </w:p>
              </w:tc>
              <w:tc>
                <w:tcPr>
                  <w:tcW w:w="796" w:type="dxa"/>
                  <w:tcBorders>
                    <w:tl2br w:val="nil"/>
                    <w:tr2bl w:val="nil"/>
                  </w:tcBorders>
                  <w:vAlign w:val="center"/>
                </w:tcPr>
                <w:p>
                  <w:pPr>
                    <w:pStyle w:val="30"/>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color w:val="000000"/>
                      <w:sz w:val="21"/>
                      <w:szCs w:val="21"/>
                      <w:u w:color="auto"/>
                      <w:lang w:val="en-US" w:eastAsia="zh-CN"/>
                    </w:rPr>
                    <w:t>2</w:t>
                  </w:r>
                </w:p>
              </w:tc>
              <w:tc>
                <w:tcPr>
                  <w:tcW w:w="650"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color w:val="000000"/>
                      <w:kern w:val="0"/>
                      <w:sz w:val="21"/>
                      <w:szCs w:val="21"/>
                      <w:u w:val="none"/>
                      <w:lang w:val="en-US" w:eastAsia="zh-CN" w:bidi="ar"/>
                    </w:rPr>
                    <w:t>/</w:t>
                  </w:r>
                </w:p>
              </w:tc>
              <w:tc>
                <w:tcPr>
                  <w:tcW w:w="2101" w:type="dxa"/>
                  <w:vMerge w:val="continue"/>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6"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18</w:t>
                  </w:r>
                </w:p>
              </w:tc>
              <w:tc>
                <w:tcPr>
                  <w:tcW w:w="1805" w:type="dxa"/>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废电路板</w:t>
                  </w:r>
                </w:p>
              </w:tc>
              <w:tc>
                <w:tcPr>
                  <w:tcW w:w="889"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2.4</w:t>
                  </w:r>
                </w:p>
              </w:tc>
              <w:tc>
                <w:tcPr>
                  <w:tcW w:w="1020"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4</w:t>
                  </w:r>
                </w:p>
              </w:tc>
              <w:tc>
                <w:tcPr>
                  <w:tcW w:w="796" w:type="dxa"/>
                  <w:tcBorders>
                    <w:tl2br w:val="nil"/>
                    <w:tr2bl w:val="nil"/>
                  </w:tcBorders>
                  <w:vAlign w:val="center"/>
                </w:tcPr>
                <w:p>
                  <w:pPr>
                    <w:pStyle w:val="30"/>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color w:val="000000"/>
                      <w:sz w:val="21"/>
                      <w:szCs w:val="21"/>
                      <w:u w:color="auto"/>
                      <w:lang w:val="en-US" w:eastAsia="zh-CN"/>
                    </w:rPr>
                    <w:t>1</w:t>
                  </w:r>
                </w:p>
              </w:tc>
              <w:tc>
                <w:tcPr>
                  <w:tcW w:w="650"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color w:val="000000"/>
                      <w:kern w:val="0"/>
                      <w:sz w:val="21"/>
                      <w:szCs w:val="21"/>
                      <w:u w:val="none"/>
                      <w:lang w:val="en-US" w:eastAsia="zh-CN" w:bidi="ar"/>
                    </w:rPr>
                    <w:t>0.3</w:t>
                  </w:r>
                </w:p>
              </w:tc>
              <w:tc>
                <w:tcPr>
                  <w:tcW w:w="2101" w:type="dxa"/>
                  <w:vMerge w:val="continue"/>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6"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19</w:t>
                  </w:r>
                </w:p>
              </w:tc>
              <w:tc>
                <w:tcPr>
                  <w:tcW w:w="1805" w:type="dxa"/>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废机油滤清器</w:t>
                  </w:r>
                </w:p>
              </w:tc>
              <w:tc>
                <w:tcPr>
                  <w:tcW w:w="889"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0.3</w:t>
                  </w:r>
                </w:p>
              </w:tc>
              <w:tc>
                <w:tcPr>
                  <w:tcW w:w="1020"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0.5</w:t>
                  </w:r>
                </w:p>
              </w:tc>
              <w:tc>
                <w:tcPr>
                  <w:tcW w:w="796" w:type="dxa"/>
                  <w:tcBorders>
                    <w:tl2br w:val="nil"/>
                    <w:tr2bl w:val="nil"/>
                  </w:tcBorders>
                  <w:vAlign w:val="center"/>
                </w:tcPr>
                <w:p>
                  <w:pPr>
                    <w:pStyle w:val="30"/>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color w:val="000000"/>
                      <w:sz w:val="21"/>
                      <w:szCs w:val="21"/>
                      <w:u w:color="auto"/>
                      <w:lang w:val="en-US"/>
                    </w:rPr>
                    <w:t>/</w:t>
                  </w:r>
                </w:p>
              </w:tc>
              <w:tc>
                <w:tcPr>
                  <w:tcW w:w="650"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color w:val="000000"/>
                      <w:kern w:val="0"/>
                      <w:sz w:val="21"/>
                      <w:szCs w:val="21"/>
                      <w:u w:val="none"/>
                      <w:lang w:val="en-US" w:eastAsia="zh-CN" w:bidi="ar"/>
                    </w:rPr>
                    <w:t>0.1</w:t>
                  </w:r>
                </w:p>
              </w:tc>
              <w:tc>
                <w:tcPr>
                  <w:tcW w:w="2101" w:type="dxa"/>
                  <w:vMerge w:val="continue"/>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6"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20</w:t>
                  </w:r>
                </w:p>
              </w:tc>
              <w:tc>
                <w:tcPr>
                  <w:tcW w:w="1805" w:type="dxa"/>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含有毒有害物质的部件（含汞开关、含铅部件）</w:t>
                  </w:r>
                </w:p>
              </w:tc>
              <w:tc>
                <w:tcPr>
                  <w:tcW w:w="889"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0.5</w:t>
                  </w:r>
                </w:p>
              </w:tc>
              <w:tc>
                <w:tcPr>
                  <w:tcW w:w="1020"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1</w:t>
                  </w:r>
                </w:p>
              </w:tc>
              <w:tc>
                <w:tcPr>
                  <w:tcW w:w="796" w:type="dxa"/>
                  <w:tcBorders>
                    <w:tl2br w:val="nil"/>
                    <w:tr2bl w:val="nil"/>
                  </w:tcBorders>
                  <w:vAlign w:val="center"/>
                </w:tcPr>
                <w:p>
                  <w:pPr>
                    <w:pStyle w:val="30"/>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color w:val="000000"/>
                      <w:sz w:val="21"/>
                      <w:szCs w:val="21"/>
                      <w:u w:color="auto"/>
                      <w:lang w:val="en-US" w:eastAsia="zh-CN"/>
                    </w:rPr>
                    <w:t>0.5</w:t>
                  </w:r>
                </w:p>
              </w:tc>
              <w:tc>
                <w:tcPr>
                  <w:tcW w:w="650"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color w:val="000000"/>
                      <w:kern w:val="0"/>
                      <w:sz w:val="21"/>
                      <w:szCs w:val="21"/>
                      <w:u w:val="none"/>
                      <w:lang w:val="en-US" w:eastAsia="zh-CN" w:bidi="ar"/>
                    </w:rPr>
                    <w:t>/</w:t>
                  </w:r>
                </w:p>
              </w:tc>
              <w:tc>
                <w:tcPr>
                  <w:tcW w:w="2101" w:type="dxa"/>
                  <w:vMerge w:val="continue"/>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6"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21</w:t>
                  </w:r>
                </w:p>
              </w:tc>
              <w:tc>
                <w:tcPr>
                  <w:tcW w:w="1805" w:type="dxa"/>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合计</w:t>
                  </w:r>
                </w:p>
              </w:tc>
              <w:tc>
                <w:tcPr>
                  <w:tcW w:w="889"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1300</w:t>
                  </w:r>
                </w:p>
              </w:tc>
              <w:tc>
                <w:tcPr>
                  <w:tcW w:w="1020" w:type="dxa"/>
                  <w:tcBorders>
                    <w:tl2br w:val="nil"/>
                    <w:tr2bl w:val="nil"/>
                  </w:tcBorders>
                  <w:vAlign w:val="center"/>
                </w:tcPr>
                <w:p>
                  <w:pPr>
                    <w:pStyle w:val="30"/>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color w:val="000000"/>
                      <w:sz w:val="21"/>
                      <w:szCs w:val="21"/>
                      <w:u w:color="auto"/>
                      <w:lang w:val="en-US" w:eastAsia="zh-CN"/>
                    </w:rPr>
                    <w:t>5300</w:t>
                  </w:r>
                </w:p>
              </w:tc>
              <w:tc>
                <w:tcPr>
                  <w:tcW w:w="796" w:type="dxa"/>
                  <w:tcBorders>
                    <w:tl2br w:val="nil"/>
                    <w:tr2bl w:val="nil"/>
                  </w:tcBorders>
                  <w:vAlign w:val="center"/>
                </w:tcPr>
                <w:p>
                  <w:pPr>
                    <w:pStyle w:val="30"/>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color w:val="000000"/>
                      <w:sz w:val="21"/>
                      <w:szCs w:val="21"/>
                      <w:u w:color="auto"/>
                      <w:lang w:val="en-US" w:eastAsia="zh-CN"/>
                    </w:rPr>
                    <w:t>1300</w:t>
                  </w:r>
                </w:p>
              </w:tc>
              <w:tc>
                <w:tcPr>
                  <w:tcW w:w="650"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i w:val="0"/>
                      <w:color w:val="000000"/>
                      <w:kern w:val="0"/>
                      <w:sz w:val="21"/>
                      <w:szCs w:val="21"/>
                      <w:u w:val="none"/>
                      <w:lang w:val="en-US" w:eastAsia="zh-CN" w:bidi="ar"/>
                    </w:rPr>
                    <w:t>150</w:t>
                  </w:r>
                </w:p>
              </w:tc>
              <w:tc>
                <w:tcPr>
                  <w:tcW w:w="2101"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w:t>
                  </w:r>
                </w:p>
              </w:tc>
            </w:tr>
          </w:tbl>
          <w:p>
            <w:pPr>
              <w:pStyle w:val="15"/>
              <w:keepNext w:val="0"/>
              <w:keepLines w:val="0"/>
              <w:pageBreakBefore w:val="0"/>
              <w:widowControl/>
              <w:numPr>
                <w:ilvl w:val="0"/>
                <w:numId w:val="0"/>
              </w:numPr>
              <w:kinsoku/>
              <w:wordWrap/>
              <w:overflowPunct/>
              <w:topLinePunct w:val="0"/>
              <w:autoSpaceDE/>
              <w:autoSpaceDN/>
              <w:bidi w:val="0"/>
              <w:adjustRightInd/>
              <w:snapToGrid/>
              <w:spacing w:before="0" w:beforeAutospacing="0" w:after="0" w:afterAutospacing="0" w:line="360" w:lineRule="auto"/>
              <w:jc w:val="both"/>
              <w:textAlignment w:val="auto"/>
              <w:outlineLvl w:val="0"/>
              <w:rPr>
                <w:rFonts w:hint="eastAsia"/>
                <w:color w:val="auto"/>
                <w:sz w:val="24"/>
                <w:szCs w:val="24"/>
                <w:u w:color="auto"/>
                <w:lang w:val="en-US" w:eastAsia="zh-CN"/>
              </w:rPr>
            </w:pPr>
            <w:r>
              <w:rPr>
                <w:rFonts w:hint="eastAsia" w:ascii="Times New Roman" w:hAnsi="Times New Roman" w:eastAsia="宋体" w:cs="Times New Roman"/>
                <w:b w:val="0"/>
                <w:color w:val="auto"/>
                <w:kern w:val="2"/>
                <w:sz w:val="24"/>
                <w:szCs w:val="24"/>
                <w:u w:color="auto"/>
                <w:lang w:val="en-US" w:eastAsia="zh-CN" w:bidi="ar-SA"/>
              </w:rPr>
              <w:t>注：</w:t>
            </w:r>
            <w:r>
              <w:rPr>
                <w:rFonts w:hint="eastAsia"/>
                <w:color w:val="auto"/>
                <w:sz w:val="24"/>
                <w:szCs w:val="24"/>
                <w:u w:color="auto"/>
                <w:lang w:val="en-US" w:eastAsia="zh-CN"/>
              </w:rPr>
              <w:fldChar w:fldCharType="begin"/>
            </w:r>
            <w:r>
              <w:rPr>
                <w:rFonts w:hint="eastAsia"/>
                <w:color w:val="auto"/>
                <w:sz w:val="24"/>
                <w:szCs w:val="24"/>
                <w:u w:color="auto"/>
                <w:lang w:val="en-US" w:eastAsia="zh-CN"/>
              </w:rPr>
              <w:instrText xml:space="preserve"> = 1 \* GB3 \* MERGEFORMAT </w:instrText>
            </w:r>
            <w:r>
              <w:rPr>
                <w:rFonts w:hint="eastAsia"/>
                <w:color w:val="auto"/>
                <w:sz w:val="24"/>
                <w:szCs w:val="24"/>
                <w:u w:color="auto"/>
                <w:lang w:val="en-US" w:eastAsia="zh-CN"/>
              </w:rPr>
              <w:fldChar w:fldCharType="separate"/>
            </w:r>
            <w:r>
              <w:rPr>
                <w:rFonts w:hint="eastAsia"/>
                <w:color w:val="auto"/>
                <w:sz w:val="24"/>
                <w:szCs w:val="24"/>
                <w:u w:color="auto"/>
                <w:lang w:val="en-US" w:eastAsia="zh-CN"/>
              </w:rPr>
              <w:t>①</w:t>
            </w:r>
            <w:r>
              <w:rPr>
                <w:rFonts w:hint="eastAsia"/>
                <w:color w:val="auto"/>
                <w:sz w:val="24"/>
                <w:szCs w:val="24"/>
                <w:u w:color="auto"/>
                <w:lang w:val="en-US" w:eastAsia="zh-CN"/>
              </w:rPr>
              <w:fldChar w:fldCharType="end"/>
            </w:r>
            <w:r>
              <w:rPr>
                <w:rFonts w:hint="eastAsia"/>
                <w:color w:val="auto"/>
                <w:sz w:val="24"/>
                <w:szCs w:val="24"/>
                <w:u w:color="auto"/>
                <w:lang w:val="en-US" w:eastAsia="zh-CN"/>
              </w:rPr>
              <w:t>不可利用废物主要为麻织物、废泡沫、废海绵及废皮革等。</w:t>
            </w:r>
          </w:p>
          <w:p>
            <w:pPr>
              <w:pStyle w:val="15"/>
              <w:keepNext w:val="0"/>
              <w:keepLines w:val="0"/>
              <w:pageBreakBefore w:val="0"/>
              <w:widowControl/>
              <w:numPr>
                <w:ilvl w:val="0"/>
                <w:numId w:val="0"/>
              </w:numPr>
              <w:kinsoku/>
              <w:wordWrap/>
              <w:overflowPunct/>
              <w:topLinePunct w:val="0"/>
              <w:autoSpaceDE/>
              <w:autoSpaceDN/>
              <w:bidi w:val="0"/>
              <w:adjustRightInd/>
              <w:snapToGrid/>
              <w:spacing w:before="0" w:beforeAutospacing="0" w:after="0" w:afterAutospacing="0" w:line="360" w:lineRule="auto"/>
              <w:ind w:firstLine="480" w:firstLineChars="200"/>
              <w:jc w:val="both"/>
              <w:textAlignment w:val="auto"/>
              <w:outlineLvl w:val="0"/>
              <w:rPr>
                <w:rFonts w:hint="eastAsia"/>
                <w:color w:val="auto"/>
                <w:sz w:val="24"/>
                <w:szCs w:val="24"/>
                <w:u w:color="auto"/>
                <w:lang w:val="en-US" w:eastAsia="zh-CN"/>
              </w:rPr>
            </w:pPr>
            <w:r>
              <w:rPr>
                <w:rFonts w:hint="eastAsia"/>
                <w:color w:val="auto"/>
                <w:sz w:val="24"/>
                <w:szCs w:val="24"/>
                <w:u w:color="auto"/>
                <w:lang w:val="en-US"/>
              </w:rPr>
              <w:fldChar w:fldCharType="begin"/>
            </w:r>
            <w:r>
              <w:rPr>
                <w:rFonts w:hint="eastAsia"/>
                <w:color w:val="auto"/>
                <w:sz w:val="24"/>
                <w:szCs w:val="24"/>
                <w:u w:color="auto"/>
                <w:lang w:val="en-US"/>
              </w:rPr>
              <w:instrText xml:space="preserve"> = 2 \* GB3 \* MERGEFORMAT </w:instrText>
            </w:r>
            <w:r>
              <w:rPr>
                <w:rFonts w:hint="eastAsia"/>
                <w:color w:val="auto"/>
                <w:sz w:val="24"/>
                <w:szCs w:val="24"/>
                <w:u w:color="auto"/>
                <w:lang w:val="en-US"/>
              </w:rPr>
              <w:fldChar w:fldCharType="separate"/>
            </w:r>
            <w:r>
              <w:rPr>
                <w:color w:val="auto"/>
                <w:sz w:val="24"/>
                <w:szCs w:val="24"/>
                <w:u w:color="auto"/>
              </w:rPr>
              <w:t>②</w:t>
            </w:r>
            <w:r>
              <w:rPr>
                <w:rFonts w:hint="eastAsia"/>
                <w:color w:val="auto"/>
                <w:sz w:val="24"/>
                <w:szCs w:val="24"/>
                <w:u w:color="auto"/>
                <w:lang w:val="en-US"/>
              </w:rPr>
              <w:fldChar w:fldCharType="end"/>
            </w:r>
            <w:r>
              <w:rPr>
                <w:rFonts w:hint="eastAsia"/>
                <w:color w:val="auto"/>
                <w:sz w:val="24"/>
                <w:szCs w:val="24"/>
                <w:u w:color="auto"/>
                <w:lang w:val="en-US"/>
              </w:rPr>
              <w:t>废蓄电池主要指普通燃油机动车的铅蓄电池，属于危险废物。新能源汽车</w:t>
            </w:r>
            <w:r>
              <w:rPr>
                <w:rFonts w:hint="eastAsia"/>
                <w:color w:val="auto"/>
                <w:sz w:val="24"/>
                <w:szCs w:val="24"/>
                <w:u w:color="auto"/>
                <w:lang w:val="en-US" w:eastAsia="zh-CN"/>
              </w:rPr>
              <w:t>使用的</w:t>
            </w:r>
            <w:r>
              <w:rPr>
                <w:rFonts w:hint="eastAsia"/>
                <w:color w:val="auto"/>
                <w:sz w:val="24"/>
                <w:szCs w:val="24"/>
                <w:u w:color="auto"/>
                <w:lang w:val="en-US"/>
              </w:rPr>
              <w:t>锂离子等动力电池</w:t>
            </w:r>
            <w:r>
              <w:rPr>
                <w:rFonts w:hint="eastAsia"/>
                <w:color w:val="auto"/>
                <w:sz w:val="24"/>
                <w:szCs w:val="24"/>
                <w:u w:color="auto"/>
                <w:lang w:val="en-US" w:eastAsia="zh-CN"/>
              </w:rPr>
              <w:t>属于一般固体废物。</w:t>
            </w:r>
          </w:p>
          <w:p>
            <w:pPr>
              <w:pStyle w:val="15"/>
              <w:keepNext w:val="0"/>
              <w:keepLines w:val="0"/>
              <w:pageBreakBefore w:val="0"/>
              <w:widowControl/>
              <w:numPr>
                <w:ilvl w:val="0"/>
                <w:numId w:val="0"/>
              </w:numPr>
              <w:kinsoku/>
              <w:wordWrap/>
              <w:overflowPunct/>
              <w:topLinePunct w:val="0"/>
              <w:autoSpaceDE/>
              <w:autoSpaceDN/>
              <w:bidi w:val="0"/>
              <w:adjustRightInd/>
              <w:snapToGrid/>
              <w:spacing w:before="0" w:beforeAutospacing="0" w:after="0" w:afterAutospacing="0" w:line="360" w:lineRule="auto"/>
              <w:ind w:firstLine="480" w:firstLineChars="200"/>
              <w:jc w:val="both"/>
              <w:textAlignment w:val="auto"/>
              <w:outlineLvl w:val="0"/>
              <w:rPr>
                <w:rFonts w:hint="eastAsia"/>
                <w:color w:val="auto"/>
                <w:sz w:val="24"/>
                <w:szCs w:val="24"/>
                <w:u w:color="auto"/>
                <w:lang w:val="en-US"/>
              </w:rPr>
            </w:pPr>
            <w:r>
              <w:rPr>
                <w:rFonts w:hint="eastAsia"/>
                <w:color w:val="auto"/>
                <w:sz w:val="24"/>
                <w:szCs w:val="24"/>
                <w:u w:color="auto"/>
                <w:lang w:val="en-US"/>
              </w:rPr>
              <w:fldChar w:fldCharType="begin"/>
            </w:r>
            <w:r>
              <w:rPr>
                <w:rFonts w:hint="eastAsia"/>
                <w:color w:val="auto"/>
                <w:sz w:val="24"/>
                <w:szCs w:val="24"/>
                <w:u w:color="auto"/>
                <w:lang w:val="en-US"/>
              </w:rPr>
              <w:instrText xml:space="preserve"> = 3 \* GB3 \* MERGEFORMAT </w:instrText>
            </w:r>
            <w:r>
              <w:rPr>
                <w:rFonts w:hint="eastAsia"/>
                <w:color w:val="auto"/>
                <w:sz w:val="24"/>
                <w:szCs w:val="24"/>
                <w:u w:color="auto"/>
                <w:lang w:val="en-US"/>
              </w:rPr>
              <w:fldChar w:fldCharType="separate"/>
            </w:r>
            <w:r>
              <w:rPr>
                <w:rFonts w:hint="eastAsia"/>
                <w:color w:val="auto"/>
                <w:sz w:val="24"/>
                <w:szCs w:val="24"/>
                <w:u w:color="auto"/>
                <w:lang w:val="en-US"/>
              </w:rPr>
              <w:t>③</w:t>
            </w:r>
            <w:r>
              <w:rPr>
                <w:rFonts w:hint="eastAsia"/>
                <w:color w:val="auto"/>
                <w:sz w:val="24"/>
                <w:szCs w:val="24"/>
                <w:u w:color="auto"/>
                <w:lang w:val="en-US"/>
              </w:rPr>
              <w:fldChar w:fldCharType="end"/>
            </w:r>
            <w:r>
              <w:rPr>
                <w:rFonts w:hint="eastAsia"/>
                <w:color w:val="auto"/>
                <w:sz w:val="24"/>
                <w:szCs w:val="24"/>
                <w:u w:color="auto"/>
                <w:lang w:val="en-US" w:eastAsia="zh-CN"/>
              </w:rPr>
              <w:t xml:space="preserve"> </w:t>
            </w:r>
            <w:r>
              <w:rPr>
                <w:rFonts w:hint="eastAsia"/>
                <w:color w:val="auto"/>
                <w:sz w:val="24"/>
                <w:szCs w:val="24"/>
                <w:u w:color="auto"/>
                <w:lang w:val="en-US"/>
              </w:rPr>
              <w:t>废油液是指除燃油外的废矿物油（发动机润滑油、变速箱油、助力转向油、差速器油、制动液等石油类或合成润滑剂物质）。</w:t>
            </w:r>
          </w:p>
          <w:p>
            <w:pPr>
              <w:pStyle w:val="31"/>
              <w:spacing w:line="360" w:lineRule="auto"/>
              <w:rPr>
                <w:rFonts w:hint="eastAsia"/>
                <w:color w:val="auto"/>
                <w:sz w:val="24"/>
                <w:szCs w:val="24"/>
                <w:u w:color="auto"/>
              </w:rPr>
            </w:pPr>
            <w:r>
              <w:rPr>
                <w:rFonts w:hint="eastAsia"/>
                <w:color w:val="auto"/>
                <w:sz w:val="24"/>
                <w:szCs w:val="24"/>
                <w:u w:color="auto"/>
              </w:rPr>
              <w:fldChar w:fldCharType="begin"/>
            </w:r>
            <w:r>
              <w:rPr>
                <w:rFonts w:hint="eastAsia"/>
                <w:color w:val="auto"/>
                <w:sz w:val="24"/>
                <w:szCs w:val="24"/>
                <w:u w:color="auto"/>
              </w:rPr>
              <w:instrText xml:space="preserve"> = 4 \* GB3 \* MERGEFORMAT </w:instrText>
            </w:r>
            <w:r>
              <w:rPr>
                <w:rFonts w:hint="eastAsia"/>
                <w:color w:val="auto"/>
                <w:sz w:val="24"/>
                <w:szCs w:val="24"/>
                <w:u w:color="auto"/>
              </w:rPr>
              <w:fldChar w:fldCharType="separate"/>
            </w:r>
            <w:r>
              <w:rPr>
                <w:color w:val="auto"/>
                <w:sz w:val="24"/>
                <w:szCs w:val="24"/>
                <w:u w:color="auto"/>
              </w:rPr>
              <w:t>④</w:t>
            </w:r>
            <w:r>
              <w:rPr>
                <w:rFonts w:hint="eastAsia"/>
                <w:color w:val="auto"/>
                <w:sz w:val="24"/>
                <w:szCs w:val="24"/>
                <w:u w:color="auto"/>
              </w:rPr>
              <w:fldChar w:fldCharType="end"/>
            </w:r>
            <w:r>
              <w:rPr>
                <w:rFonts w:hint="eastAsia"/>
                <w:color w:val="auto"/>
                <w:sz w:val="24"/>
                <w:szCs w:val="24"/>
                <w:u w:color="auto"/>
              </w:rPr>
              <w:t>“五大总成”指的是发动机、方向盘、变速器、前后桥、车架。</w:t>
            </w:r>
          </w:p>
          <w:p>
            <w:pPr>
              <w:pStyle w:val="27"/>
              <w:bidi w:val="0"/>
              <w:spacing w:line="240" w:lineRule="auto"/>
              <w:jc w:val="center"/>
              <w:rPr>
                <w:rFonts w:hint="eastAsia"/>
                <w:vertAlign w:val="baseline"/>
                <w:lang w:val="en-US" w:eastAsia="zh-CN"/>
              </w:rPr>
            </w:pPr>
            <w:r>
              <w:rPr>
                <w:rFonts w:hint="eastAsia"/>
                <w:lang w:val="en-US" w:eastAsia="zh-CN"/>
              </w:rPr>
              <w:t xml:space="preserve">表2-5  全厂报废汽车拆解回收项目物料平衡表  </w:t>
            </w:r>
          </w:p>
          <w:tbl>
            <w:tblPr>
              <w:tblStyle w:val="18"/>
              <w:tblW w:w="0" w:type="auto"/>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589"/>
              <w:gridCol w:w="775"/>
              <w:gridCol w:w="741"/>
              <w:gridCol w:w="508"/>
              <w:gridCol w:w="1336"/>
              <w:gridCol w:w="745"/>
              <w:gridCol w:w="863"/>
              <w:gridCol w:w="718"/>
              <w:gridCol w:w="618"/>
              <w:gridCol w:w="794"/>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2105" w:type="dxa"/>
                  <w:gridSpan w:val="3"/>
                  <w:vMerge w:val="restar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入方 t/a</w:t>
                  </w:r>
                </w:p>
              </w:tc>
              <w:tc>
                <w:tcPr>
                  <w:tcW w:w="5582" w:type="dxa"/>
                  <w:gridSpan w:val="7"/>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出方 t/a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228" w:hRule="atLeast"/>
                <w:jc w:val="center"/>
              </w:trPr>
              <w:tc>
                <w:tcPr>
                  <w:tcW w:w="2105" w:type="dxa"/>
                  <w:gridSpan w:val="3"/>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1844" w:type="dxa"/>
                  <w:gridSpan w:val="2"/>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w:t>
                  </w:r>
                </w:p>
              </w:tc>
              <w:tc>
                <w:tcPr>
                  <w:tcW w:w="745"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燃油小型汽车</w:t>
                  </w:r>
                </w:p>
              </w:tc>
              <w:tc>
                <w:tcPr>
                  <w:tcW w:w="863"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燃油中大型汽车</w:t>
                  </w:r>
                </w:p>
              </w:tc>
              <w:tc>
                <w:tcPr>
                  <w:tcW w:w="718"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新能源电车</w:t>
                  </w:r>
                </w:p>
              </w:tc>
              <w:tc>
                <w:tcPr>
                  <w:tcW w:w="618"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摩托车</w:t>
                  </w:r>
                </w:p>
              </w:tc>
              <w:tc>
                <w:tcPr>
                  <w:tcW w:w="794"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合计</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89" w:type="dxa"/>
                  <w:vMerge w:val="restar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燃油小型汽车</w:t>
                  </w:r>
                </w:p>
              </w:tc>
              <w:tc>
                <w:tcPr>
                  <w:tcW w:w="775" w:type="dxa"/>
                  <w:vMerge w:val="restar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5</w:t>
                  </w:r>
                  <w:r>
                    <w:rPr>
                      <w:rFonts w:hint="default" w:ascii="Times New Roman" w:hAnsi="Times New Roman" w:eastAsia="宋体" w:cs="Times New Roman"/>
                      <w:sz w:val="21"/>
                      <w:szCs w:val="21"/>
                      <w:lang w:val="en-US" w:eastAsia="zh-CN"/>
                    </w:rPr>
                    <w:t>000辆</w:t>
                  </w:r>
                </w:p>
              </w:tc>
              <w:tc>
                <w:tcPr>
                  <w:tcW w:w="741" w:type="dxa"/>
                  <w:vMerge w:val="restar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6500</w:t>
                  </w:r>
                </w:p>
              </w:tc>
              <w:tc>
                <w:tcPr>
                  <w:tcW w:w="508" w:type="dxa"/>
                  <w:vMerge w:val="restar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产品</w:t>
                  </w:r>
                </w:p>
              </w:tc>
              <w:tc>
                <w:tcPr>
                  <w:tcW w:w="1336"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钢铁</w:t>
                  </w:r>
                </w:p>
              </w:tc>
              <w:tc>
                <w:tcPr>
                  <w:tcW w:w="745"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1614</w:t>
                  </w:r>
                </w:p>
              </w:tc>
              <w:tc>
                <w:tcPr>
                  <w:tcW w:w="863"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5573</w:t>
                  </w:r>
                </w:p>
              </w:tc>
              <w:tc>
                <w:tcPr>
                  <w:tcW w:w="718"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290</w:t>
                  </w:r>
                </w:p>
              </w:tc>
              <w:tc>
                <w:tcPr>
                  <w:tcW w:w="618"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42.6</w:t>
                  </w:r>
                </w:p>
              </w:tc>
              <w:tc>
                <w:tcPr>
                  <w:tcW w:w="794"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7519.6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89" w:type="dxa"/>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775" w:type="dxa"/>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741" w:type="dxa"/>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508" w:type="dxa"/>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1336"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有色金属</w:t>
                  </w:r>
                </w:p>
              </w:tc>
              <w:tc>
                <w:tcPr>
                  <w:tcW w:w="745"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400</w:t>
                  </w:r>
                </w:p>
              </w:tc>
              <w:tc>
                <w:tcPr>
                  <w:tcW w:w="863"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600</w:t>
                  </w:r>
                </w:p>
              </w:tc>
              <w:tc>
                <w:tcPr>
                  <w:tcW w:w="718"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47.5</w:t>
                  </w:r>
                </w:p>
              </w:tc>
              <w:tc>
                <w:tcPr>
                  <w:tcW w:w="618"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40</w:t>
                  </w:r>
                </w:p>
              </w:tc>
              <w:tc>
                <w:tcPr>
                  <w:tcW w:w="794"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1087.5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89" w:type="dxa"/>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775" w:type="dxa"/>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741" w:type="dxa"/>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508" w:type="dxa"/>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1336"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玻璃</w:t>
                  </w:r>
                </w:p>
              </w:tc>
              <w:tc>
                <w:tcPr>
                  <w:tcW w:w="745"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110</w:t>
                  </w:r>
                </w:p>
              </w:tc>
              <w:tc>
                <w:tcPr>
                  <w:tcW w:w="863"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100</w:t>
                  </w:r>
                </w:p>
              </w:tc>
              <w:tc>
                <w:tcPr>
                  <w:tcW w:w="718"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22</w:t>
                  </w:r>
                </w:p>
              </w:tc>
              <w:tc>
                <w:tcPr>
                  <w:tcW w:w="618"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0.4</w:t>
                  </w:r>
                </w:p>
              </w:tc>
              <w:tc>
                <w:tcPr>
                  <w:tcW w:w="794"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232.4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89" w:type="dxa"/>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775" w:type="dxa"/>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741" w:type="dxa"/>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508" w:type="dxa"/>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1336"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塑料</w:t>
                  </w:r>
                </w:p>
              </w:tc>
              <w:tc>
                <w:tcPr>
                  <w:tcW w:w="745"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200</w:t>
                  </w:r>
                </w:p>
              </w:tc>
              <w:tc>
                <w:tcPr>
                  <w:tcW w:w="863"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160</w:t>
                  </w:r>
                </w:p>
              </w:tc>
              <w:tc>
                <w:tcPr>
                  <w:tcW w:w="718"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40</w:t>
                  </w:r>
                </w:p>
              </w:tc>
              <w:tc>
                <w:tcPr>
                  <w:tcW w:w="618"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10</w:t>
                  </w:r>
                </w:p>
              </w:tc>
              <w:tc>
                <w:tcPr>
                  <w:tcW w:w="794"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410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89" w:type="dxa"/>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775" w:type="dxa"/>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741" w:type="dxa"/>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508" w:type="dxa"/>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1336"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橡胶</w:t>
                  </w:r>
                </w:p>
              </w:tc>
              <w:tc>
                <w:tcPr>
                  <w:tcW w:w="745"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215</w:t>
                  </w:r>
                </w:p>
              </w:tc>
              <w:tc>
                <w:tcPr>
                  <w:tcW w:w="863"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340</w:t>
                  </w:r>
                </w:p>
              </w:tc>
              <w:tc>
                <w:tcPr>
                  <w:tcW w:w="718"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43</w:t>
                  </w:r>
                </w:p>
              </w:tc>
              <w:tc>
                <w:tcPr>
                  <w:tcW w:w="618"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20</w:t>
                  </w:r>
                </w:p>
              </w:tc>
              <w:tc>
                <w:tcPr>
                  <w:tcW w:w="794"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618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89" w:type="dxa"/>
                  <w:vMerge w:val="restar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燃油中大型汽车</w:t>
                  </w:r>
                </w:p>
              </w:tc>
              <w:tc>
                <w:tcPr>
                  <w:tcW w:w="775" w:type="dxa"/>
                  <w:vMerge w:val="restar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2000</w:t>
                  </w:r>
                  <w:r>
                    <w:rPr>
                      <w:rFonts w:hint="default" w:ascii="Times New Roman" w:hAnsi="Times New Roman" w:eastAsia="宋体" w:cs="Times New Roman"/>
                      <w:sz w:val="21"/>
                      <w:szCs w:val="21"/>
                      <w:lang w:val="en-US" w:eastAsia="zh-CN"/>
                    </w:rPr>
                    <w:t>辆</w:t>
                  </w:r>
                </w:p>
              </w:tc>
              <w:tc>
                <w:tcPr>
                  <w:tcW w:w="741" w:type="dxa"/>
                  <w:vMerge w:val="restar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10600</w:t>
                  </w:r>
                </w:p>
              </w:tc>
              <w:tc>
                <w:tcPr>
                  <w:tcW w:w="508" w:type="dxa"/>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1336"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可用零部件</w:t>
                  </w:r>
                </w:p>
              </w:tc>
              <w:tc>
                <w:tcPr>
                  <w:tcW w:w="745"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325</w:t>
                  </w:r>
                </w:p>
              </w:tc>
              <w:tc>
                <w:tcPr>
                  <w:tcW w:w="863"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180</w:t>
                  </w:r>
                </w:p>
              </w:tc>
              <w:tc>
                <w:tcPr>
                  <w:tcW w:w="718"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65</w:t>
                  </w:r>
                </w:p>
              </w:tc>
              <w:tc>
                <w:tcPr>
                  <w:tcW w:w="618"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10</w:t>
                  </w:r>
                </w:p>
              </w:tc>
              <w:tc>
                <w:tcPr>
                  <w:tcW w:w="794"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580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89" w:type="dxa"/>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775" w:type="dxa"/>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741" w:type="dxa"/>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508" w:type="dxa"/>
                  <w:vMerge w:val="continue"/>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1336"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动力电池</w:t>
                  </w:r>
                </w:p>
              </w:tc>
              <w:tc>
                <w:tcPr>
                  <w:tcW w:w="745"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863"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718"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100</w:t>
                  </w:r>
                </w:p>
              </w:tc>
              <w:tc>
                <w:tcPr>
                  <w:tcW w:w="618"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794"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89" w:type="dxa"/>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775" w:type="dxa"/>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741" w:type="dxa"/>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508" w:type="dxa"/>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1336"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五大总成</w:t>
                  </w:r>
                </w:p>
              </w:tc>
              <w:tc>
                <w:tcPr>
                  <w:tcW w:w="745"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3250</w:t>
                  </w:r>
                </w:p>
              </w:tc>
              <w:tc>
                <w:tcPr>
                  <w:tcW w:w="863"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3162</w:t>
                  </w:r>
                </w:p>
              </w:tc>
              <w:tc>
                <w:tcPr>
                  <w:tcW w:w="718"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633</w:t>
                  </w:r>
                </w:p>
              </w:tc>
              <w:tc>
                <w:tcPr>
                  <w:tcW w:w="618"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150</w:t>
                  </w:r>
                </w:p>
              </w:tc>
              <w:tc>
                <w:tcPr>
                  <w:tcW w:w="794"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7195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89" w:type="dxa"/>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775" w:type="dxa"/>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741" w:type="dxa"/>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508" w:type="dxa"/>
                  <w:vMerge w:val="restar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一般固废</w:t>
                  </w:r>
                </w:p>
              </w:tc>
              <w:tc>
                <w:tcPr>
                  <w:tcW w:w="1336"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不可利用废物</w:t>
                  </w:r>
                </w:p>
              </w:tc>
              <w:tc>
                <w:tcPr>
                  <w:tcW w:w="745"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200</w:t>
                  </w:r>
                </w:p>
              </w:tc>
              <w:tc>
                <w:tcPr>
                  <w:tcW w:w="863"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300</w:t>
                  </w:r>
                </w:p>
              </w:tc>
              <w:tc>
                <w:tcPr>
                  <w:tcW w:w="718"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40</w:t>
                  </w:r>
                </w:p>
              </w:tc>
              <w:tc>
                <w:tcPr>
                  <w:tcW w:w="618"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12</w:t>
                  </w:r>
                </w:p>
              </w:tc>
              <w:tc>
                <w:tcPr>
                  <w:tcW w:w="794"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552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89" w:type="dxa"/>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775" w:type="dxa"/>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741" w:type="dxa"/>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508" w:type="dxa"/>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1336"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废安全气囊</w:t>
                  </w:r>
                </w:p>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（引爆后）</w:t>
                  </w:r>
                </w:p>
              </w:tc>
              <w:tc>
                <w:tcPr>
                  <w:tcW w:w="745"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5</w:t>
                  </w:r>
                </w:p>
              </w:tc>
              <w:tc>
                <w:tcPr>
                  <w:tcW w:w="863"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w:t>
                  </w:r>
                </w:p>
              </w:tc>
              <w:tc>
                <w:tcPr>
                  <w:tcW w:w="718"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1</w:t>
                  </w:r>
                </w:p>
              </w:tc>
              <w:tc>
                <w:tcPr>
                  <w:tcW w:w="618"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794"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89" w:type="dxa"/>
                  <w:vMerge w:val="restar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新能源</w:t>
                  </w:r>
                  <w:r>
                    <w:rPr>
                      <w:rFonts w:hint="eastAsia" w:ascii="Times New Roman" w:hAnsi="Times New Roman" w:eastAsia="宋体" w:cs="Times New Roman"/>
                      <w:sz w:val="21"/>
                      <w:szCs w:val="21"/>
                      <w:lang w:val="en-US" w:eastAsia="zh-CN"/>
                    </w:rPr>
                    <w:t>电车</w:t>
                  </w:r>
                </w:p>
              </w:tc>
              <w:tc>
                <w:tcPr>
                  <w:tcW w:w="775" w:type="dxa"/>
                  <w:vMerge w:val="restar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1000</w:t>
                  </w:r>
                  <w:r>
                    <w:rPr>
                      <w:rFonts w:hint="default" w:ascii="Times New Roman" w:hAnsi="Times New Roman" w:eastAsia="宋体" w:cs="Times New Roman"/>
                      <w:sz w:val="21"/>
                      <w:szCs w:val="21"/>
                      <w:lang w:val="en-US" w:eastAsia="zh-CN"/>
                    </w:rPr>
                    <w:t>辆</w:t>
                  </w:r>
                </w:p>
              </w:tc>
              <w:tc>
                <w:tcPr>
                  <w:tcW w:w="741" w:type="dxa"/>
                  <w:vMerge w:val="restar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1300</w:t>
                  </w:r>
                </w:p>
              </w:tc>
              <w:tc>
                <w:tcPr>
                  <w:tcW w:w="508" w:type="dxa"/>
                  <w:vMerge w:val="restar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危险废物</w:t>
                  </w:r>
                </w:p>
              </w:tc>
              <w:tc>
                <w:tcPr>
                  <w:tcW w:w="1336"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废蓄电池</w:t>
                  </w:r>
                </w:p>
              </w:tc>
              <w:tc>
                <w:tcPr>
                  <w:tcW w:w="745"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60</w:t>
                  </w:r>
                </w:p>
              </w:tc>
              <w:tc>
                <w:tcPr>
                  <w:tcW w:w="863"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100</w:t>
                  </w:r>
                </w:p>
              </w:tc>
              <w:tc>
                <w:tcPr>
                  <w:tcW w:w="718"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618"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w:t>
                  </w:r>
                </w:p>
              </w:tc>
              <w:tc>
                <w:tcPr>
                  <w:tcW w:w="794"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162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89" w:type="dxa"/>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775" w:type="dxa"/>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741" w:type="dxa"/>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508" w:type="dxa"/>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1336"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废电容器</w:t>
                  </w:r>
                </w:p>
              </w:tc>
              <w:tc>
                <w:tcPr>
                  <w:tcW w:w="745"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60</w:t>
                  </w:r>
                </w:p>
              </w:tc>
              <w:tc>
                <w:tcPr>
                  <w:tcW w:w="863"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30</w:t>
                  </w:r>
                </w:p>
              </w:tc>
              <w:tc>
                <w:tcPr>
                  <w:tcW w:w="718"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12</w:t>
                  </w:r>
                </w:p>
              </w:tc>
              <w:tc>
                <w:tcPr>
                  <w:tcW w:w="618"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8</w:t>
                  </w:r>
                </w:p>
              </w:tc>
              <w:tc>
                <w:tcPr>
                  <w:tcW w:w="794"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110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89" w:type="dxa"/>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775" w:type="dxa"/>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741" w:type="dxa"/>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508" w:type="dxa"/>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1336"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废尾气</w:t>
                  </w:r>
                </w:p>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净化装置</w:t>
                  </w:r>
                </w:p>
              </w:tc>
              <w:tc>
                <w:tcPr>
                  <w:tcW w:w="745"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5</w:t>
                  </w:r>
                </w:p>
              </w:tc>
              <w:tc>
                <w:tcPr>
                  <w:tcW w:w="863"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8</w:t>
                  </w:r>
                </w:p>
              </w:tc>
              <w:tc>
                <w:tcPr>
                  <w:tcW w:w="718"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w:t>
                  </w:r>
                </w:p>
              </w:tc>
              <w:tc>
                <w:tcPr>
                  <w:tcW w:w="618"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0.2</w:t>
                  </w:r>
                </w:p>
              </w:tc>
              <w:tc>
                <w:tcPr>
                  <w:tcW w:w="794"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13.2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89" w:type="dxa"/>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775" w:type="dxa"/>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741" w:type="dxa"/>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508" w:type="dxa"/>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1336"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废油液</w:t>
                  </w:r>
                </w:p>
              </w:tc>
              <w:tc>
                <w:tcPr>
                  <w:tcW w:w="745"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25</w:t>
                  </w:r>
                </w:p>
              </w:tc>
              <w:tc>
                <w:tcPr>
                  <w:tcW w:w="863"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20</w:t>
                  </w:r>
                </w:p>
              </w:tc>
              <w:tc>
                <w:tcPr>
                  <w:tcW w:w="718"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2</w:t>
                  </w:r>
                </w:p>
              </w:tc>
              <w:tc>
                <w:tcPr>
                  <w:tcW w:w="618"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w:t>
                  </w:r>
                </w:p>
              </w:tc>
              <w:tc>
                <w:tcPr>
                  <w:tcW w:w="794"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50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89" w:type="dxa"/>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775" w:type="dxa"/>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741" w:type="dxa"/>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508" w:type="dxa"/>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1336"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燃油（柴、汽油）</w:t>
                  </w:r>
                </w:p>
              </w:tc>
              <w:tc>
                <w:tcPr>
                  <w:tcW w:w="745"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10</w:t>
                  </w:r>
                </w:p>
              </w:tc>
              <w:tc>
                <w:tcPr>
                  <w:tcW w:w="863"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10</w:t>
                  </w:r>
                </w:p>
              </w:tc>
              <w:tc>
                <w:tcPr>
                  <w:tcW w:w="718"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w:t>
                  </w:r>
                </w:p>
              </w:tc>
              <w:tc>
                <w:tcPr>
                  <w:tcW w:w="618"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w:t>
                  </w:r>
                </w:p>
              </w:tc>
              <w:tc>
                <w:tcPr>
                  <w:tcW w:w="794"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21</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89" w:type="dxa"/>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775" w:type="dxa"/>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741" w:type="dxa"/>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508" w:type="dxa"/>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1336"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废空调制冷剂</w:t>
                  </w:r>
                </w:p>
              </w:tc>
              <w:tc>
                <w:tcPr>
                  <w:tcW w:w="745"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5</w:t>
                  </w:r>
                </w:p>
              </w:tc>
              <w:tc>
                <w:tcPr>
                  <w:tcW w:w="863"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4</w:t>
                  </w:r>
                </w:p>
              </w:tc>
              <w:tc>
                <w:tcPr>
                  <w:tcW w:w="718"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1</w:t>
                  </w:r>
                </w:p>
              </w:tc>
              <w:tc>
                <w:tcPr>
                  <w:tcW w:w="618"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794"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89" w:type="dxa"/>
                  <w:vMerge w:val="restar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摩</w:t>
                  </w:r>
                </w:p>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托</w:t>
                  </w:r>
                </w:p>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车</w:t>
                  </w:r>
                </w:p>
              </w:tc>
              <w:tc>
                <w:tcPr>
                  <w:tcW w:w="775" w:type="dxa"/>
                  <w:vMerge w:val="restar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2000辆</w:t>
                  </w:r>
                </w:p>
              </w:tc>
              <w:tc>
                <w:tcPr>
                  <w:tcW w:w="741" w:type="dxa"/>
                  <w:vMerge w:val="restar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300</w:t>
                  </w:r>
                </w:p>
              </w:tc>
              <w:tc>
                <w:tcPr>
                  <w:tcW w:w="508" w:type="dxa"/>
                  <w:vMerge w:val="continue"/>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1336"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废冷却液</w:t>
                  </w:r>
                </w:p>
              </w:tc>
              <w:tc>
                <w:tcPr>
                  <w:tcW w:w="745"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863"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718"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w:t>
                  </w:r>
                </w:p>
              </w:tc>
              <w:tc>
                <w:tcPr>
                  <w:tcW w:w="618"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794"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89" w:type="dxa"/>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775" w:type="dxa"/>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741" w:type="dxa"/>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508" w:type="dxa"/>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1336"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废电路板</w:t>
                  </w:r>
                </w:p>
              </w:tc>
              <w:tc>
                <w:tcPr>
                  <w:tcW w:w="745"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12</w:t>
                  </w:r>
                </w:p>
              </w:tc>
              <w:tc>
                <w:tcPr>
                  <w:tcW w:w="863"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8</w:t>
                  </w:r>
                </w:p>
              </w:tc>
              <w:tc>
                <w:tcPr>
                  <w:tcW w:w="718"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1</w:t>
                  </w:r>
                </w:p>
              </w:tc>
              <w:tc>
                <w:tcPr>
                  <w:tcW w:w="618"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0.6</w:t>
                  </w:r>
                </w:p>
              </w:tc>
              <w:tc>
                <w:tcPr>
                  <w:tcW w:w="794"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21.6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23" w:hRule="atLeast"/>
                <w:jc w:val="center"/>
              </w:trPr>
              <w:tc>
                <w:tcPr>
                  <w:tcW w:w="589" w:type="dxa"/>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775" w:type="dxa"/>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741" w:type="dxa"/>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508" w:type="dxa"/>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1336"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废机油滤清器</w:t>
                  </w:r>
                </w:p>
              </w:tc>
              <w:tc>
                <w:tcPr>
                  <w:tcW w:w="745"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1.5</w:t>
                  </w:r>
                </w:p>
              </w:tc>
              <w:tc>
                <w:tcPr>
                  <w:tcW w:w="863"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w:t>
                  </w:r>
                </w:p>
              </w:tc>
              <w:tc>
                <w:tcPr>
                  <w:tcW w:w="718"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w:t>
                  </w:r>
                </w:p>
              </w:tc>
              <w:tc>
                <w:tcPr>
                  <w:tcW w:w="618"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0.2</w:t>
                  </w:r>
                </w:p>
              </w:tc>
              <w:tc>
                <w:tcPr>
                  <w:tcW w:w="794"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2.7</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89" w:type="dxa"/>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775" w:type="dxa"/>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741" w:type="dxa"/>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508" w:type="dxa"/>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c>
                <w:tcPr>
                  <w:tcW w:w="1336"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含有毒有害物质的部件（含汞开关、含铅部件）</w:t>
                  </w:r>
                </w:p>
              </w:tc>
              <w:tc>
                <w:tcPr>
                  <w:tcW w:w="745"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2.5</w:t>
                  </w:r>
                </w:p>
              </w:tc>
              <w:tc>
                <w:tcPr>
                  <w:tcW w:w="863"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w:t>
                  </w:r>
                </w:p>
              </w:tc>
              <w:tc>
                <w:tcPr>
                  <w:tcW w:w="718"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0.5</w:t>
                  </w:r>
                </w:p>
              </w:tc>
              <w:tc>
                <w:tcPr>
                  <w:tcW w:w="618"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794"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89"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合计</w:t>
                  </w:r>
                </w:p>
              </w:tc>
              <w:tc>
                <w:tcPr>
                  <w:tcW w:w="775"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10000辆</w:t>
                  </w:r>
                </w:p>
              </w:tc>
              <w:tc>
                <w:tcPr>
                  <w:tcW w:w="741"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18700</w:t>
                  </w:r>
                </w:p>
              </w:tc>
              <w:tc>
                <w:tcPr>
                  <w:tcW w:w="1844" w:type="dxa"/>
                  <w:gridSpan w:val="2"/>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合计</w:t>
                  </w:r>
                </w:p>
              </w:tc>
              <w:tc>
                <w:tcPr>
                  <w:tcW w:w="745"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6500</w:t>
                  </w:r>
                </w:p>
              </w:tc>
              <w:tc>
                <w:tcPr>
                  <w:tcW w:w="863"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10600</w:t>
                  </w:r>
                </w:p>
              </w:tc>
              <w:tc>
                <w:tcPr>
                  <w:tcW w:w="718"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1300</w:t>
                  </w:r>
                </w:p>
              </w:tc>
              <w:tc>
                <w:tcPr>
                  <w:tcW w:w="618"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300</w:t>
                  </w:r>
                </w:p>
              </w:tc>
              <w:tc>
                <w:tcPr>
                  <w:tcW w:w="794" w:type="dxa"/>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18700</w:t>
                  </w:r>
                </w:p>
              </w:tc>
            </w:tr>
          </w:tbl>
          <w:p>
            <w:pPr>
              <w:pStyle w:val="15"/>
              <w:keepNext w:val="0"/>
              <w:keepLines w:val="0"/>
              <w:pageBreakBefore w:val="0"/>
              <w:widowControl/>
              <w:numPr>
                <w:ilvl w:val="0"/>
                <w:numId w:val="3"/>
              </w:numPr>
              <w:kinsoku/>
              <w:wordWrap/>
              <w:overflowPunct/>
              <w:topLinePunct w:val="0"/>
              <w:autoSpaceDE/>
              <w:autoSpaceDN/>
              <w:bidi w:val="0"/>
              <w:adjustRightInd/>
              <w:snapToGrid/>
              <w:spacing w:before="0" w:beforeAutospacing="0" w:after="0" w:afterAutospacing="0" w:line="360" w:lineRule="auto"/>
              <w:ind w:firstLine="482" w:firstLineChars="200"/>
              <w:jc w:val="both"/>
              <w:textAlignment w:val="auto"/>
              <w:outlineLvl w:val="0"/>
              <w:rPr>
                <w:rFonts w:hint="eastAsia" w:ascii="Times New Roman" w:hAnsi="Times New Roman" w:eastAsia="宋体" w:cs="Times New Roman"/>
                <w:b/>
                <w:bCs/>
                <w:kern w:val="2"/>
                <w:sz w:val="24"/>
                <w:szCs w:val="28"/>
                <w:lang w:val="en-US" w:eastAsia="zh-CN" w:bidi="ar-SA"/>
              </w:rPr>
            </w:pPr>
            <w:r>
              <w:rPr>
                <w:rFonts w:hint="eastAsia" w:ascii="Times New Roman" w:hAnsi="Times New Roman" w:cs="Times New Roman"/>
                <w:b/>
                <w:bCs/>
                <w:kern w:val="2"/>
                <w:sz w:val="24"/>
                <w:szCs w:val="28"/>
                <w:lang w:val="en-US" w:eastAsia="zh-CN" w:bidi="ar-SA"/>
              </w:rPr>
              <w:t>主要生产设备</w:t>
            </w:r>
          </w:p>
          <w:p>
            <w:pPr>
              <w:spacing w:line="360" w:lineRule="auto"/>
              <w:ind w:firstLine="480" w:firstLineChars="200"/>
              <w:rPr>
                <w:rFonts w:hint="default" w:ascii="Times New Roman" w:hAnsi="Times New Roman" w:eastAsia="宋体" w:cs="Times New Roman"/>
                <w:b/>
                <w:color w:val="auto"/>
                <w:sz w:val="24"/>
                <w:szCs w:val="24"/>
                <w:u w:color="auto"/>
              </w:rPr>
            </w:pPr>
            <w:r>
              <w:rPr>
                <w:rFonts w:hint="default" w:ascii="Times New Roman" w:hAnsi="Times New Roman" w:eastAsia="宋体" w:cs="Times New Roman"/>
                <w:bCs/>
                <w:color w:val="auto"/>
                <w:sz w:val="24"/>
                <w:szCs w:val="24"/>
                <w:u w:color="auto"/>
              </w:rPr>
              <w:t>本项目仅对拆解产生的物品进行剪切、切割、打包等工序，不涉及回收物品的破碎，以及其他再加工的工序。项目使用的主要设备见下表所示：</w:t>
            </w:r>
          </w:p>
          <w:p>
            <w:pPr>
              <w:pStyle w:val="27"/>
              <w:bidi w:val="0"/>
              <w:spacing w:line="240" w:lineRule="auto"/>
              <w:jc w:val="center"/>
              <w:rPr>
                <w:rFonts w:hint="eastAsia"/>
                <w:vertAlign w:val="baseline"/>
                <w:lang w:val="en-US" w:eastAsia="zh-CN"/>
              </w:rPr>
            </w:pPr>
            <w:r>
              <w:rPr>
                <w:rFonts w:hint="eastAsia"/>
                <w:lang w:val="en-US" w:eastAsia="zh-CN"/>
              </w:rPr>
              <w:t>表2-6  项目主要生产设备一览表</w:t>
            </w:r>
          </w:p>
          <w:tbl>
            <w:tblPr>
              <w:tblStyle w:val="19"/>
              <w:tblW w:w="0" w:type="auto"/>
              <w:tblInd w:w="-11"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552"/>
              <w:gridCol w:w="2027"/>
              <w:gridCol w:w="803"/>
              <w:gridCol w:w="717"/>
              <w:gridCol w:w="595"/>
              <w:gridCol w:w="335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序号</w:t>
                  </w:r>
                </w:p>
              </w:tc>
              <w:tc>
                <w:tcPr>
                  <w:tcW w:w="0" w:type="auto"/>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设备名称</w:t>
                  </w:r>
                </w:p>
              </w:tc>
              <w:tc>
                <w:tcPr>
                  <w:tcW w:w="0" w:type="auto"/>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规格型号</w:t>
                  </w:r>
                </w:p>
              </w:tc>
              <w:tc>
                <w:tcPr>
                  <w:tcW w:w="0" w:type="auto"/>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单位</w:t>
                  </w:r>
                </w:p>
              </w:tc>
              <w:tc>
                <w:tcPr>
                  <w:tcW w:w="0" w:type="auto"/>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数量</w:t>
                  </w:r>
                </w:p>
              </w:tc>
              <w:tc>
                <w:tcPr>
                  <w:tcW w:w="0" w:type="auto"/>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备注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gridSpan w:val="6"/>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燃油小车拆解线</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1</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废油液五路抽排机</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台</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w:t>
                  </w:r>
                </w:p>
              </w:tc>
              <w:tc>
                <w:tcPr>
                  <w:tcW w:w="0" w:type="auto"/>
                  <w:vMerge w:val="restar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用于燃油排放</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2</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燃油钻孔抽排油机</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台</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w:t>
                  </w:r>
                </w:p>
              </w:tc>
              <w:tc>
                <w:tcPr>
                  <w:tcW w:w="0" w:type="auto"/>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3</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冷媒回收机</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台</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回收冷媒</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4</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冷媒回收瓶</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台</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冷媒贮存</w:t>
                  </w:r>
                </w:p>
              </w:tc>
            </w:tr>
            <w:tr>
              <w:tblPrEx>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5</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接油机</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台</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油液贮存</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gridSpan w:val="6"/>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燃油</w:t>
                  </w:r>
                  <w:r>
                    <w:rPr>
                      <w:rFonts w:hint="eastAsia" w:cs="Times New Roman"/>
                      <w:sz w:val="21"/>
                      <w:szCs w:val="21"/>
                      <w:lang w:val="en-US" w:eastAsia="zh-CN"/>
                    </w:rPr>
                    <w:t>中大型</w:t>
                  </w:r>
                  <w:r>
                    <w:rPr>
                      <w:rFonts w:hint="eastAsia" w:ascii="Times New Roman" w:hAnsi="Times New Roman" w:eastAsia="宋体" w:cs="Times New Roman"/>
                      <w:sz w:val="21"/>
                      <w:szCs w:val="21"/>
                      <w:lang w:val="en-US" w:eastAsia="zh-CN"/>
                    </w:rPr>
                    <w:t>车拆解线</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7</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废油液五路抽排机</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台</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w:t>
                  </w:r>
                </w:p>
              </w:tc>
              <w:tc>
                <w:tcPr>
                  <w:tcW w:w="0" w:type="auto"/>
                  <w:vMerge w:val="restar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用于燃油排放</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8</w:t>
                  </w:r>
                </w:p>
              </w:tc>
              <w:tc>
                <w:tcPr>
                  <w:tcW w:w="0" w:type="auto"/>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燃油钻孔抽排油机</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台</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w:t>
                  </w:r>
                </w:p>
              </w:tc>
              <w:tc>
                <w:tcPr>
                  <w:tcW w:w="0" w:type="auto"/>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9</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大车地沟滑架</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台</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大车移动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10</w:t>
                  </w:r>
                </w:p>
              </w:tc>
              <w:tc>
                <w:tcPr>
                  <w:tcW w:w="0" w:type="auto"/>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ascii="Times New Roman" w:hAnsi="Times New Roman" w:eastAsia="宋体" w:cs="Times New Roman"/>
                      <w:sz w:val="21"/>
                      <w:szCs w:val="21"/>
                      <w:lang w:val="en-US" w:eastAsia="zh-CN"/>
                    </w:rPr>
                    <w:t>接油机</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台</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油液贮存</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11</w:t>
                  </w:r>
                </w:p>
              </w:tc>
              <w:tc>
                <w:tcPr>
                  <w:tcW w:w="0" w:type="auto"/>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冷媒回收机</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台</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回收冷媒</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12</w:t>
                  </w:r>
                </w:p>
              </w:tc>
              <w:tc>
                <w:tcPr>
                  <w:tcW w:w="0" w:type="auto"/>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冷媒回收瓶</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台</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冷媒贮存</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gridSpan w:val="6"/>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新能源电车拆解线</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13</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双柱举升一体机</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台</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1</w:t>
                  </w:r>
                </w:p>
              </w:tc>
              <w:tc>
                <w:tcPr>
                  <w:tcW w:w="0" w:type="auto"/>
                  <w:vMerge w:val="restar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用于新能源电车拆解</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14</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绝缘检测设备</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台</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1</w:t>
                  </w:r>
                </w:p>
              </w:tc>
              <w:tc>
                <w:tcPr>
                  <w:tcW w:w="0" w:type="auto"/>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15</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温度探测仪</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台</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1</w:t>
                  </w:r>
                </w:p>
              </w:tc>
              <w:tc>
                <w:tcPr>
                  <w:tcW w:w="0" w:type="auto"/>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16</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断电阀</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个</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1</w:t>
                  </w:r>
                </w:p>
              </w:tc>
              <w:tc>
                <w:tcPr>
                  <w:tcW w:w="0" w:type="auto"/>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17</w:t>
                  </w:r>
                </w:p>
              </w:tc>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止锁杆</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个</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1</w:t>
                  </w:r>
                </w:p>
              </w:tc>
              <w:tc>
                <w:tcPr>
                  <w:tcW w:w="0" w:type="auto"/>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18</w:t>
                  </w:r>
                </w:p>
              </w:tc>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保险器</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个</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1</w:t>
                  </w:r>
                </w:p>
              </w:tc>
              <w:tc>
                <w:tcPr>
                  <w:tcW w:w="0" w:type="auto"/>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19</w:t>
                  </w:r>
                </w:p>
              </w:tc>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专用测试转换接口</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个</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1</w:t>
                  </w:r>
                </w:p>
              </w:tc>
              <w:tc>
                <w:tcPr>
                  <w:tcW w:w="0" w:type="auto"/>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20</w:t>
                  </w:r>
                </w:p>
              </w:tc>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高压绝缘棒</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套</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1</w:t>
                  </w:r>
                </w:p>
              </w:tc>
              <w:tc>
                <w:tcPr>
                  <w:tcW w:w="0" w:type="auto"/>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21</w:t>
                  </w:r>
                </w:p>
              </w:tc>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绝缘吊具</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套</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1</w:t>
                  </w:r>
                </w:p>
              </w:tc>
              <w:tc>
                <w:tcPr>
                  <w:tcW w:w="0" w:type="auto"/>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22</w:t>
                  </w:r>
                </w:p>
              </w:tc>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夹臂</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套</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1</w:t>
                  </w:r>
                </w:p>
              </w:tc>
              <w:tc>
                <w:tcPr>
                  <w:tcW w:w="0" w:type="auto"/>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23</w:t>
                  </w:r>
                </w:p>
              </w:tc>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升降工装设备</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套</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1</w:t>
                  </w:r>
                </w:p>
              </w:tc>
              <w:tc>
                <w:tcPr>
                  <w:tcW w:w="0" w:type="auto"/>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24</w:t>
                  </w:r>
                </w:p>
              </w:tc>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防静电绝缘真空抽油机</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套</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1</w:t>
                  </w:r>
                </w:p>
              </w:tc>
              <w:tc>
                <w:tcPr>
                  <w:tcW w:w="0" w:type="auto"/>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25</w:t>
                  </w:r>
                </w:p>
              </w:tc>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防静电塑料口制冷剂回收机</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套</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1</w:t>
                  </w:r>
                </w:p>
              </w:tc>
              <w:tc>
                <w:tcPr>
                  <w:tcW w:w="0" w:type="auto"/>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26</w:t>
                  </w:r>
                </w:p>
              </w:tc>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绝缘电弧防护服</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套</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2</w:t>
                  </w:r>
                </w:p>
              </w:tc>
              <w:tc>
                <w:tcPr>
                  <w:tcW w:w="0" w:type="auto"/>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27</w:t>
                  </w:r>
                </w:p>
              </w:tc>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防砸绝缘工作鞋</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套</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2</w:t>
                  </w:r>
                </w:p>
              </w:tc>
              <w:tc>
                <w:tcPr>
                  <w:tcW w:w="0" w:type="auto"/>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28</w:t>
                  </w:r>
                </w:p>
              </w:tc>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高压绝缘手套</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套</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2</w:t>
                  </w:r>
                </w:p>
              </w:tc>
              <w:tc>
                <w:tcPr>
                  <w:tcW w:w="0" w:type="auto"/>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29</w:t>
                  </w:r>
                </w:p>
              </w:tc>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防高压电弧面罩</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个</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2</w:t>
                  </w:r>
                </w:p>
              </w:tc>
              <w:tc>
                <w:tcPr>
                  <w:tcW w:w="0" w:type="auto"/>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30</w:t>
                  </w:r>
                </w:p>
              </w:tc>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防护头盔</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个</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2</w:t>
                  </w:r>
                </w:p>
              </w:tc>
              <w:tc>
                <w:tcPr>
                  <w:tcW w:w="0" w:type="auto"/>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31</w:t>
                  </w:r>
                </w:p>
              </w:tc>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球形面罩</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个</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2</w:t>
                  </w:r>
                </w:p>
              </w:tc>
              <w:tc>
                <w:tcPr>
                  <w:tcW w:w="0" w:type="auto"/>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32</w:t>
                  </w:r>
                </w:p>
              </w:tc>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耐酸耐碱工作服</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件</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2</w:t>
                  </w:r>
                </w:p>
              </w:tc>
              <w:tc>
                <w:tcPr>
                  <w:tcW w:w="0" w:type="auto"/>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33</w:t>
                  </w:r>
                </w:p>
              </w:tc>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防有机溶剂手套</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套</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2</w:t>
                  </w:r>
                </w:p>
              </w:tc>
              <w:tc>
                <w:tcPr>
                  <w:tcW w:w="0" w:type="auto"/>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34</w:t>
                  </w:r>
                </w:p>
              </w:tc>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专业眼镜</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个</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2</w:t>
                  </w:r>
                </w:p>
              </w:tc>
              <w:tc>
                <w:tcPr>
                  <w:tcW w:w="0" w:type="auto"/>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35</w:t>
                  </w:r>
                </w:p>
              </w:tc>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防毒面具</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个</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2</w:t>
                  </w:r>
                </w:p>
              </w:tc>
              <w:tc>
                <w:tcPr>
                  <w:tcW w:w="0" w:type="auto"/>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36</w:t>
                  </w:r>
                </w:p>
              </w:tc>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绝缘救援钩</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个</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1</w:t>
                  </w:r>
                </w:p>
              </w:tc>
              <w:tc>
                <w:tcPr>
                  <w:tcW w:w="0" w:type="auto"/>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37</w:t>
                  </w:r>
                </w:p>
              </w:tc>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医用急救箱</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个</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1</w:t>
                  </w:r>
                </w:p>
              </w:tc>
              <w:tc>
                <w:tcPr>
                  <w:tcW w:w="0" w:type="auto"/>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38</w:t>
                  </w:r>
                </w:p>
              </w:tc>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绝缘气动扳手</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套</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1</w:t>
                  </w:r>
                </w:p>
              </w:tc>
              <w:tc>
                <w:tcPr>
                  <w:tcW w:w="0" w:type="auto"/>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39</w:t>
                  </w:r>
                </w:p>
              </w:tc>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绝缘承重货架</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套</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1</w:t>
                  </w:r>
                </w:p>
              </w:tc>
              <w:tc>
                <w:tcPr>
                  <w:tcW w:w="0" w:type="auto"/>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40</w:t>
                  </w:r>
                </w:p>
              </w:tc>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专用绝缘卡钳</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个</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1</w:t>
                  </w:r>
                </w:p>
              </w:tc>
              <w:tc>
                <w:tcPr>
                  <w:tcW w:w="0" w:type="auto"/>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41</w:t>
                  </w:r>
                </w:p>
              </w:tc>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绝缘剪</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个</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1</w:t>
                  </w:r>
                </w:p>
              </w:tc>
              <w:tc>
                <w:tcPr>
                  <w:tcW w:w="0" w:type="auto"/>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42</w:t>
                  </w:r>
                </w:p>
              </w:tc>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专用耐高压耐磨布基绝缘材料</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套</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1</w:t>
                  </w:r>
                </w:p>
              </w:tc>
              <w:tc>
                <w:tcPr>
                  <w:tcW w:w="0" w:type="auto"/>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43</w:t>
                  </w:r>
                </w:p>
              </w:tc>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绝缘灭弧罐封防打火胶</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只</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2</w:t>
                  </w:r>
                </w:p>
              </w:tc>
              <w:tc>
                <w:tcPr>
                  <w:tcW w:w="0" w:type="auto"/>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44</w:t>
                  </w:r>
                </w:p>
              </w:tc>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充放电器</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台</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1</w:t>
                  </w:r>
                </w:p>
              </w:tc>
              <w:tc>
                <w:tcPr>
                  <w:tcW w:w="0" w:type="auto"/>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45</w:t>
                  </w:r>
                </w:p>
              </w:tc>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盐水池</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台</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1</w:t>
                  </w:r>
                </w:p>
              </w:tc>
              <w:tc>
                <w:tcPr>
                  <w:tcW w:w="0" w:type="auto"/>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46</w:t>
                  </w:r>
                </w:p>
              </w:tc>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沙池</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个</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1</w:t>
                  </w:r>
                </w:p>
              </w:tc>
              <w:tc>
                <w:tcPr>
                  <w:tcW w:w="0" w:type="auto"/>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47</w:t>
                  </w:r>
                </w:p>
              </w:tc>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高压绝缘地面</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平方/套</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100</w:t>
                  </w:r>
                </w:p>
              </w:tc>
              <w:tc>
                <w:tcPr>
                  <w:tcW w:w="0" w:type="auto"/>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48</w:t>
                  </w:r>
                </w:p>
              </w:tc>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绝缘架（隔离电池组）</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套</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1</w:t>
                  </w:r>
                </w:p>
              </w:tc>
              <w:tc>
                <w:tcPr>
                  <w:tcW w:w="0" w:type="auto"/>
                  <w:vMerge w:val="continue"/>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gridSpan w:val="6"/>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其他设施设备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49</w:t>
                  </w:r>
                </w:p>
              </w:tc>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预处理升降设备</w:t>
                  </w:r>
                </w:p>
              </w:tc>
              <w:tc>
                <w:tcPr>
                  <w:tcW w:w="0" w:type="auto"/>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台</w:t>
                  </w:r>
                </w:p>
              </w:tc>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1</w:t>
                  </w:r>
                </w:p>
              </w:tc>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车辆升降</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50</w:t>
                  </w:r>
                </w:p>
              </w:tc>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手持液压剪（含支架）</w:t>
                  </w:r>
                </w:p>
              </w:tc>
              <w:tc>
                <w:tcPr>
                  <w:tcW w:w="0" w:type="auto"/>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0" w:type="auto"/>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台</w:t>
                  </w:r>
                </w:p>
              </w:tc>
              <w:tc>
                <w:tcPr>
                  <w:tcW w:w="0" w:type="auto"/>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1</w:t>
                  </w:r>
                </w:p>
              </w:tc>
              <w:tc>
                <w:tcPr>
                  <w:tcW w:w="0" w:type="auto"/>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车架（车身）剪断</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51</w:t>
                  </w:r>
                </w:p>
              </w:tc>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翻转机</w:t>
                  </w:r>
                </w:p>
              </w:tc>
              <w:tc>
                <w:tcPr>
                  <w:tcW w:w="0" w:type="auto"/>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0" w:type="auto"/>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台</w:t>
                  </w:r>
                </w:p>
              </w:tc>
              <w:tc>
                <w:tcPr>
                  <w:tcW w:w="0" w:type="auto"/>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1</w:t>
                  </w:r>
                </w:p>
              </w:tc>
              <w:tc>
                <w:tcPr>
                  <w:tcW w:w="0" w:type="auto"/>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车辆翻转</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52</w:t>
                  </w:r>
                </w:p>
              </w:tc>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玻璃切割机</w:t>
                  </w:r>
                </w:p>
              </w:tc>
              <w:tc>
                <w:tcPr>
                  <w:tcW w:w="0" w:type="auto"/>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0" w:type="auto"/>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台</w:t>
                  </w:r>
                </w:p>
              </w:tc>
              <w:tc>
                <w:tcPr>
                  <w:tcW w:w="0" w:type="auto"/>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1</w:t>
                  </w:r>
                </w:p>
              </w:tc>
              <w:tc>
                <w:tcPr>
                  <w:tcW w:w="0" w:type="auto"/>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切割玻璃</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53</w:t>
                  </w:r>
                </w:p>
              </w:tc>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等离子切割机</w:t>
                  </w:r>
                </w:p>
              </w:tc>
              <w:tc>
                <w:tcPr>
                  <w:tcW w:w="0" w:type="auto"/>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0" w:type="auto"/>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台</w:t>
                  </w:r>
                </w:p>
              </w:tc>
              <w:tc>
                <w:tcPr>
                  <w:tcW w:w="0" w:type="auto"/>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1</w:t>
                  </w:r>
                </w:p>
              </w:tc>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切割金属</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54</w:t>
                  </w:r>
                </w:p>
              </w:tc>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扒胎机</w:t>
                  </w:r>
                </w:p>
              </w:tc>
              <w:tc>
                <w:tcPr>
                  <w:tcW w:w="0" w:type="auto"/>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0" w:type="auto"/>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台</w:t>
                  </w:r>
                </w:p>
              </w:tc>
              <w:tc>
                <w:tcPr>
                  <w:tcW w:w="0" w:type="auto"/>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1</w:t>
                  </w:r>
                </w:p>
              </w:tc>
              <w:tc>
                <w:tcPr>
                  <w:tcW w:w="0" w:type="auto"/>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卸轮胎</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55</w:t>
                  </w:r>
                </w:p>
              </w:tc>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安全气囊引爆装置</w:t>
                  </w:r>
                </w:p>
              </w:tc>
              <w:tc>
                <w:tcPr>
                  <w:tcW w:w="0" w:type="auto"/>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0" w:type="auto"/>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台</w:t>
                  </w:r>
                </w:p>
              </w:tc>
              <w:tc>
                <w:tcPr>
                  <w:tcW w:w="0" w:type="auto"/>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1</w:t>
                  </w:r>
                </w:p>
              </w:tc>
              <w:tc>
                <w:tcPr>
                  <w:tcW w:w="0" w:type="auto"/>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引爆安全气囊</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56</w:t>
                  </w:r>
                </w:p>
              </w:tc>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发动机拆解平台</w:t>
                  </w:r>
                </w:p>
              </w:tc>
              <w:tc>
                <w:tcPr>
                  <w:tcW w:w="0" w:type="auto"/>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0" w:type="auto"/>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台</w:t>
                  </w:r>
                </w:p>
              </w:tc>
              <w:tc>
                <w:tcPr>
                  <w:tcW w:w="0" w:type="auto"/>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1</w:t>
                  </w:r>
                </w:p>
              </w:tc>
              <w:tc>
                <w:tcPr>
                  <w:tcW w:w="0" w:type="auto"/>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发动机拆解</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57</w:t>
                  </w:r>
                </w:p>
              </w:tc>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KBK平衡器</w:t>
                  </w:r>
                </w:p>
              </w:tc>
              <w:tc>
                <w:tcPr>
                  <w:tcW w:w="0" w:type="auto"/>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0" w:type="auto"/>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台</w:t>
                  </w:r>
                </w:p>
              </w:tc>
              <w:tc>
                <w:tcPr>
                  <w:tcW w:w="0" w:type="auto"/>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1</w:t>
                  </w:r>
                </w:p>
              </w:tc>
              <w:tc>
                <w:tcPr>
                  <w:tcW w:w="0" w:type="auto"/>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车辆吊运</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58</w:t>
                  </w:r>
                </w:p>
              </w:tc>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周转车</w:t>
                  </w:r>
                </w:p>
              </w:tc>
              <w:tc>
                <w:tcPr>
                  <w:tcW w:w="0" w:type="auto"/>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辆</w:t>
                  </w:r>
                </w:p>
              </w:tc>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4</w:t>
                  </w:r>
                </w:p>
              </w:tc>
              <w:tc>
                <w:tcPr>
                  <w:tcW w:w="0" w:type="auto"/>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通用工具</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gridSpan w:val="6"/>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环保设备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59</w:t>
                  </w:r>
                </w:p>
              </w:tc>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拆解车间油水分离器</w:t>
                  </w:r>
                </w:p>
              </w:tc>
              <w:tc>
                <w:tcPr>
                  <w:tcW w:w="0" w:type="auto"/>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0" w:type="auto"/>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套</w:t>
                  </w:r>
                </w:p>
              </w:tc>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1</w:t>
                  </w:r>
                </w:p>
              </w:tc>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用于处理车间拖把清洗废水</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60</w:t>
                  </w:r>
                </w:p>
              </w:tc>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初期雨水收集池</w:t>
                  </w:r>
                </w:p>
              </w:tc>
              <w:tc>
                <w:tcPr>
                  <w:tcW w:w="0" w:type="auto"/>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个</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180m</w:t>
                  </w:r>
                  <w:r>
                    <w:rPr>
                      <w:rFonts w:hint="eastAsia" w:ascii="Times New Roman" w:hAnsi="Times New Roman" w:eastAsia="宋体" w:cs="Times New Roman"/>
                      <w:sz w:val="21"/>
                      <w:szCs w:val="21"/>
                      <w:vertAlign w:val="superscript"/>
                      <w:lang w:val="en-US" w:eastAsia="zh-CN"/>
                    </w:rPr>
                    <w:t>3</w:t>
                  </w:r>
                  <w:r>
                    <w:rPr>
                      <w:rFonts w:hint="eastAsia" w:ascii="Times New Roman" w:hAnsi="Times New Roman" w:eastAsia="宋体" w:cs="Times New Roman"/>
                      <w:sz w:val="21"/>
                      <w:szCs w:val="21"/>
                      <w:vertAlign w:val="baseline"/>
                      <w:lang w:val="en-US" w:eastAsia="zh-CN"/>
                    </w:rPr>
                    <w:t>，用于</w:t>
                  </w:r>
                  <w:r>
                    <w:rPr>
                      <w:rFonts w:hint="eastAsia" w:ascii="Times New Roman" w:hAnsi="Times New Roman" w:eastAsia="宋体" w:cs="Times New Roman"/>
                      <w:sz w:val="21"/>
                      <w:szCs w:val="21"/>
                      <w:lang w:val="en-US" w:eastAsia="zh-CN"/>
                    </w:rPr>
                    <w:t>收集初期雨水，又可做事故废水收集池</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61</w:t>
                  </w:r>
                </w:p>
              </w:tc>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隔油沉淀池</w:t>
                  </w:r>
                </w:p>
              </w:tc>
              <w:tc>
                <w:tcPr>
                  <w:tcW w:w="0" w:type="auto"/>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0" w:type="auto"/>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个</w:t>
                  </w:r>
                </w:p>
              </w:tc>
              <w:tc>
                <w:tcPr>
                  <w:tcW w:w="0" w:type="auto"/>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1</w:t>
                  </w:r>
                </w:p>
              </w:tc>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ascii="Times New Roman" w:hAnsi="Times New Roman" w:eastAsia="宋体" w:cs="Times New Roman"/>
                      <w:sz w:val="21"/>
                      <w:szCs w:val="21"/>
                      <w:lang w:val="en-US" w:eastAsia="zh-CN"/>
                    </w:rPr>
                    <w:t>36m</w:t>
                  </w:r>
                  <w:r>
                    <w:rPr>
                      <w:rFonts w:hint="eastAsia" w:ascii="Times New Roman" w:hAnsi="Times New Roman" w:eastAsia="宋体" w:cs="Times New Roman"/>
                      <w:sz w:val="21"/>
                      <w:szCs w:val="21"/>
                      <w:vertAlign w:val="superscript"/>
                      <w:lang w:val="en-US" w:eastAsia="zh-CN"/>
                    </w:rPr>
                    <w:t>3</w:t>
                  </w:r>
                  <w:r>
                    <w:rPr>
                      <w:rFonts w:hint="eastAsia" w:ascii="Times New Roman" w:hAnsi="Times New Roman" w:eastAsia="宋体" w:cs="Times New Roman"/>
                      <w:sz w:val="21"/>
                      <w:szCs w:val="21"/>
                      <w:vertAlign w:val="baseline"/>
                      <w:lang w:val="en-US" w:eastAsia="zh-CN"/>
                    </w:rPr>
                    <w:t>，</w:t>
                  </w:r>
                  <w:r>
                    <w:rPr>
                      <w:rFonts w:hint="eastAsia" w:cs="Times New Roman"/>
                      <w:sz w:val="21"/>
                      <w:szCs w:val="21"/>
                      <w:lang w:val="en-US" w:eastAsia="zh-CN"/>
                    </w:rPr>
                    <w:t>用于处理初期雨水和车间拖把清洗废水</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62</w:t>
                  </w:r>
                </w:p>
              </w:tc>
              <w:tc>
                <w:tcPr>
                  <w:tcW w:w="0" w:type="auto"/>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移动式烟尘净化装置</w:t>
                  </w:r>
                </w:p>
              </w:tc>
              <w:tc>
                <w:tcPr>
                  <w:tcW w:w="0" w:type="auto"/>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71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rPr>
                      <w:rFonts w:hint="eastAsia" w:cs="Times New Roman"/>
                      <w:sz w:val="21"/>
                      <w:szCs w:val="21"/>
                      <w:lang w:val="en-US" w:eastAsia="zh-CN"/>
                    </w:rPr>
                  </w:pPr>
                  <w:r>
                    <w:rPr>
                      <w:rFonts w:hint="eastAsia" w:ascii="Times New Roman" w:hAnsi="Times New Roman" w:cs="Times New Roman" w:eastAsiaTheme="minorEastAsia"/>
                      <w:color w:val="auto"/>
                      <w:sz w:val="21"/>
                      <w:szCs w:val="21"/>
                      <w:highlight w:val="none"/>
                      <w:u w:color="auto"/>
                      <w:lang w:val="en-US" w:eastAsia="zh-CN"/>
                    </w:rPr>
                    <w:t>套</w:t>
                  </w:r>
                </w:p>
              </w:tc>
              <w:tc>
                <w:tcPr>
                  <w:tcW w:w="59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rPr>
                      <w:rFonts w:hint="eastAsia" w:cs="Times New Roman"/>
                      <w:sz w:val="21"/>
                      <w:szCs w:val="21"/>
                      <w:lang w:val="en-US" w:eastAsia="zh-CN"/>
                    </w:rPr>
                  </w:pPr>
                  <w:r>
                    <w:rPr>
                      <w:rFonts w:hint="eastAsia" w:ascii="Times New Roman" w:hAnsi="Times New Roman" w:cs="Times New Roman" w:eastAsiaTheme="minorEastAsia"/>
                      <w:color w:val="auto"/>
                      <w:sz w:val="21"/>
                      <w:szCs w:val="21"/>
                      <w:highlight w:val="none"/>
                      <w:u w:color="auto"/>
                      <w:lang w:val="en-US" w:eastAsia="zh-CN"/>
                    </w:rPr>
                    <w:t>1</w:t>
                  </w:r>
                </w:p>
              </w:tc>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处理切割粉尘</w:t>
                  </w:r>
                </w:p>
              </w:tc>
            </w:tr>
          </w:tbl>
          <w:p>
            <w:pPr>
              <w:pStyle w:val="15"/>
              <w:keepNext w:val="0"/>
              <w:keepLines w:val="0"/>
              <w:pageBreakBefore w:val="0"/>
              <w:widowControl/>
              <w:numPr>
                <w:ilvl w:val="0"/>
                <w:numId w:val="3"/>
              </w:numPr>
              <w:kinsoku/>
              <w:wordWrap/>
              <w:overflowPunct/>
              <w:topLinePunct w:val="0"/>
              <w:autoSpaceDE/>
              <w:autoSpaceDN/>
              <w:bidi w:val="0"/>
              <w:adjustRightInd/>
              <w:snapToGrid/>
              <w:spacing w:before="0" w:beforeAutospacing="0" w:after="0" w:afterAutospacing="0" w:line="360" w:lineRule="auto"/>
              <w:ind w:firstLine="482" w:firstLineChars="200"/>
              <w:jc w:val="both"/>
              <w:textAlignment w:val="auto"/>
              <w:outlineLvl w:val="0"/>
              <w:rPr>
                <w:rFonts w:hint="eastAsia" w:ascii="Times New Roman" w:hAnsi="Times New Roman" w:eastAsia="宋体" w:cs="Times New Roman"/>
                <w:b/>
                <w:bCs/>
                <w:kern w:val="2"/>
                <w:sz w:val="24"/>
                <w:szCs w:val="28"/>
                <w:lang w:val="en-US" w:eastAsia="zh-CN" w:bidi="ar-SA"/>
              </w:rPr>
            </w:pPr>
            <w:r>
              <w:rPr>
                <w:rFonts w:hint="eastAsia" w:ascii="Times New Roman" w:hAnsi="Times New Roman" w:cs="Times New Roman"/>
                <w:b/>
                <w:bCs/>
                <w:kern w:val="2"/>
                <w:sz w:val="24"/>
                <w:szCs w:val="28"/>
                <w:lang w:val="en-US" w:eastAsia="zh-CN" w:bidi="ar-SA"/>
              </w:rPr>
              <w:t>主要</w:t>
            </w:r>
            <w:r>
              <w:rPr>
                <w:rFonts w:hint="eastAsia"/>
                <w:b/>
                <w:bCs/>
                <w:lang w:val="en-US" w:eastAsia="zh-CN"/>
              </w:rPr>
              <w:t>原辅材料及能源消耗</w:t>
            </w:r>
          </w:p>
          <w:p>
            <w:pPr>
              <w:pStyle w:val="31"/>
              <w:rPr>
                <w:rFonts w:hint="eastAsia"/>
                <w:lang w:val="en-US" w:eastAsia="zh-CN"/>
              </w:rPr>
            </w:pPr>
            <w:r>
              <w:rPr>
                <w:rFonts w:hint="eastAsia"/>
                <w:color w:val="auto"/>
                <w:sz w:val="24"/>
                <w:szCs w:val="24"/>
                <w:lang w:val="en-US"/>
              </w:rPr>
              <w:t>项目报废机动车</w:t>
            </w:r>
            <w:r>
              <w:rPr>
                <w:rFonts w:hint="eastAsia"/>
                <w:color w:val="auto"/>
                <w:sz w:val="24"/>
                <w:szCs w:val="24"/>
                <w:lang w:val="en-US" w:eastAsia="zh-CN"/>
              </w:rPr>
              <w:t>主要从</w:t>
            </w:r>
            <w:r>
              <w:rPr>
                <w:rFonts w:hint="eastAsia"/>
                <w:color w:val="auto"/>
                <w:sz w:val="24"/>
                <w:szCs w:val="24"/>
                <w:lang w:val="en-US"/>
              </w:rPr>
              <w:t>衡阳</w:t>
            </w:r>
            <w:r>
              <w:rPr>
                <w:rFonts w:hint="eastAsia"/>
                <w:color w:val="auto"/>
                <w:sz w:val="24"/>
                <w:szCs w:val="24"/>
                <w:lang w:val="en-US" w:eastAsia="zh-CN"/>
              </w:rPr>
              <w:t>市</w:t>
            </w:r>
            <w:r>
              <w:rPr>
                <w:rFonts w:hint="eastAsia"/>
                <w:color w:val="auto"/>
                <w:sz w:val="24"/>
                <w:szCs w:val="24"/>
                <w:lang w:val="en-US"/>
              </w:rPr>
              <w:t>区域回收，主要来自报废机动车拥有单位或者个人。报废机动车是指达到国家机动车强制报废标准，或者经检验不符合机动车运行安全技术条件或者国家机动车污染物排放标准的机动车。</w:t>
            </w:r>
            <w:r>
              <w:rPr>
                <w:rFonts w:hint="eastAsia"/>
                <w:lang w:val="en-US" w:eastAsia="zh-CN"/>
              </w:rPr>
              <w:t>本项目主要原辅材料及能源消耗情况见下表</w:t>
            </w:r>
          </w:p>
          <w:p>
            <w:pPr>
              <w:pStyle w:val="27"/>
              <w:bidi w:val="0"/>
              <w:spacing w:line="240" w:lineRule="auto"/>
              <w:jc w:val="center"/>
              <w:rPr>
                <w:rFonts w:hint="default"/>
                <w:lang w:val="en-US" w:eastAsia="zh-CN"/>
              </w:rPr>
            </w:pPr>
            <w:r>
              <w:rPr>
                <w:rFonts w:hint="eastAsia"/>
                <w:lang w:val="en-US" w:eastAsia="zh-CN"/>
              </w:rPr>
              <w:t>表2-7  项目主要原辅材料及能源消耗</w:t>
            </w:r>
          </w:p>
          <w:tbl>
            <w:tblPr>
              <w:tblStyle w:val="18"/>
              <w:tblW w:w="4997" w:type="pct"/>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870"/>
              <w:gridCol w:w="1018"/>
              <w:gridCol w:w="1523"/>
              <w:gridCol w:w="1139"/>
              <w:gridCol w:w="1139"/>
              <w:gridCol w:w="1176"/>
              <w:gridCol w:w="1182"/>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41" w:type="pc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类别</w:t>
                  </w:r>
                </w:p>
              </w:tc>
              <w:tc>
                <w:tcPr>
                  <w:tcW w:w="1578" w:type="pct"/>
                  <w:gridSpan w:val="2"/>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cs="Times New Roman"/>
                      <w:sz w:val="21"/>
                      <w:szCs w:val="21"/>
                      <w:lang w:val="en-US" w:eastAsia="zh-CN"/>
                    </w:rPr>
                    <w:t>名称</w:t>
                  </w:r>
                </w:p>
              </w:tc>
              <w:tc>
                <w:tcPr>
                  <w:tcW w:w="707" w:type="pc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单位</w:t>
                  </w:r>
                </w:p>
              </w:tc>
              <w:tc>
                <w:tcPr>
                  <w:tcW w:w="707"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数量</w:t>
                  </w:r>
                </w:p>
              </w:tc>
              <w:tc>
                <w:tcPr>
                  <w:tcW w:w="730"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厂区最大贮存量</w:t>
                  </w:r>
                </w:p>
              </w:tc>
              <w:tc>
                <w:tcPr>
                  <w:tcW w:w="734"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备注</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41" w:type="pct"/>
                  <w:vMerge w:val="restar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原料</w:t>
                  </w:r>
                </w:p>
              </w:tc>
              <w:tc>
                <w:tcPr>
                  <w:tcW w:w="632" w:type="pct"/>
                  <w:vMerge w:val="restar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燃油汽车</w:t>
                  </w:r>
                </w:p>
              </w:tc>
              <w:tc>
                <w:tcPr>
                  <w:tcW w:w="946" w:type="pc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小型汽车</w:t>
                  </w:r>
                </w:p>
              </w:tc>
              <w:tc>
                <w:tcPr>
                  <w:tcW w:w="707" w:type="pct"/>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辆</w:t>
                  </w:r>
                </w:p>
              </w:tc>
              <w:tc>
                <w:tcPr>
                  <w:tcW w:w="707" w:type="pc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5000</w:t>
                  </w:r>
                </w:p>
              </w:tc>
              <w:tc>
                <w:tcPr>
                  <w:tcW w:w="730"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cs="Times New Roman"/>
                      <w:sz w:val="21"/>
                      <w:szCs w:val="21"/>
                      <w:lang w:val="en-US" w:eastAsia="zh-CN"/>
                    </w:rPr>
                    <w:t>4</w:t>
                  </w:r>
                  <w:r>
                    <w:rPr>
                      <w:rFonts w:hint="eastAsia" w:ascii="Times New Roman" w:hAnsi="Times New Roman" w:eastAsia="宋体" w:cs="Times New Roman"/>
                      <w:sz w:val="21"/>
                      <w:szCs w:val="21"/>
                      <w:lang w:val="en-US" w:eastAsia="zh-CN"/>
                    </w:rPr>
                    <w:t>00</w:t>
                  </w:r>
                </w:p>
              </w:tc>
              <w:tc>
                <w:tcPr>
                  <w:tcW w:w="734"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1.3t/辆</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41" w:type="pct"/>
                  <w:vMerge w:val="continue"/>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632" w:type="pct"/>
                  <w:vMerge w:val="continue"/>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946" w:type="pc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大中型汽车</w:t>
                  </w:r>
                </w:p>
              </w:tc>
              <w:tc>
                <w:tcPr>
                  <w:tcW w:w="707" w:type="pct"/>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辆</w:t>
                  </w:r>
                </w:p>
              </w:tc>
              <w:tc>
                <w:tcPr>
                  <w:tcW w:w="707" w:type="pc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2000</w:t>
                  </w:r>
                </w:p>
              </w:tc>
              <w:tc>
                <w:tcPr>
                  <w:tcW w:w="730"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cs="Times New Roman"/>
                      <w:sz w:val="21"/>
                      <w:szCs w:val="21"/>
                      <w:lang w:val="en-US" w:eastAsia="zh-CN"/>
                    </w:rPr>
                    <w:t>1</w:t>
                  </w:r>
                  <w:r>
                    <w:rPr>
                      <w:rFonts w:hint="eastAsia" w:ascii="Times New Roman" w:hAnsi="Times New Roman" w:eastAsia="宋体" w:cs="Times New Roman"/>
                      <w:sz w:val="21"/>
                      <w:szCs w:val="21"/>
                      <w:lang w:val="en-US" w:eastAsia="zh-CN"/>
                    </w:rPr>
                    <w:t>0</w:t>
                  </w:r>
                </w:p>
              </w:tc>
              <w:tc>
                <w:tcPr>
                  <w:tcW w:w="734"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5.3t/辆</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41" w:type="pct"/>
                  <w:vMerge w:val="continue"/>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1578" w:type="pct"/>
                  <w:gridSpan w:val="2"/>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新能源</w:t>
                  </w:r>
                  <w:r>
                    <w:rPr>
                      <w:rFonts w:hint="eastAsia" w:cs="Times New Roman"/>
                      <w:sz w:val="21"/>
                      <w:szCs w:val="21"/>
                      <w:lang w:val="en-US" w:eastAsia="zh-CN"/>
                    </w:rPr>
                    <w:t>电</w:t>
                  </w:r>
                  <w:r>
                    <w:rPr>
                      <w:rFonts w:hint="eastAsia" w:ascii="Times New Roman" w:hAnsi="Times New Roman" w:eastAsia="宋体" w:cs="Times New Roman"/>
                      <w:sz w:val="21"/>
                      <w:szCs w:val="21"/>
                      <w:lang w:val="en-US" w:eastAsia="zh-CN"/>
                    </w:rPr>
                    <w:t>车</w:t>
                  </w:r>
                </w:p>
              </w:tc>
              <w:tc>
                <w:tcPr>
                  <w:tcW w:w="707" w:type="pct"/>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辆</w:t>
                  </w:r>
                </w:p>
              </w:tc>
              <w:tc>
                <w:tcPr>
                  <w:tcW w:w="707" w:type="pc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1000</w:t>
                  </w:r>
                </w:p>
              </w:tc>
              <w:tc>
                <w:tcPr>
                  <w:tcW w:w="730"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cs="Times New Roman"/>
                      <w:sz w:val="21"/>
                      <w:szCs w:val="21"/>
                      <w:lang w:val="en-US" w:eastAsia="zh-CN"/>
                    </w:rPr>
                    <w:t>2</w:t>
                  </w:r>
                  <w:r>
                    <w:rPr>
                      <w:rFonts w:hint="eastAsia" w:ascii="Times New Roman" w:hAnsi="Times New Roman" w:eastAsia="宋体" w:cs="Times New Roman"/>
                      <w:sz w:val="21"/>
                      <w:szCs w:val="21"/>
                      <w:lang w:val="en-US" w:eastAsia="zh-CN"/>
                    </w:rPr>
                    <w:t>0</w:t>
                  </w:r>
                </w:p>
              </w:tc>
              <w:tc>
                <w:tcPr>
                  <w:tcW w:w="734"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1.3t/辆</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41" w:type="pct"/>
                  <w:vMerge w:val="continue"/>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1578" w:type="pct"/>
                  <w:gridSpan w:val="2"/>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摩托车(含电动)</w:t>
                  </w:r>
                </w:p>
              </w:tc>
              <w:tc>
                <w:tcPr>
                  <w:tcW w:w="707"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cs="Times New Roman"/>
                      <w:sz w:val="21"/>
                      <w:szCs w:val="21"/>
                      <w:lang w:val="en-US" w:eastAsia="zh-CN"/>
                    </w:rPr>
                    <w:t>辆</w:t>
                  </w:r>
                </w:p>
              </w:tc>
              <w:tc>
                <w:tcPr>
                  <w:tcW w:w="707"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2000</w:t>
                  </w:r>
                </w:p>
              </w:tc>
              <w:tc>
                <w:tcPr>
                  <w:tcW w:w="730"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cs="Times New Roman"/>
                      <w:sz w:val="21"/>
                      <w:szCs w:val="21"/>
                      <w:lang w:val="en-US" w:eastAsia="zh-CN"/>
                    </w:rPr>
                    <w:t>5</w:t>
                  </w:r>
                  <w:r>
                    <w:rPr>
                      <w:rFonts w:hint="eastAsia" w:ascii="Times New Roman" w:hAnsi="Times New Roman" w:eastAsia="宋体" w:cs="Times New Roman"/>
                      <w:sz w:val="21"/>
                      <w:szCs w:val="21"/>
                      <w:lang w:val="en-US" w:eastAsia="zh-CN"/>
                    </w:rPr>
                    <w:t>00</w:t>
                  </w:r>
                </w:p>
              </w:tc>
              <w:tc>
                <w:tcPr>
                  <w:tcW w:w="734"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0.15t/辆</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41" w:type="pct"/>
                  <w:vMerge w:val="restar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能耗</w:t>
                  </w:r>
                </w:p>
              </w:tc>
              <w:tc>
                <w:tcPr>
                  <w:tcW w:w="1578" w:type="pct"/>
                  <w:gridSpan w:val="2"/>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电</w:t>
                  </w:r>
                </w:p>
              </w:tc>
              <w:tc>
                <w:tcPr>
                  <w:tcW w:w="707"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kW·h</w:t>
                  </w:r>
                </w:p>
              </w:tc>
              <w:tc>
                <w:tcPr>
                  <w:tcW w:w="707" w:type="pc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50</w:t>
                  </w:r>
                </w:p>
              </w:tc>
              <w:tc>
                <w:tcPr>
                  <w:tcW w:w="730" w:type="pct"/>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w:t>
                  </w:r>
                </w:p>
              </w:tc>
              <w:tc>
                <w:tcPr>
                  <w:tcW w:w="734"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cs="Times New Roman"/>
                      <w:sz w:val="21"/>
                      <w:szCs w:val="21"/>
                      <w:lang w:val="en-US" w:eastAsia="zh-CN"/>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41" w:type="pct"/>
                  <w:vMerge w:val="continue"/>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p>
              </w:tc>
              <w:tc>
                <w:tcPr>
                  <w:tcW w:w="1578" w:type="pct"/>
                  <w:gridSpan w:val="2"/>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水</w:t>
                  </w:r>
                </w:p>
              </w:tc>
              <w:tc>
                <w:tcPr>
                  <w:tcW w:w="707"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highlight w:val="none"/>
                      <w:lang w:val="en-US" w:eastAsia="zh-CN"/>
                    </w:rPr>
                    <w:t>m</w:t>
                  </w:r>
                  <w:r>
                    <w:rPr>
                      <w:rFonts w:hint="eastAsia"/>
                      <w:highlight w:val="none"/>
                      <w:vertAlign w:val="superscript"/>
                      <w:lang w:val="en-US" w:eastAsia="zh-CN"/>
                    </w:rPr>
                    <w:t>3</w:t>
                  </w:r>
                  <w:r>
                    <w:rPr>
                      <w:rFonts w:hint="eastAsia"/>
                      <w:highlight w:val="none"/>
                      <w:lang w:val="en-US" w:eastAsia="zh-CN"/>
                    </w:rPr>
                    <w:t>/a</w:t>
                  </w:r>
                </w:p>
              </w:tc>
              <w:tc>
                <w:tcPr>
                  <w:tcW w:w="707" w:type="pc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1500</w:t>
                  </w:r>
                </w:p>
              </w:tc>
              <w:tc>
                <w:tcPr>
                  <w:tcW w:w="730" w:type="pct"/>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w:t>
                  </w:r>
                </w:p>
              </w:tc>
              <w:tc>
                <w:tcPr>
                  <w:tcW w:w="734"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cs="Times New Roman"/>
                      <w:sz w:val="21"/>
                      <w:szCs w:val="21"/>
                      <w:lang w:val="en-US" w:eastAsia="zh-CN"/>
                    </w:rPr>
                    <w:t>/</w:t>
                  </w:r>
                </w:p>
              </w:tc>
            </w:tr>
          </w:tbl>
          <w:p>
            <w:pPr>
              <w:pStyle w:val="27"/>
              <w:bidi w:val="0"/>
              <w:spacing w:line="240" w:lineRule="auto"/>
              <w:jc w:val="center"/>
              <w:rPr>
                <w:rFonts w:hint="eastAsia"/>
                <w:vertAlign w:val="baseline"/>
                <w:lang w:val="en-US" w:eastAsia="zh-CN"/>
              </w:rPr>
            </w:pPr>
            <w:r>
              <w:rPr>
                <w:rFonts w:hint="eastAsia"/>
                <w:lang w:val="en-US" w:eastAsia="zh-CN"/>
              </w:rPr>
              <w:t>表2-8  原辅料及产品中与污染排放有关的物质或元素理化特性表</w:t>
            </w:r>
          </w:p>
          <w:tbl>
            <w:tblPr>
              <w:tblStyle w:val="19"/>
              <w:tblW w:w="0" w:type="auto"/>
              <w:tblInd w:w="-11"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636"/>
              <w:gridCol w:w="1134"/>
              <w:gridCol w:w="1980"/>
              <w:gridCol w:w="840"/>
              <w:gridCol w:w="322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c>
                <w:tcPr>
                  <w:tcW w:w="0" w:type="auto"/>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序号</w:t>
                  </w:r>
                </w:p>
              </w:tc>
              <w:tc>
                <w:tcPr>
                  <w:tcW w:w="1134" w:type="dxa"/>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物料名称</w:t>
                  </w:r>
                </w:p>
              </w:tc>
              <w:tc>
                <w:tcPr>
                  <w:tcW w:w="1980" w:type="dxa"/>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与污染排放有关的物质或元素</w:t>
                  </w:r>
                </w:p>
              </w:tc>
              <w:tc>
                <w:tcPr>
                  <w:tcW w:w="840" w:type="dxa"/>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物理性状</w:t>
                  </w:r>
                </w:p>
              </w:tc>
              <w:tc>
                <w:tcPr>
                  <w:tcW w:w="3227" w:type="dxa"/>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环境危险特性</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1</w:t>
                  </w:r>
                </w:p>
              </w:tc>
              <w:tc>
                <w:tcPr>
                  <w:tcW w:w="1134" w:type="dxa"/>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废油液</w:t>
                  </w:r>
                </w:p>
              </w:tc>
              <w:tc>
                <w:tcPr>
                  <w:tcW w:w="1980" w:type="dxa"/>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主要为发动机润滑油、变速箱油、助力转向油、差速器油、制动液等石油类或合成润滑剂物质</w:t>
                  </w:r>
                </w:p>
              </w:tc>
              <w:tc>
                <w:tcPr>
                  <w:tcW w:w="840" w:type="dxa"/>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液体</w:t>
                  </w:r>
                </w:p>
              </w:tc>
              <w:tc>
                <w:tcPr>
                  <w:tcW w:w="3227" w:type="dxa"/>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油类物质，危险废物，储存不当可能导致泄漏，从而污染地表水、地下水、土壤</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2</w:t>
                  </w:r>
                </w:p>
              </w:tc>
              <w:tc>
                <w:tcPr>
                  <w:tcW w:w="1134" w:type="dxa"/>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燃油</w:t>
                  </w:r>
                </w:p>
              </w:tc>
              <w:tc>
                <w:tcPr>
                  <w:tcW w:w="1980" w:type="dxa"/>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汽油、柴油</w:t>
                  </w:r>
                </w:p>
              </w:tc>
              <w:tc>
                <w:tcPr>
                  <w:tcW w:w="840" w:type="dxa"/>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液体</w:t>
                  </w:r>
                </w:p>
              </w:tc>
              <w:tc>
                <w:tcPr>
                  <w:tcW w:w="3227" w:type="dxa"/>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易燃液体，油类物质，储存不当可能导致泄漏，从而污染大气、地表水、地下水、土壤</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3</w:t>
                  </w:r>
                </w:p>
              </w:tc>
              <w:tc>
                <w:tcPr>
                  <w:tcW w:w="1134" w:type="dxa"/>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废冷却液</w:t>
                  </w:r>
                </w:p>
              </w:tc>
              <w:tc>
                <w:tcPr>
                  <w:tcW w:w="1980" w:type="dxa"/>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乙二醇</w:t>
                  </w:r>
                </w:p>
              </w:tc>
              <w:tc>
                <w:tcPr>
                  <w:tcW w:w="840" w:type="dxa"/>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液体</w:t>
                  </w:r>
                </w:p>
              </w:tc>
              <w:tc>
                <w:tcPr>
                  <w:tcW w:w="3227" w:type="dxa"/>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危险废物，储存不当可能导致泄漏，从而污染大气、土壤和地下水</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4</w:t>
                  </w:r>
                </w:p>
              </w:tc>
              <w:tc>
                <w:tcPr>
                  <w:tcW w:w="1134" w:type="dxa"/>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废制冷剂</w:t>
                  </w:r>
                </w:p>
              </w:tc>
              <w:tc>
                <w:tcPr>
                  <w:tcW w:w="1980" w:type="dxa"/>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R12制冷剂、R134a制冷剂</w:t>
                  </w:r>
                </w:p>
              </w:tc>
              <w:tc>
                <w:tcPr>
                  <w:tcW w:w="840" w:type="dxa"/>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气体</w:t>
                  </w:r>
                </w:p>
              </w:tc>
              <w:tc>
                <w:tcPr>
                  <w:tcW w:w="3227" w:type="dxa"/>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危险废物，储存不当可能导致泄漏，从而污染大气</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5</w:t>
                  </w:r>
                </w:p>
              </w:tc>
              <w:tc>
                <w:tcPr>
                  <w:tcW w:w="1134" w:type="dxa"/>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废蓄电池</w:t>
                  </w:r>
                </w:p>
              </w:tc>
              <w:tc>
                <w:tcPr>
                  <w:tcW w:w="1980" w:type="dxa"/>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铅酸电池</w:t>
                  </w:r>
                </w:p>
              </w:tc>
              <w:tc>
                <w:tcPr>
                  <w:tcW w:w="840" w:type="dxa"/>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固体</w:t>
                  </w:r>
                </w:p>
              </w:tc>
              <w:tc>
                <w:tcPr>
                  <w:tcW w:w="3227" w:type="dxa"/>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危险废物，储存不当可能污染土壤和地下水</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6</w:t>
                  </w:r>
                </w:p>
              </w:tc>
              <w:tc>
                <w:tcPr>
                  <w:tcW w:w="1134" w:type="dxa"/>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废电路板</w:t>
                  </w:r>
                </w:p>
              </w:tc>
              <w:tc>
                <w:tcPr>
                  <w:tcW w:w="1980" w:type="dxa"/>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废电路板</w:t>
                  </w:r>
                </w:p>
              </w:tc>
              <w:tc>
                <w:tcPr>
                  <w:tcW w:w="840" w:type="dxa"/>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固体</w:t>
                  </w:r>
                </w:p>
              </w:tc>
              <w:tc>
                <w:tcPr>
                  <w:tcW w:w="3227" w:type="dxa"/>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危险废物，储存不当可能污染土壤和地下水</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7</w:t>
                  </w:r>
                </w:p>
              </w:tc>
              <w:tc>
                <w:tcPr>
                  <w:tcW w:w="1134" w:type="dxa"/>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废含汞开关</w:t>
                  </w:r>
                </w:p>
              </w:tc>
              <w:tc>
                <w:tcPr>
                  <w:tcW w:w="1980" w:type="dxa"/>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含汞开关</w:t>
                  </w:r>
                </w:p>
              </w:tc>
              <w:tc>
                <w:tcPr>
                  <w:tcW w:w="840" w:type="dxa"/>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固体</w:t>
                  </w:r>
                </w:p>
              </w:tc>
              <w:tc>
                <w:tcPr>
                  <w:tcW w:w="3227" w:type="dxa"/>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危险废物，储存不当可能污染土壤和地下水</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8</w:t>
                  </w:r>
                </w:p>
              </w:tc>
              <w:tc>
                <w:tcPr>
                  <w:tcW w:w="1134" w:type="dxa"/>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废含铅部件</w:t>
                  </w:r>
                </w:p>
              </w:tc>
              <w:tc>
                <w:tcPr>
                  <w:tcW w:w="1980" w:type="dxa"/>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含铅部件</w:t>
                  </w:r>
                </w:p>
              </w:tc>
              <w:tc>
                <w:tcPr>
                  <w:tcW w:w="840" w:type="dxa"/>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固体</w:t>
                  </w:r>
                </w:p>
              </w:tc>
              <w:tc>
                <w:tcPr>
                  <w:tcW w:w="3227" w:type="dxa"/>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危险废物，储存不当可能</w:t>
                  </w:r>
                </w:p>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污染土壤和地下水</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9</w:t>
                  </w:r>
                </w:p>
              </w:tc>
              <w:tc>
                <w:tcPr>
                  <w:tcW w:w="1134" w:type="dxa"/>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废电容</w:t>
                  </w:r>
                </w:p>
              </w:tc>
              <w:tc>
                <w:tcPr>
                  <w:tcW w:w="1980" w:type="dxa"/>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废电容</w:t>
                  </w:r>
                </w:p>
              </w:tc>
              <w:tc>
                <w:tcPr>
                  <w:tcW w:w="840" w:type="dxa"/>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固体</w:t>
                  </w:r>
                </w:p>
              </w:tc>
              <w:tc>
                <w:tcPr>
                  <w:tcW w:w="3227" w:type="dxa"/>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危险废物，储存不当可能</w:t>
                  </w:r>
                </w:p>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污染土壤和地下水</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10</w:t>
                  </w:r>
                </w:p>
              </w:tc>
              <w:tc>
                <w:tcPr>
                  <w:tcW w:w="1134" w:type="dxa"/>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废滤清器</w:t>
                  </w:r>
                </w:p>
              </w:tc>
              <w:tc>
                <w:tcPr>
                  <w:tcW w:w="1980" w:type="dxa"/>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废滤清器</w:t>
                  </w:r>
                </w:p>
              </w:tc>
              <w:tc>
                <w:tcPr>
                  <w:tcW w:w="840" w:type="dxa"/>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固体</w:t>
                  </w:r>
                </w:p>
              </w:tc>
              <w:tc>
                <w:tcPr>
                  <w:tcW w:w="3227" w:type="dxa"/>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危险废物，储存不当可能污染土壤和地下水</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0" w:type="auto"/>
                  <w:tcBorders>
                    <w:tl2br w:val="nil"/>
                    <w:tr2bl w:val="nil"/>
                  </w:tcBorders>
                  <w:vAlign w:val="center"/>
                </w:tcPr>
                <w:p>
                  <w:pPr>
                    <w:adjustRightInd w:val="0"/>
                    <w:snapToGrid w:val="0"/>
                    <w:spacing w:line="240" w:lineRule="auto"/>
                    <w:jc w:val="center"/>
                    <w:rPr>
                      <w:rFonts w:hint="default" w:cs="Times New Roman"/>
                      <w:sz w:val="21"/>
                      <w:szCs w:val="21"/>
                      <w:lang w:val="en-US" w:eastAsia="zh-CN"/>
                    </w:rPr>
                  </w:pPr>
                  <w:r>
                    <w:rPr>
                      <w:rFonts w:hint="eastAsia" w:cs="Times New Roman"/>
                      <w:sz w:val="21"/>
                      <w:szCs w:val="21"/>
                      <w:lang w:val="en-US" w:eastAsia="zh-CN"/>
                    </w:rPr>
                    <w:t>11</w:t>
                  </w:r>
                </w:p>
              </w:tc>
              <w:tc>
                <w:tcPr>
                  <w:tcW w:w="1134" w:type="dxa"/>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废尾气净化器</w:t>
                  </w:r>
                </w:p>
              </w:tc>
              <w:tc>
                <w:tcPr>
                  <w:tcW w:w="1980" w:type="dxa"/>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尾气净化器</w:t>
                  </w:r>
                </w:p>
              </w:tc>
              <w:tc>
                <w:tcPr>
                  <w:tcW w:w="840" w:type="dxa"/>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固体</w:t>
                  </w:r>
                </w:p>
              </w:tc>
              <w:tc>
                <w:tcPr>
                  <w:tcW w:w="3227" w:type="dxa"/>
                  <w:tcBorders>
                    <w:tl2br w:val="nil"/>
                    <w:tr2bl w:val="nil"/>
                  </w:tcBorders>
                  <w:vAlign w:val="center"/>
                </w:tcPr>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危险废物，储存不当可能</w:t>
                  </w:r>
                </w:p>
                <w:p>
                  <w:pPr>
                    <w:adjustRightInd w:val="0"/>
                    <w:snapToGrid w:val="0"/>
                    <w:spacing w:line="240" w:lineRule="auto"/>
                    <w:jc w:val="center"/>
                    <w:rPr>
                      <w:rFonts w:hint="eastAsia" w:cs="Times New Roman"/>
                      <w:sz w:val="21"/>
                      <w:szCs w:val="21"/>
                      <w:lang w:val="en-US" w:eastAsia="zh-CN"/>
                    </w:rPr>
                  </w:pPr>
                  <w:r>
                    <w:rPr>
                      <w:rFonts w:hint="eastAsia" w:cs="Times New Roman"/>
                      <w:sz w:val="21"/>
                      <w:szCs w:val="21"/>
                      <w:lang w:val="en-US" w:eastAsia="zh-CN"/>
                    </w:rPr>
                    <w:t>污染土壤和地下水</w:t>
                  </w:r>
                </w:p>
              </w:tc>
            </w:tr>
          </w:tbl>
          <w:p>
            <w:pPr>
              <w:pStyle w:val="25"/>
              <w:bidi w:val="0"/>
              <w:jc w:val="left"/>
              <w:rPr>
                <w:rFonts w:hint="default"/>
                <w:lang w:val="en-US" w:eastAsia="zh-CN"/>
              </w:rPr>
            </w:pPr>
            <w:r>
              <w:rPr>
                <w:rFonts w:hint="eastAsia"/>
                <w:b/>
                <w:bCs/>
                <w:highlight w:val="none"/>
                <w:lang w:val="en-US" w:eastAsia="zh-CN"/>
              </w:rPr>
              <w:t>6、厂区平面布置</w:t>
            </w:r>
          </w:p>
          <w:p>
            <w:pPr>
              <w:pStyle w:val="25"/>
              <w:bidi w:val="0"/>
              <w:jc w:val="left"/>
              <w:rPr>
                <w:rFonts w:hint="default"/>
                <w:lang w:val="en-US" w:eastAsia="zh-CN"/>
              </w:rPr>
            </w:pPr>
            <w:r>
              <w:rPr>
                <w:rFonts w:hint="eastAsia"/>
                <w:lang w:eastAsia="zh-CN"/>
              </w:rPr>
              <w:t>厂区平面布置简述：</w:t>
            </w:r>
            <w:r>
              <w:rPr>
                <w:rFonts w:hint="eastAsia"/>
                <w:lang w:val="en-US" w:eastAsia="zh-CN"/>
              </w:rPr>
              <w:t>厂区入口位于项目东北侧</w:t>
            </w:r>
            <w:r>
              <w:rPr>
                <w:rFonts w:hint="eastAsia" w:ascii="宋体" w:hAnsi="宋体" w:eastAsia="宋体" w:cs="宋体"/>
                <w:lang w:val="en-US" w:eastAsia="zh-CN"/>
              </w:rPr>
              <w:t>，</w:t>
            </w:r>
            <w:r>
              <w:rPr>
                <w:rFonts w:hint="eastAsia"/>
                <w:lang w:val="en-US" w:eastAsia="zh-CN"/>
              </w:rPr>
              <w:t>由入口进入后</w:t>
            </w:r>
            <w:r>
              <w:rPr>
                <w:rFonts w:hint="eastAsia" w:ascii="宋体" w:hAnsi="宋体" w:eastAsia="宋体" w:cs="宋体"/>
                <w:lang w:val="en-US" w:eastAsia="zh-CN"/>
              </w:rPr>
              <w:t>，</w:t>
            </w:r>
            <w:r>
              <w:rPr>
                <w:rFonts w:hint="eastAsia" w:ascii="宋体" w:hAnsi="宋体" w:cs="宋体"/>
                <w:lang w:val="en-US" w:eastAsia="zh-CN"/>
              </w:rPr>
              <w:t>北</w:t>
            </w:r>
            <w:r>
              <w:rPr>
                <w:rFonts w:hint="eastAsia"/>
                <w:lang w:val="en-US" w:eastAsia="zh-CN"/>
              </w:rPr>
              <w:t>侧为综合楼</w:t>
            </w:r>
            <w:r>
              <w:rPr>
                <w:rFonts w:hint="eastAsia" w:ascii="宋体" w:hAnsi="宋体" w:eastAsia="宋体" w:cs="宋体"/>
                <w:lang w:val="en-US" w:eastAsia="zh-CN"/>
              </w:rPr>
              <w:t>，</w:t>
            </w:r>
            <w:r>
              <w:rPr>
                <w:rFonts w:hint="eastAsia" w:ascii="宋体" w:hAnsi="宋体" w:cs="宋体"/>
                <w:lang w:val="en-US" w:eastAsia="zh-CN"/>
              </w:rPr>
              <w:t>综合楼西南方向是汽车拆解厂房</w:t>
            </w:r>
            <w:r>
              <w:rPr>
                <w:rFonts w:hint="eastAsia" w:ascii="宋体" w:hAnsi="宋体" w:eastAsia="宋体" w:cs="宋体"/>
                <w:lang w:val="en-US" w:eastAsia="zh-CN"/>
              </w:rPr>
              <w:t>，</w:t>
            </w:r>
            <w:r>
              <w:rPr>
                <w:rFonts w:hint="eastAsia"/>
                <w:lang w:val="en-US" w:eastAsia="zh-CN"/>
              </w:rPr>
              <w:t>汽车拆解厂房东南侧为汽车堆场，一般固废暂存间与危废间位于汽车拆解厂房南侧，初期雨水收集池和隔油沉淀池位于汽车拆解厂房和综合楼中间。</w:t>
            </w:r>
          </w:p>
          <w:p>
            <w:pPr>
              <w:pStyle w:val="25"/>
              <w:bidi w:val="0"/>
              <w:jc w:val="left"/>
              <w:rPr>
                <w:rFonts w:hint="default"/>
                <w:lang w:val="en-US" w:eastAsia="zh-CN"/>
              </w:rPr>
            </w:pPr>
            <w:r>
              <w:rPr>
                <w:rFonts w:hint="eastAsia"/>
                <w:lang w:val="en-US" w:eastAsia="zh-CN"/>
              </w:rPr>
              <w:t>综合楼平面布置简述：综合楼共三楼，是租用已建综合楼，一楼设置办证大厅、办公室、员工食堂和产品贮存区，二楼整层设为产品贮存区，三楼为员工宿舍</w:t>
            </w:r>
          </w:p>
          <w:p>
            <w:pPr>
              <w:pStyle w:val="25"/>
              <w:bidi w:val="0"/>
              <w:jc w:val="left"/>
              <w:rPr>
                <w:rFonts w:hint="eastAsia"/>
                <w:lang w:val="en-US" w:eastAsia="zh-CN"/>
              </w:rPr>
            </w:pPr>
            <w:r>
              <w:rPr>
                <w:rFonts w:hint="eastAsia"/>
                <w:lang w:val="en-US" w:eastAsia="zh-CN"/>
              </w:rPr>
              <w:t>汽车拆解厂房平面布置简述：厂房长75米。宽44米，因物流通道将宽44米的厂房分割为北部中部南部，北部从西到东分别为新能源电车堆放区、新能源电车预处理区、新能源电车拆解区、动力电池检验区、动力电池暂存区、切割剪切区；中部从西到东分别为安全气囊引爆室、扒胎区、燃油小型车预处理区、燃油中大型车预处理区、精拆区、打包区；南部从西到东分别为摩托车拆解区、燃油小型车拆解区、燃油中大型车拆解区、废钢暂存区；从整体上看，平面布局较为合理，详见附图5。</w:t>
            </w:r>
          </w:p>
          <w:p>
            <w:pPr>
              <w:pStyle w:val="25"/>
              <w:bidi w:val="0"/>
              <w:jc w:val="left"/>
              <w:rPr>
                <w:rFonts w:hint="default" w:eastAsia="宋体"/>
                <w:highlight w:val="none"/>
                <w:lang w:val="en-US" w:eastAsia="zh-CN"/>
              </w:rPr>
            </w:pPr>
            <w:r>
              <w:rPr>
                <w:rFonts w:hint="eastAsia"/>
                <w:b/>
                <w:bCs/>
                <w:highlight w:val="none"/>
                <w:lang w:val="en-US" w:eastAsia="zh-CN"/>
              </w:rPr>
              <w:t>7、劳动定员及工作制度</w:t>
            </w:r>
          </w:p>
          <w:p>
            <w:pPr>
              <w:pStyle w:val="25"/>
              <w:bidi w:val="0"/>
              <w:jc w:val="left"/>
              <w:rPr>
                <w:rFonts w:hint="eastAsia" w:ascii="宋体" w:hAnsi="宋体" w:eastAsia="宋体" w:cs="宋体"/>
                <w:highlight w:val="none"/>
                <w:lang w:val="en-US" w:eastAsia="zh-CN"/>
              </w:rPr>
            </w:pPr>
            <w:r>
              <w:rPr>
                <w:rFonts w:hint="eastAsia"/>
                <w:highlight w:val="none"/>
              </w:rPr>
              <w:t>本项目劳动定员拟为3</w:t>
            </w:r>
            <w:r>
              <w:rPr>
                <w:rFonts w:hint="eastAsia"/>
                <w:highlight w:val="none"/>
                <w:lang w:val="en-US" w:eastAsia="zh-CN"/>
              </w:rPr>
              <w:t>5</w:t>
            </w:r>
            <w:r>
              <w:rPr>
                <w:rFonts w:hint="eastAsia"/>
                <w:highlight w:val="none"/>
              </w:rPr>
              <w:t>人</w:t>
            </w:r>
            <w:r>
              <w:rPr>
                <w:rFonts w:hint="eastAsia" w:ascii="宋体" w:hAnsi="宋体" w:eastAsia="宋体" w:cs="宋体"/>
                <w:highlight w:val="none"/>
              </w:rPr>
              <w:t>；</w:t>
            </w:r>
            <w:r>
              <w:rPr>
                <w:rFonts w:hint="eastAsia"/>
                <w:highlight w:val="none"/>
              </w:rPr>
              <w:t>工作制度：年工作300d、日工作</w:t>
            </w:r>
            <w:r>
              <w:rPr>
                <w:rFonts w:hint="eastAsia"/>
                <w:highlight w:val="none"/>
                <w:lang w:val="en-US" w:eastAsia="zh-CN"/>
              </w:rPr>
              <w:t>8</w:t>
            </w:r>
            <w:r>
              <w:rPr>
                <w:rFonts w:hint="eastAsia"/>
                <w:highlight w:val="none"/>
              </w:rPr>
              <w:t>h</w:t>
            </w:r>
            <w:r>
              <w:rPr>
                <w:rFonts w:hint="eastAsia"/>
                <w:highlight w:val="none"/>
                <w:lang w:eastAsia="zh-CN"/>
              </w:rPr>
              <w:t>、</w:t>
            </w:r>
            <w:r>
              <w:rPr>
                <w:rFonts w:hint="eastAsia"/>
                <w:highlight w:val="none"/>
                <w:lang w:val="en-US" w:eastAsia="zh-CN"/>
              </w:rPr>
              <w:t>夜间不工作</w:t>
            </w:r>
            <w:r>
              <w:rPr>
                <w:rFonts w:hint="eastAsia" w:ascii="宋体" w:hAnsi="宋体" w:eastAsia="宋体" w:cs="宋体"/>
                <w:highlight w:val="none"/>
                <w:lang w:eastAsia="zh-CN"/>
              </w:rPr>
              <w:t>；</w:t>
            </w:r>
            <w:r>
              <w:rPr>
                <w:rFonts w:hint="eastAsia"/>
                <w:highlight w:val="none"/>
                <w:lang w:val="en-US" w:eastAsia="zh-CN"/>
              </w:rPr>
              <w:t>员工均在厂区食宿</w:t>
            </w:r>
            <w:r>
              <w:rPr>
                <w:rFonts w:hint="eastAsia" w:ascii="宋体" w:hAnsi="宋体" w:eastAsia="宋体" w:cs="宋体"/>
                <w:highlight w:val="none"/>
                <w:lang w:val="en-US" w:eastAsia="zh-CN"/>
              </w:rPr>
              <w:t>。</w:t>
            </w:r>
          </w:p>
          <w:p>
            <w:pPr>
              <w:pStyle w:val="25"/>
              <w:numPr>
                <w:ilvl w:val="0"/>
                <w:numId w:val="4"/>
              </w:numPr>
              <w:bidi w:val="0"/>
              <w:jc w:val="left"/>
              <w:rPr>
                <w:rFonts w:hint="default" w:ascii="Times New Roman" w:hAnsi="Times New Roman" w:eastAsia="宋体" w:cs="Times New Roman"/>
                <w:b/>
                <w:bCs/>
                <w:color w:val="auto"/>
                <w:sz w:val="24"/>
                <w:szCs w:val="24"/>
                <w:u w:color="auto"/>
              </w:rPr>
            </w:pPr>
            <w:r>
              <w:rPr>
                <w:rFonts w:hint="default" w:ascii="Times New Roman" w:hAnsi="Times New Roman" w:eastAsia="宋体" w:cs="Times New Roman"/>
                <w:b/>
                <w:bCs/>
                <w:color w:val="auto"/>
                <w:sz w:val="24"/>
                <w:szCs w:val="24"/>
                <w:u w:color="auto"/>
              </w:rPr>
              <w:t>公用工程</w:t>
            </w:r>
          </w:p>
          <w:p>
            <w:pPr>
              <w:spacing w:line="360" w:lineRule="auto"/>
              <w:ind w:firstLine="482" w:firstLineChars="200"/>
              <w:rPr>
                <w:rFonts w:hint="eastAsia" w:ascii="Times New Roman" w:hAnsi="Times New Roman" w:eastAsia="宋体" w:cs="Times New Roman"/>
                <w:b/>
                <w:bCs/>
                <w:color w:val="auto"/>
                <w:sz w:val="24"/>
                <w:szCs w:val="24"/>
                <w:u w:color="auto"/>
                <w:lang w:val="en-US" w:eastAsia="zh-CN"/>
              </w:rPr>
            </w:pPr>
            <w:r>
              <w:rPr>
                <w:rFonts w:hint="default" w:ascii="Times New Roman" w:hAnsi="Times New Roman" w:eastAsia="宋体" w:cs="Times New Roman"/>
                <w:b/>
                <w:bCs/>
                <w:color w:val="auto"/>
                <w:sz w:val="24"/>
                <w:szCs w:val="24"/>
                <w:u w:color="auto"/>
              </w:rPr>
              <w:t>（1）给水</w:t>
            </w:r>
            <w:r>
              <w:rPr>
                <w:rFonts w:hint="eastAsia" w:cs="Times New Roman"/>
                <w:b/>
                <w:bCs/>
                <w:color w:val="auto"/>
                <w:sz w:val="24"/>
                <w:szCs w:val="24"/>
                <w:u w:color="auto"/>
                <w:lang w:val="en-US" w:eastAsia="zh-CN"/>
              </w:rPr>
              <w:t>工程</w:t>
            </w:r>
          </w:p>
          <w:p>
            <w:pPr>
              <w:keepNext w:val="0"/>
              <w:keepLines w:val="0"/>
              <w:widowControl/>
              <w:suppressLineNumbers w:val="0"/>
              <w:spacing w:line="360" w:lineRule="auto"/>
              <w:ind w:firstLine="480" w:firstLineChars="200"/>
              <w:jc w:val="left"/>
              <w:rPr>
                <w:rFonts w:hint="default" w:ascii="Times New Roman" w:hAnsi="Times New Roman" w:eastAsia="宋体" w:cs="Times New Roman"/>
                <w:color w:val="auto"/>
                <w:sz w:val="24"/>
                <w:szCs w:val="24"/>
                <w:u w:color="auto"/>
                <w:lang w:val="en-US" w:eastAsia="zh-CN"/>
              </w:rPr>
            </w:pPr>
            <w:r>
              <w:rPr>
                <w:rFonts w:hint="default" w:ascii="Times New Roman" w:hAnsi="Times New Roman" w:eastAsia="宋体" w:cs="Times New Roman"/>
                <w:color w:val="auto"/>
                <w:sz w:val="24"/>
                <w:szCs w:val="24"/>
                <w:u w:color="auto"/>
                <w:lang w:val="en-US" w:eastAsia="zh-CN"/>
              </w:rPr>
              <w:t>本项目用水由市政给水管道直接供给，项目用水主要为员工生活用水、</w:t>
            </w:r>
            <w:r>
              <w:rPr>
                <w:rFonts w:hint="eastAsia" w:cs="Times New Roman"/>
                <w:color w:val="auto"/>
                <w:sz w:val="24"/>
                <w:szCs w:val="24"/>
                <w:u w:color="auto"/>
                <w:lang w:val="en-US" w:eastAsia="zh-CN"/>
              </w:rPr>
              <w:t>车间拖把清洗用水</w:t>
            </w:r>
            <w:r>
              <w:rPr>
                <w:rFonts w:hint="default" w:ascii="Times New Roman" w:hAnsi="Times New Roman" w:eastAsia="宋体" w:cs="Times New Roman"/>
                <w:color w:val="auto"/>
                <w:sz w:val="24"/>
                <w:szCs w:val="24"/>
                <w:u w:color="auto"/>
                <w:lang w:val="en-US" w:eastAsia="zh-CN"/>
              </w:rPr>
              <w:t>。</w:t>
            </w:r>
          </w:p>
          <w:p>
            <w:pPr>
              <w:keepNext w:val="0"/>
              <w:keepLines w:val="0"/>
              <w:widowControl/>
              <w:numPr>
                <w:ilvl w:val="0"/>
                <w:numId w:val="0"/>
              </w:numPr>
              <w:suppressLineNumbers w:val="0"/>
              <w:spacing w:line="360" w:lineRule="auto"/>
              <w:ind w:firstLine="482" w:firstLineChars="200"/>
              <w:jc w:val="left"/>
              <w:rPr>
                <w:rFonts w:hint="default" w:ascii="Times New Roman" w:hAnsi="Times New Roman" w:eastAsia="宋体" w:cs="Times New Roman"/>
                <w:b/>
                <w:bCs/>
                <w:color w:val="auto"/>
                <w:sz w:val="24"/>
                <w:szCs w:val="24"/>
                <w:u w:color="auto"/>
                <w:lang w:val="en-US" w:eastAsia="zh-CN"/>
              </w:rPr>
            </w:pPr>
            <w:r>
              <w:rPr>
                <w:rFonts w:hint="default" w:ascii="Times New Roman" w:hAnsi="Times New Roman" w:eastAsia="宋体" w:cs="Times New Roman"/>
                <w:b/>
                <w:bCs/>
                <w:color w:val="auto"/>
                <w:sz w:val="24"/>
                <w:szCs w:val="24"/>
                <w:u w:color="auto"/>
                <w:lang w:val="en-US" w:eastAsia="zh-CN"/>
              </w:rPr>
              <w:t>①生活用水</w:t>
            </w:r>
          </w:p>
          <w:p>
            <w:pPr>
              <w:keepNext w:val="0"/>
              <w:keepLines w:val="0"/>
              <w:widowControl/>
              <w:numPr>
                <w:ilvl w:val="0"/>
                <w:numId w:val="0"/>
              </w:numPr>
              <w:suppressLineNumbers w:val="0"/>
              <w:spacing w:line="360" w:lineRule="auto"/>
              <w:ind w:firstLine="480" w:firstLineChars="200"/>
              <w:jc w:val="left"/>
              <w:rPr>
                <w:rFonts w:hint="default" w:ascii="Times New Roman" w:hAnsi="Times New Roman" w:eastAsia="宋体" w:cs="Times New Roman"/>
                <w:color w:val="auto"/>
                <w:kern w:val="0"/>
                <w:sz w:val="24"/>
                <w:szCs w:val="24"/>
                <w:u w:color="auto"/>
                <w:lang w:val="en-US" w:eastAsia="zh-CN" w:bidi="ar"/>
              </w:rPr>
            </w:pPr>
            <w:r>
              <w:rPr>
                <w:rFonts w:hint="eastAsia"/>
                <w:highlight w:val="none"/>
              </w:rPr>
              <w:t>本项目劳动定员拟为3</w:t>
            </w:r>
            <w:r>
              <w:rPr>
                <w:rFonts w:hint="eastAsia"/>
                <w:highlight w:val="none"/>
                <w:lang w:val="en-US" w:eastAsia="zh-CN"/>
              </w:rPr>
              <w:t>5</w:t>
            </w:r>
            <w:r>
              <w:rPr>
                <w:rFonts w:hint="eastAsia"/>
                <w:highlight w:val="none"/>
              </w:rPr>
              <w:t>人</w:t>
            </w:r>
            <w:r>
              <w:rPr>
                <w:rFonts w:hint="eastAsia"/>
                <w:highlight w:val="none"/>
                <w:lang w:eastAsia="zh-CN"/>
              </w:rPr>
              <w:t>，</w:t>
            </w:r>
            <w:r>
              <w:rPr>
                <w:rFonts w:hint="default" w:ascii="Times New Roman" w:hAnsi="Times New Roman" w:eastAsia="宋体" w:cs="Times New Roman"/>
                <w:color w:val="auto"/>
                <w:kern w:val="0"/>
                <w:sz w:val="24"/>
                <w:szCs w:val="24"/>
                <w:u w:color="auto"/>
                <w:lang w:val="en-US" w:eastAsia="zh-CN" w:bidi="ar"/>
              </w:rPr>
              <w:t>年工作时间为300天，根据湖南省地方标准《用水定额》（DB43/T 388-2020），生活用水量以</w:t>
            </w:r>
            <w:r>
              <w:rPr>
                <w:rFonts w:hint="eastAsia" w:cs="Times New Roman"/>
                <w:color w:val="auto"/>
                <w:kern w:val="0"/>
                <w:sz w:val="24"/>
                <w:szCs w:val="24"/>
                <w:u w:color="auto"/>
                <w:lang w:val="en-US" w:eastAsia="zh-CN" w:bidi="ar"/>
              </w:rPr>
              <w:t>140L</w:t>
            </w:r>
            <w:r>
              <w:rPr>
                <w:rFonts w:hint="default" w:ascii="Times New Roman" w:hAnsi="Times New Roman" w:eastAsia="宋体" w:cs="Times New Roman"/>
                <w:color w:val="auto"/>
                <w:kern w:val="0"/>
                <w:sz w:val="24"/>
                <w:szCs w:val="24"/>
                <w:u w:color="auto"/>
                <w:lang w:val="en-US" w:eastAsia="zh-CN" w:bidi="ar"/>
              </w:rPr>
              <w:t>/人·</w:t>
            </w:r>
            <w:r>
              <w:rPr>
                <w:rFonts w:hint="eastAsia" w:cs="Times New Roman"/>
                <w:color w:val="auto"/>
                <w:kern w:val="0"/>
                <w:sz w:val="24"/>
                <w:szCs w:val="24"/>
                <w:u w:color="auto"/>
                <w:lang w:val="en-US" w:eastAsia="zh-CN" w:bidi="ar"/>
              </w:rPr>
              <w:t>d</w:t>
            </w:r>
            <w:r>
              <w:rPr>
                <w:rFonts w:hint="default" w:ascii="Times New Roman" w:hAnsi="Times New Roman" w:eastAsia="宋体" w:cs="Times New Roman"/>
                <w:color w:val="auto"/>
                <w:kern w:val="0"/>
                <w:sz w:val="24"/>
                <w:szCs w:val="24"/>
                <w:u w:color="auto"/>
                <w:lang w:val="en-US" w:eastAsia="zh-CN" w:bidi="ar"/>
              </w:rPr>
              <w:t>计，则项目用水量为</w:t>
            </w:r>
            <w:r>
              <w:rPr>
                <w:rFonts w:hint="eastAsia" w:cs="Times New Roman"/>
                <w:color w:val="auto"/>
                <w:kern w:val="0"/>
                <w:sz w:val="24"/>
                <w:szCs w:val="24"/>
                <w:u w:color="auto"/>
                <w:lang w:val="en-US" w:eastAsia="zh-CN" w:bidi="ar"/>
              </w:rPr>
              <w:t>1470</w:t>
            </w:r>
            <w:r>
              <w:rPr>
                <w:rFonts w:hint="default" w:ascii="Times New Roman" w:hAnsi="Times New Roman" w:eastAsia="宋体" w:cs="Times New Roman"/>
                <w:color w:val="auto"/>
                <w:kern w:val="0"/>
                <w:sz w:val="24"/>
                <w:szCs w:val="24"/>
                <w:u w:color="auto"/>
                <w:lang w:val="en-US" w:eastAsia="zh-CN" w:bidi="ar"/>
              </w:rPr>
              <w:t>m</w:t>
            </w:r>
            <w:r>
              <w:rPr>
                <w:rFonts w:hint="default" w:ascii="Times New Roman" w:hAnsi="Times New Roman" w:eastAsia="宋体" w:cs="Times New Roman"/>
                <w:color w:val="auto"/>
                <w:kern w:val="0"/>
                <w:sz w:val="24"/>
                <w:szCs w:val="24"/>
                <w:u w:color="auto"/>
                <w:vertAlign w:val="superscript"/>
                <w:lang w:val="en-US" w:eastAsia="zh-CN" w:bidi="ar"/>
              </w:rPr>
              <w:t>3</w:t>
            </w:r>
            <w:r>
              <w:rPr>
                <w:rFonts w:hint="default" w:ascii="Times New Roman" w:hAnsi="Times New Roman" w:eastAsia="宋体" w:cs="Times New Roman"/>
                <w:color w:val="auto"/>
                <w:kern w:val="0"/>
                <w:sz w:val="24"/>
                <w:szCs w:val="24"/>
                <w:u w:color="auto"/>
                <w:lang w:val="en-US" w:eastAsia="zh-CN" w:bidi="ar"/>
              </w:rPr>
              <w:t>/a（</w:t>
            </w:r>
            <w:r>
              <w:rPr>
                <w:rFonts w:hint="eastAsia" w:cs="Times New Roman"/>
                <w:color w:val="auto"/>
                <w:kern w:val="0"/>
                <w:sz w:val="24"/>
                <w:szCs w:val="24"/>
                <w:u w:color="auto"/>
                <w:lang w:val="en-US" w:eastAsia="zh-CN" w:bidi="ar"/>
              </w:rPr>
              <w:t>4.9</w:t>
            </w:r>
            <w:r>
              <w:rPr>
                <w:rFonts w:hint="default" w:ascii="Times New Roman" w:hAnsi="Times New Roman" w:eastAsia="宋体" w:cs="Times New Roman"/>
                <w:color w:val="auto"/>
                <w:kern w:val="0"/>
                <w:sz w:val="24"/>
                <w:szCs w:val="24"/>
                <w:u w:color="auto"/>
                <w:lang w:val="en-US" w:eastAsia="zh-CN" w:bidi="ar"/>
              </w:rPr>
              <w:t>m</w:t>
            </w:r>
            <w:r>
              <w:rPr>
                <w:rFonts w:hint="default" w:ascii="Times New Roman" w:hAnsi="Times New Roman" w:eastAsia="宋体" w:cs="Times New Roman"/>
                <w:color w:val="auto"/>
                <w:kern w:val="0"/>
                <w:sz w:val="24"/>
                <w:szCs w:val="24"/>
                <w:u w:color="auto"/>
                <w:vertAlign w:val="superscript"/>
                <w:lang w:val="en-US" w:eastAsia="zh-CN" w:bidi="ar"/>
              </w:rPr>
              <w:t>3</w:t>
            </w:r>
            <w:r>
              <w:rPr>
                <w:rFonts w:hint="default" w:ascii="Times New Roman" w:hAnsi="Times New Roman" w:eastAsia="宋体" w:cs="Times New Roman"/>
                <w:color w:val="auto"/>
                <w:kern w:val="0"/>
                <w:sz w:val="24"/>
                <w:szCs w:val="24"/>
                <w:u w:color="auto"/>
                <w:lang w:val="en-US" w:eastAsia="zh-CN" w:bidi="ar"/>
              </w:rPr>
              <w:t>/d）。</w:t>
            </w:r>
          </w:p>
          <w:p>
            <w:pPr>
              <w:keepNext w:val="0"/>
              <w:keepLines w:val="0"/>
              <w:widowControl/>
              <w:suppressLineNumbers w:val="0"/>
              <w:spacing w:line="360" w:lineRule="auto"/>
              <w:ind w:firstLine="482" w:firstLineChars="200"/>
              <w:jc w:val="left"/>
              <w:rPr>
                <w:rFonts w:hint="default" w:ascii="Times New Roman" w:hAnsi="Times New Roman" w:eastAsia="宋体" w:cs="Times New Roman"/>
                <w:b/>
                <w:bCs/>
                <w:color w:val="auto"/>
                <w:kern w:val="0"/>
                <w:sz w:val="24"/>
                <w:szCs w:val="24"/>
                <w:u w:color="auto"/>
                <w:lang w:val="en-US" w:eastAsia="zh-CN" w:bidi="ar"/>
              </w:rPr>
            </w:pPr>
            <w:r>
              <w:rPr>
                <w:rFonts w:hint="default" w:ascii="Times New Roman" w:hAnsi="Times New Roman" w:eastAsia="宋体" w:cs="Times New Roman"/>
                <w:b/>
                <w:bCs/>
                <w:color w:val="auto"/>
                <w:kern w:val="0"/>
                <w:sz w:val="24"/>
                <w:szCs w:val="24"/>
                <w:u w:color="auto"/>
                <w:lang w:val="en-US" w:eastAsia="zh-CN" w:bidi="ar"/>
              </w:rPr>
              <w:t>②</w:t>
            </w:r>
            <w:r>
              <w:rPr>
                <w:rFonts w:hint="eastAsia" w:cs="Times New Roman"/>
                <w:b/>
                <w:bCs/>
                <w:color w:val="auto"/>
                <w:kern w:val="0"/>
                <w:sz w:val="24"/>
                <w:szCs w:val="24"/>
                <w:u w:color="auto"/>
                <w:lang w:val="en-US" w:eastAsia="zh-CN" w:bidi="ar"/>
              </w:rPr>
              <w:t>拖把清洗</w:t>
            </w:r>
            <w:r>
              <w:rPr>
                <w:rFonts w:hint="default" w:ascii="Times New Roman" w:hAnsi="Times New Roman" w:eastAsia="宋体" w:cs="Times New Roman"/>
                <w:b/>
                <w:bCs/>
                <w:color w:val="auto"/>
                <w:kern w:val="0"/>
                <w:sz w:val="24"/>
                <w:szCs w:val="24"/>
                <w:u w:color="auto"/>
                <w:lang w:val="en-US" w:eastAsia="zh-CN" w:bidi="ar"/>
              </w:rPr>
              <w:t>用水</w:t>
            </w:r>
          </w:p>
          <w:p>
            <w:pPr>
              <w:bidi w:val="0"/>
              <w:ind w:firstLine="480" w:firstLineChars="200"/>
              <w:rPr>
                <w:bCs/>
                <w:sz w:val="24"/>
                <w:szCs w:val="24"/>
              </w:rPr>
            </w:pPr>
            <w:r>
              <w:rPr>
                <w:rFonts w:hint="default" w:ascii="Times New Roman" w:hAnsi="Times New Roman" w:eastAsia="宋体" w:cs="Times New Roman"/>
                <w:color w:val="auto"/>
                <w:sz w:val="24"/>
                <w:szCs w:val="24"/>
                <w:u w:color="auto"/>
                <w:lang w:val="en-US" w:eastAsia="zh-CN"/>
              </w:rPr>
              <w:t>本项目拆解作业区日常以清扫为主，需定期采用拖把清洁，</w:t>
            </w:r>
            <w:r>
              <w:rPr>
                <w:rFonts w:hint="eastAsia"/>
                <w:bCs/>
                <w:sz w:val="24"/>
                <w:szCs w:val="24"/>
              </w:rPr>
              <w:t>拖把清洗用水量为0.</w:t>
            </w:r>
            <w:r>
              <w:rPr>
                <w:rFonts w:hint="eastAsia"/>
                <w:bCs/>
                <w:sz w:val="24"/>
                <w:szCs w:val="24"/>
                <w:lang w:val="en-US" w:eastAsia="zh-CN"/>
              </w:rPr>
              <w:t>1</w:t>
            </w:r>
            <w:r>
              <w:rPr>
                <w:rFonts w:hint="eastAsia"/>
                <w:bCs/>
                <w:sz w:val="24"/>
                <w:szCs w:val="24"/>
              </w:rPr>
              <w:t>m</w:t>
            </w:r>
            <w:r>
              <w:rPr>
                <w:rFonts w:hint="eastAsia"/>
                <w:bCs/>
                <w:sz w:val="24"/>
                <w:szCs w:val="24"/>
                <w:vertAlign w:val="superscript"/>
              </w:rPr>
              <w:t>3</w:t>
            </w:r>
            <w:r>
              <w:rPr>
                <w:rFonts w:hint="eastAsia"/>
                <w:bCs/>
                <w:sz w:val="24"/>
                <w:szCs w:val="24"/>
              </w:rPr>
              <w:t>/d，</w:t>
            </w:r>
            <w:r>
              <w:rPr>
                <w:rFonts w:hint="eastAsia"/>
                <w:bCs/>
                <w:sz w:val="24"/>
                <w:szCs w:val="24"/>
                <w:lang w:val="en-US" w:eastAsia="zh-CN"/>
              </w:rPr>
              <w:t>30</w:t>
            </w:r>
            <w:r>
              <w:rPr>
                <w:bCs/>
                <w:sz w:val="24"/>
                <w:szCs w:val="24"/>
              </w:rPr>
              <w:t>m</w:t>
            </w:r>
            <w:r>
              <w:rPr>
                <w:bCs/>
                <w:sz w:val="24"/>
                <w:szCs w:val="24"/>
                <w:vertAlign w:val="superscript"/>
              </w:rPr>
              <w:t>3</w:t>
            </w:r>
            <w:r>
              <w:rPr>
                <w:bCs/>
                <w:sz w:val="24"/>
                <w:szCs w:val="24"/>
              </w:rPr>
              <w:t>/a。</w:t>
            </w:r>
          </w:p>
          <w:p>
            <w:pPr>
              <w:pStyle w:val="3"/>
              <w:spacing w:after="0" w:line="360" w:lineRule="auto"/>
              <w:ind w:firstLine="482" w:firstLineChars="200"/>
              <w:rPr>
                <w:rFonts w:hint="eastAsia" w:ascii="Times New Roman" w:hAnsi="Times New Roman" w:eastAsia="宋体" w:cs="Times New Roman"/>
                <w:b/>
                <w:bCs/>
                <w:color w:val="auto"/>
                <w:sz w:val="24"/>
                <w:szCs w:val="24"/>
                <w:u w:color="auto"/>
                <w:lang w:val="en-US" w:eastAsia="zh-CN"/>
              </w:rPr>
            </w:pPr>
            <w:r>
              <w:rPr>
                <w:rFonts w:hint="default" w:ascii="Times New Roman" w:hAnsi="Times New Roman" w:eastAsia="宋体" w:cs="Times New Roman"/>
                <w:b/>
                <w:bCs/>
                <w:color w:val="auto"/>
                <w:sz w:val="24"/>
                <w:szCs w:val="24"/>
                <w:u w:color="auto"/>
              </w:rPr>
              <w:t>（2）排水</w:t>
            </w:r>
            <w:r>
              <w:rPr>
                <w:rFonts w:hint="eastAsia" w:cs="Times New Roman"/>
                <w:b/>
                <w:bCs/>
                <w:color w:val="auto"/>
                <w:sz w:val="24"/>
                <w:szCs w:val="24"/>
                <w:u w:color="auto"/>
                <w:lang w:val="en-US" w:eastAsia="zh-CN"/>
              </w:rPr>
              <w:t>工程</w:t>
            </w:r>
          </w:p>
          <w:p>
            <w:pPr>
              <w:pStyle w:val="3"/>
              <w:keepNext w:val="0"/>
              <w:keepLines w:val="0"/>
              <w:pageBreakBefore w:val="0"/>
              <w:widowControl w:val="0"/>
              <w:kinsoku/>
              <w:wordWrap/>
              <w:overflowPunct/>
              <w:topLinePunct w:val="0"/>
              <w:autoSpaceDE/>
              <w:autoSpaceDN/>
              <w:bidi w:val="0"/>
              <w:adjustRightInd/>
              <w:snapToGrid/>
              <w:spacing w:after="0" w:afterLines="0" w:line="360" w:lineRule="auto"/>
              <w:ind w:left="0" w:leftChars="0" w:right="0" w:rightChars="0" w:firstLine="482" w:firstLineChars="200"/>
              <w:jc w:val="left"/>
              <w:textAlignment w:val="auto"/>
              <w:outlineLvl w:val="9"/>
              <w:rPr>
                <w:rFonts w:hint="eastAsia"/>
                <w:b/>
                <w:bCs/>
                <w:color w:val="auto"/>
                <w:sz w:val="24"/>
                <w:szCs w:val="24"/>
                <w:lang w:val="en-US" w:eastAsia="zh-CN"/>
              </w:rPr>
            </w:pPr>
            <w:r>
              <w:rPr>
                <w:rFonts w:hint="eastAsia"/>
                <w:b/>
                <w:bCs/>
                <w:color w:val="auto"/>
                <w:sz w:val="24"/>
                <w:szCs w:val="24"/>
                <w:lang w:val="en-US" w:eastAsia="zh-CN"/>
              </w:rPr>
              <w:t>①生活污水</w:t>
            </w:r>
          </w:p>
          <w:p>
            <w:pPr>
              <w:keepNext w:val="0"/>
              <w:keepLines w:val="0"/>
              <w:pageBreakBefore w:val="0"/>
              <w:widowControl/>
              <w:suppressLineNumbers w:val="0"/>
              <w:kinsoku/>
              <w:wordWrap/>
              <w:overflowPunct/>
              <w:topLinePunct w:val="0"/>
              <w:autoSpaceDE/>
              <w:autoSpaceDN/>
              <w:bidi w:val="0"/>
              <w:adjustRightInd/>
              <w:snapToGrid/>
              <w:spacing w:line="360" w:lineRule="auto"/>
              <w:ind w:left="0" w:leftChars="0" w:right="0" w:rightChars="0" w:firstLine="480" w:firstLineChars="200"/>
              <w:jc w:val="left"/>
              <w:textAlignment w:val="auto"/>
              <w:outlineLvl w:val="9"/>
              <w:rPr>
                <w:rFonts w:hint="eastAsia" w:cs="Times New Roman"/>
                <w:color w:val="auto"/>
                <w:kern w:val="2"/>
                <w:sz w:val="24"/>
                <w:szCs w:val="24"/>
                <w:u w:color="auto"/>
                <w:lang w:val="en-US" w:eastAsia="zh-CN" w:bidi="ar-SA"/>
              </w:rPr>
            </w:pPr>
            <w:r>
              <w:rPr>
                <w:rFonts w:hint="default" w:ascii="Times New Roman" w:hAnsi="Times New Roman" w:eastAsia="宋体" w:cs="Times New Roman"/>
                <w:color w:val="auto"/>
                <w:kern w:val="2"/>
                <w:sz w:val="24"/>
                <w:szCs w:val="24"/>
                <w:u w:color="auto"/>
                <w:lang w:val="en-US" w:eastAsia="zh-CN" w:bidi="ar-SA"/>
              </w:rPr>
              <w:t>生活</w:t>
            </w:r>
            <w:r>
              <w:rPr>
                <w:rFonts w:hint="default" w:ascii="Times New Roman" w:hAnsi="Times New Roman" w:eastAsia="宋体" w:cs="Times New Roman"/>
                <w:color w:val="auto"/>
                <w:kern w:val="0"/>
                <w:sz w:val="24"/>
                <w:szCs w:val="24"/>
                <w:u w:color="auto"/>
                <w:lang w:val="en-US" w:eastAsia="zh-CN" w:bidi="ar"/>
              </w:rPr>
              <w:t>用水量为</w:t>
            </w:r>
            <w:r>
              <w:rPr>
                <w:rFonts w:hint="eastAsia" w:cs="Times New Roman"/>
                <w:color w:val="auto"/>
                <w:kern w:val="0"/>
                <w:sz w:val="24"/>
                <w:szCs w:val="24"/>
                <w:u w:color="auto"/>
                <w:lang w:val="en-US" w:eastAsia="zh-CN" w:bidi="ar"/>
              </w:rPr>
              <w:t>1470</w:t>
            </w:r>
            <w:r>
              <w:rPr>
                <w:rFonts w:hint="default" w:ascii="Times New Roman" w:hAnsi="Times New Roman" w:eastAsia="宋体" w:cs="Times New Roman"/>
                <w:color w:val="auto"/>
                <w:kern w:val="0"/>
                <w:sz w:val="24"/>
                <w:szCs w:val="24"/>
                <w:u w:color="auto"/>
                <w:lang w:val="en-US" w:eastAsia="zh-CN" w:bidi="ar"/>
              </w:rPr>
              <w:t>m</w:t>
            </w:r>
            <w:r>
              <w:rPr>
                <w:rFonts w:hint="default" w:ascii="Times New Roman" w:hAnsi="Times New Roman" w:eastAsia="宋体" w:cs="Times New Roman"/>
                <w:color w:val="auto"/>
                <w:kern w:val="0"/>
                <w:sz w:val="24"/>
                <w:szCs w:val="24"/>
                <w:u w:color="auto"/>
                <w:vertAlign w:val="superscript"/>
                <w:lang w:val="en-US" w:eastAsia="zh-CN" w:bidi="ar"/>
              </w:rPr>
              <w:t>3</w:t>
            </w:r>
            <w:r>
              <w:rPr>
                <w:rFonts w:hint="default" w:ascii="Times New Roman" w:hAnsi="Times New Roman" w:eastAsia="宋体" w:cs="Times New Roman"/>
                <w:color w:val="auto"/>
                <w:kern w:val="0"/>
                <w:sz w:val="24"/>
                <w:szCs w:val="24"/>
                <w:u w:color="auto"/>
                <w:lang w:val="en-US" w:eastAsia="zh-CN" w:bidi="ar"/>
              </w:rPr>
              <w:t>/a（</w:t>
            </w:r>
            <w:r>
              <w:rPr>
                <w:rFonts w:hint="eastAsia" w:cs="Times New Roman"/>
                <w:color w:val="auto"/>
                <w:kern w:val="0"/>
                <w:sz w:val="24"/>
                <w:szCs w:val="24"/>
                <w:u w:color="auto"/>
                <w:lang w:val="en-US" w:eastAsia="zh-CN" w:bidi="ar"/>
              </w:rPr>
              <w:t>4.9</w:t>
            </w:r>
            <w:r>
              <w:rPr>
                <w:rFonts w:hint="default" w:ascii="Times New Roman" w:hAnsi="Times New Roman" w:eastAsia="宋体" w:cs="Times New Roman"/>
                <w:color w:val="auto"/>
                <w:kern w:val="0"/>
                <w:sz w:val="24"/>
                <w:szCs w:val="24"/>
                <w:u w:color="auto"/>
                <w:lang w:val="en-US" w:eastAsia="zh-CN" w:bidi="ar"/>
              </w:rPr>
              <w:t>m</w:t>
            </w:r>
            <w:r>
              <w:rPr>
                <w:rFonts w:hint="default" w:ascii="Times New Roman" w:hAnsi="Times New Roman" w:eastAsia="宋体" w:cs="Times New Roman"/>
                <w:color w:val="auto"/>
                <w:kern w:val="0"/>
                <w:sz w:val="24"/>
                <w:szCs w:val="24"/>
                <w:u w:color="auto"/>
                <w:vertAlign w:val="superscript"/>
                <w:lang w:val="en-US" w:eastAsia="zh-CN" w:bidi="ar"/>
              </w:rPr>
              <w:t>3</w:t>
            </w:r>
            <w:r>
              <w:rPr>
                <w:rFonts w:hint="default" w:ascii="Times New Roman" w:hAnsi="Times New Roman" w:eastAsia="宋体" w:cs="Times New Roman"/>
                <w:color w:val="auto"/>
                <w:kern w:val="0"/>
                <w:sz w:val="24"/>
                <w:szCs w:val="24"/>
                <w:u w:color="auto"/>
                <w:lang w:val="en-US" w:eastAsia="zh-CN" w:bidi="ar"/>
              </w:rPr>
              <w:t>/d），废水排放系数以0.</w:t>
            </w:r>
            <w:r>
              <w:rPr>
                <w:rFonts w:hint="eastAsia" w:cs="Times New Roman"/>
                <w:color w:val="auto"/>
                <w:kern w:val="0"/>
                <w:sz w:val="24"/>
                <w:szCs w:val="24"/>
                <w:u w:color="auto"/>
                <w:lang w:val="en-US" w:eastAsia="zh-CN" w:bidi="ar"/>
              </w:rPr>
              <w:t>8</w:t>
            </w:r>
            <w:r>
              <w:rPr>
                <w:rFonts w:hint="default" w:ascii="Times New Roman" w:hAnsi="Times New Roman" w:eastAsia="宋体" w:cs="Times New Roman"/>
                <w:color w:val="auto"/>
                <w:kern w:val="0"/>
                <w:sz w:val="24"/>
                <w:szCs w:val="24"/>
                <w:u w:color="auto"/>
                <w:lang w:val="en-US" w:eastAsia="zh-CN" w:bidi="ar"/>
              </w:rPr>
              <w:t>计，则生活污水</w:t>
            </w:r>
            <w:r>
              <w:rPr>
                <w:rFonts w:hint="eastAsia" w:cs="Times New Roman"/>
                <w:color w:val="auto"/>
                <w:kern w:val="0"/>
                <w:sz w:val="24"/>
                <w:szCs w:val="24"/>
                <w:u w:color="auto"/>
                <w:lang w:val="en-US" w:eastAsia="zh-CN" w:bidi="ar"/>
              </w:rPr>
              <w:t>产生</w:t>
            </w:r>
            <w:r>
              <w:rPr>
                <w:rFonts w:hint="default" w:ascii="Times New Roman" w:hAnsi="Times New Roman" w:eastAsia="宋体" w:cs="Times New Roman"/>
                <w:color w:val="auto"/>
                <w:kern w:val="0"/>
                <w:sz w:val="24"/>
                <w:szCs w:val="24"/>
                <w:u w:color="auto"/>
                <w:lang w:val="en-US" w:eastAsia="zh-CN" w:bidi="ar"/>
              </w:rPr>
              <w:t>量为</w:t>
            </w:r>
            <w:r>
              <w:rPr>
                <w:rFonts w:hint="eastAsia" w:cs="Times New Roman"/>
                <w:color w:val="auto"/>
                <w:kern w:val="0"/>
                <w:sz w:val="24"/>
                <w:szCs w:val="24"/>
                <w:u w:color="auto"/>
                <w:lang w:val="en-US" w:eastAsia="zh-CN" w:bidi="ar"/>
              </w:rPr>
              <w:t>1176</w:t>
            </w:r>
            <w:r>
              <w:rPr>
                <w:rFonts w:hint="default" w:ascii="Times New Roman" w:hAnsi="Times New Roman" w:eastAsia="宋体" w:cs="Times New Roman"/>
                <w:color w:val="auto"/>
                <w:kern w:val="0"/>
                <w:sz w:val="24"/>
                <w:szCs w:val="24"/>
                <w:u w:color="auto"/>
                <w:lang w:val="en-US" w:eastAsia="zh-CN" w:bidi="ar"/>
              </w:rPr>
              <w:t>m</w:t>
            </w:r>
            <w:r>
              <w:rPr>
                <w:rFonts w:hint="default" w:ascii="Times New Roman" w:hAnsi="Times New Roman" w:eastAsia="宋体" w:cs="Times New Roman"/>
                <w:color w:val="auto"/>
                <w:kern w:val="0"/>
                <w:sz w:val="24"/>
                <w:szCs w:val="24"/>
                <w:u w:color="auto"/>
                <w:vertAlign w:val="superscript"/>
                <w:lang w:val="en-US" w:eastAsia="zh-CN" w:bidi="ar"/>
              </w:rPr>
              <w:t>3</w:t>
            </w:r>
            <w:r>
              <w:rPr>
                <w:rFonts w:hint="default" w:ascii="Times New Roman" w:hAnsi="Times New Roman" w:eastAsia="宋体" w:cs="Times New Roman"/>
                <w:color w:val="auto"/>
                <w:kern w:val="0"/>
                <w:sz w:val="24"/>
                <w:szCs w:val="24"/>
                <w:u w:color="auto"/>
                <w:lang w:val="en-US" w:eastAsia="zh-CN" w:bidi="ar"/>
              </w:rPr>
              <w:t>/a（</w:t>
            </w:r>
            <w:r>
              <w:rPr>
                <w:rFonts w:hint="eastAsia" w:cs="Times New Roman"/>
                <w:color w:val="auto"/>
                <w:kern w:val="0"/>
                <w:sz w:val="24"/>
                <w:szCs w:val="24"/>
                <w:u w:color="auto"/>
                <w:lang w:val="en-US" w:eastAsia="zh-CN" w:bidi="ar"/>
              </w:rPr>
              <w:t>3.92</w:t>
            </w:r>
            <w:r>
              <w:rPr>
                <w:rFonts w:hint="default" w:ascii="Times New Roman" w:hAnsi="Times New Roman" w:eastAsia="宋体" w:cs="Times New Roman"/>
                <w:color w:val="auto"/>
                <w:kern w:val="0"/>
                <w:sz w:val="24"/>
                <w:szCs w:val="24"/>
                <w:u w:color="auto"/>
                <w:lang w:val="en-US" w:eastAsia="zh-CN" w:bidi="ar"/>
              </w:rPr>
              <w:t>m</w:t>
            </w:r>
            <w:r>
              <w:rPr>
                <w:rFonts w:hint="default" w:ascii="Times New Roman" w:hAnsi="Times New Roman" w:eastAsia="宋体" w:cs="Times New Roman"/>
                <w:color w:val="auto"/>
                <w:kern w:val="0"/>
                <w:sz w:val="24"/>
                <w:szCs w:val="24"/>
                <w:u w:color="auto"/>
                <w:vertAlign w:val="superscript"/>
                <w:lang w:val="en-US" w:eastAsia="zh-CN" w:bidi="ar"/>
              </w:rPr>
              <w:t>3</w:t>
            </w:r>
            <w:r>
              <w:rPr>
                <w:rFonts w:hint="default" w:ascii="Times New Roman" w:hAnsi="Times New Roman" w:eastAsia="宋体" w:cs="Times New Roman"/>
                <w:color w:val="auto"/>
                <w:kern w:val="0"/>
                <w:sz w:val="24"/>
                <w:szCs w:val="24"/>
                <w:u w:color="auto"/>
                <w:lang w:val="en-US" w:eastAsia="zh-CN" w:bidi="ar"/>
              </w:rPr>
              <w:t>/d），经</w:t>
            </w:r>
            <w:r>
              <w:rPr>
                <w:rFonts w:hint="eastAsia" w:cs="Times New Roman"/>
                <w:color w:val="auto"/>
                <w:kern w:val="0"/>
                <w:sz w:val="24"/>
                <w:szCs w:val="24"/>
                <w:u w:color="auto"/>
                <w:lang w:val="en-US" w:eastAsia="zh-CN" w:bidi="ar"/>
              </w:rPr>
              <w:t>隔油池+</w:t>
            </w:r>
            <w:r>
              <w:rPr>
                <w:rFonts w:hint="default" w:ascii="Times New Roman" w:hAnsi="Times New Roman" w:eastAsia="宋体" w:cs="Times New Roman"/>
                <w:color w:val="auto"/>
                <w:kern w:val="0"/>
                <w:sz w:val="24"/>
                <w:szCs w:val="24"/>
                <w:u w:color="auto"/>
                <w:lang w:val="en-US" w:eastAsia="zh-CN" w:bidi="ar"/>
              </w:rPr>
              <w:t>化粪池（TW001)处理</w:t>
            </w:r>
            <w:r>
              <w:rPr>
                <w:rFonts w:hint="eastAsia" w:cs="Times New Roman"/>
                <w:color w:val="auto"/>
                <w:u w:val="none" w:color="auto"/>
                <w:lang w:val="en-US" w:eastAsia="zh-CN"/>
              </w:rPr>
              <w:t>达到</w:t>
            </w:r>
            <w:r>
              <w:rPr>
                <w:rFonts w:hint="default" w:ascii="Times New Roman" w:hAnsi="Times New Roman" w:cs="Times New Roman"/>
                <w:color w:val="auto"/>
                <w:u w:val="none" w:color="auto"/>
              </w:rPr>
              <w:t>《污水综合排放标准》（G8978-1996）表 4 中三级标准</w:t>
            </w:r>
            <w:r>
              <w:rPr>
                <w:rFonts w:hint="default" w:ascii="Times New Roman" w:hAnsi="Times New Roman" w:eastAsia="宋体" w:cs="Times New Roman"/>
                <w:color w:val="auto"/>
                <w:kern w:val="0"/>
                <w:sz w:val="24"/>
                <w:szCs w:val="24"/>
                <w:u w:color="auto"/>
                <w:lang w:val="en-US" w:eastAsia="zh-CN" w:bidi="ar"/>
              </w:rPr>
              <w:t>后</w:t>
            </w:r>
            <w:r>
              <w:rPr>
                <w:rFonts w:hint="eastAsia" w:cs="Times New Roman"/>
                <w:color w:val="auto"/>
                <w:kern w:val="0"/>
                <w:sz w:val="24"/>
                <w:szCs w:val="24"/>
                <w:u w:color="auto"/>
                <w:lang w:val="en-US" w:eastAsia="zh-CN" w:bidi="ar"/>
              </w:rPr>
              <w:t>经市政污水管网排入归阳污水处理厂</w:t>
            </w:r>
            <w:r>
              <w:rPr>
                <w:rFonts w:hint="eastAsia" w:cs="Times New Roman"/>
                <w:color w:val="auto"/>
                <w:sz w:val="24"/>
                <w:szCs w:val="24"/>
                <w:u w:color="auto"/>
                <w:lang w:val="en-US" w:eastAsia="zh-CN"/>
              </w:rPr>
              <w:t>。</w:t>
            </w:r>
          </w:p>
          <w:p>
            <w:pPr>
              <w:keepNext w:val="0"/>
              <w:keepLines w:val="0"/>
              <w:pageBreakBefore w:val="0"/>
              <w:widowControl/>
              <w:suppressLineNumbers w:val="0"/>
              <w:kinsoku/>
              <w:wordWrap/>
              <w:overflowPunct/>
              <w:topLinePunct w:val="0"/>
              <w:autoSpaceDE/>
              <w:autoSpaceDN/>
              <w:bidi w:val="0"/>
              <w:adjustRightInd/>
              <w:snapToGrid/>
              <w:spacing w:line="360" w:lineRule="auto"/>
              <w:ind w:left="0" w:leftChars="0" w:right="0" w:rightChars="0" w:firstLine="482" w:firstLineChars="200"/>
              <w:jc w:val="left"/>
              <w:textAlignment w:val="auto"/>
              <w:outlineLvl w:val="9"/>
              <w:rPr>
                <w:rFonts w:hint="default" w:ascii="Times New Roman" w:hAnsi="Times New Roman" w:eastAsia="宋体" w:cs="Times New Roman"/>
                <w:b/>
                <w:bCs/>
                <w:color w:val="auto"/>
                <w:sz w:val="24"/>
                <w:szCs w:val="24"/>
                <w:u w:color="auto"/>
                <w:lang w:val="en-US" w:eastAsia="zh-CN"/>
              </w:rPr>
            </w:pPr>
            <w:r>
              <w:rPr>
                <w:rFonts w:hint="eastAsia" w:cs="Times New Roman"/>
                <w:b/>
                <w:bCs/>
                <w:color w:val="auto"/>
                <w:sz w:val="24"/>
                <w:szCs w:val="24"/>
                <w:u w:color="auto"/>
                <w:lang w:val="en-US" w:eastAsia="zh-CN"/>
              </w:rPr>
              <w:t>②拖把清洗废水</w:t>
            </w:r>
          </w:p>
          <w:p>
            <w:pPr>
              <w:pStyle w:val="32"/>
              <w:ind w:firstLine="480"/>
              <w:rPr>
                <w:rFonts w:hint="eastAsia" w:cs="Times New Roman"/>
                <w:color w:val="auto"/>
                <w:u w:val="none" w:color="auto"/>
                <w:lang w:val="en-US" w:eastAsia="zh-CN"/>
              </w:rPr>
            </w:pPr>
            <w:r>
              <w:rPr>
                <w:bCs/>
                <w:sz w:val="24"/>
                <w:szCs w:val="24"/>
              </w:rPr>
              <w:t>项目</w:t>
            </w:r>
            <w:r>
              <w:rPr>
                <w:rFonts w:hint="eastAsia"/>
                <w:bCs/>
                <w:sz w:val="24"/>
                <w:szCs w:val="24"/>
              </w:rPr>
              <w:t>拖把清洗</w:t>
            </w:r>
            <w:r>
              <w:rPr>
                <w:bCs/>
                <w:sz w:val="24"/>
                <w:szCs w:val="24"/>
              </w:rPr>
              <w:t>废水产生系数取0.9，则</w:t>
            </w:r>
            <w:r>
              <w:rPr>
                <w:rFonts w:hint="eastAsia"/>
                <w:bCs/>
                <w:sz w:val="24"/>
                <w:szCs w:val="24"/>
              </w:rPr>
              <w:t>拖把</w:t>
            </w:r>
            <w:r>
              <w:rPr>
                <w:bCs/>
                <w:sz w:val="24"/>
                <w:szCs w:val="24"/>
              </w:rPr>
              <w:t>清洗废水产生</w:t>
            </w:r>
            <w:r>
              <w:rPr>
                <w:rFonts w:hint="eastAsia"/>
                <w:bCs/>
                <w:sz w:val="24"/>
                <w:szCs w:val="24"/>
                <w:lang w:val="en-US" w:eastAsia="zh-CN"/>
              </w:rPr>
              <w:t>27</w:t>
            </w:r>
            <w:r>
              <w:rPr>
                <w:bCs/>
                <w:sz w:val="24"/>
                <w:szCs w:val="24"/>
              </w:rPr>
              <w:t>m</w:t>
            </w:r>
            <w:r>
              <w:rPr>
                <w:bCs/>
                <w:sz w:val="24"/>
                <w:szCs w:val="24"/>
                <w:vertAlign w:val="superscript"/>
              </w:rPr>
              <w:t>3</w:t>
            </w:r>
            <w:r>
              <w:rPr>
                <w:bCs/>
                <w:sz w:val="24"/>
                <w:szCs w:val="24"/>
              </w:rPr>
              <w:t>/a（</w:t>
            </w:r>
            <w:r>
              <w:rPr>
                <w:rFonts w:hint="eastAsia"/>
                <w:bCs/>
                <w:sz w:val="24"/>
                <w:szCs w:val="24"/>
                <w:lang w:val="en-US" w:eastAsia="zh-CN"/>
              </w:rPr>
              <w:t>0.09</w:t>
            </w:r>
            <w:r>
              <w:rPr>
                <w:bCs/>
                <w:sz w:val="24"/>
                <w:szCs w:val="24"/>
              </w:rPr>
              <w:t>m</w:t>
            </w:r>
            <w:r>
              <w:rPr>
                <w:bCs/>
                <w:sz w:val="24"/>
                <w:szCs w:val="24"/>
                <w:vertAlign w:val="superscript"/>
              </w:rPr>
              <w:t>3</w:t>
            </w:r>
            <w:r>
              <w:rPr>
                <w:bCs/>
                <w:sz w:val="24"/>
                <w:szCs w:val="24"/>
              </w:rPr>
              <w:t>/d）</w:t>
            </w:r>
            <w:r>
              <w:rPr>
                <w:rFonts w:hint="eastAsia"/>
                <w:bCs/>
                <w:sz w:val="24"/>
                <w:szCs w:val="24"/>
                <w:lang w:eastAsia="zh-CN"/>
              </w:rPr>
              <w:t>。</w:t>
            </w:r>
            <w:r>
              <w:rPr>
                <w:rFonts w:hint="default" w:ascii="Times New Roman" w:hAnsi="Times New Roman" w:eastAsia="宋体" w:cs="Times New Roman"/>
                <w:color w:val="auto"/>
                <w:sz w:val="24"/>
                <w:szCs w:val="24"/>
                <w:u w:color="auto"/>
                <w:lang w:val="en-US" w:eastAsia="zh-CN"/>
              </w:rPr>
              <w:t>项目</w:t>
            </w:r>
            <w:r>
              <w:rPr>
                <w:rFonts w:hint="eastAsia" w:cs="Times New Roman"/>
                <w:color w:val="auto"/>
                <w:sz w:val="24"/>
                <w:szCs w:val="24"/>
                <w:u w:color="auto"/>
                <w:lang w:val="en-US" w:eastAsia="zh-CN"/>
              </w:rPr>
              <w:t>拖把清洗废水通过管道进入厂区隔油沉淀池（TW002,采用气浮+油水分离器技术））内进行处理，达到</w:t>
            </w:r>
            <w:r>
              <w:rPr>
                <w:rFonts w:hint="default" w:ascii="Times New Roman" w:hAnsi="Times New Roman" w:cs="Times New Roman"/>
                <w:color w:val="auto"/>
                <w:u w:val="none" w:color="auto"/>
              </w:rPr>
              <w:t>《污水综合排放标准》（G8978-1996）表4中三级标准</w:t>
            </w:r>
            <w:r>
              <w:rPr>
                <w:rFonts w:hint="eastAsia" w:cs="Times New Roman"/>
                <w:color w:val="auto"/>
                <w:u w:val="none" w:color="auto"/>
                <w:lang w:val="en-US" w:eastAsia="zh-CN"/>
              </w:rPr>
              <w:t>后</w:t>
            </w:r>
            <w:r>
              <w:rPr>
                <w:rFonts w:hint="default" w:ascii="Times New Roman" w:hAnsi="Times New Roman" w:cs="Times New Roman"/>
                <w:color w:val="auto"/>
                <w:u w:val="none" w:color="auto"/>
                <w:lang w:eastAsia="zh-CN"/>
              </w:rPr>
              <w:t>，通过</w:t>
            </w:r>
            <w:r>
              <w:rPr>
                <w:rFonts w:hint="eastAsia" w:cs="Times New Roman"/>
                <w:color w:val="auto"/>
                <w:u w:val="none" w:color="auto"/>
                <w:lang w:val="en-US" w:eastAsia="zh-CN"/>
              </w:rPr>
              <w:t>市政污水管网排入</w:t>
            </w:r>
            <w:r>
              <w:rPr>
                <w:rFonts w:hint="default" w:ascii="Times New Roman" w:hAnsi="Times New Roman" w:cs="Times New Roman"/>
                <w:color w:val="auto"/>
                <w:u w:val="none" w:color="auto"/>
                <w:lang w:eastAsia="zh-CN"/>
              </w:rPr>
              <w:t>归阳污水处理厂</w:t>
            </w:r>
            <w:r>
              <w:rPr>
                <w:rFonts w:hint="eastAsia" w:cs="Times New Roman"/>
                <w:color w:val="auto"/>
                <w:u w:val="none" w:color="auto"/>
                <w:lang w:val="en-US" w:eastAsia="zh-CN"/>
              </w:rPr>
              <w:t>处理，归阳工业园污水处理厂尾水执行《城镇污水处理厂污染物排放标准》（GB18918-2002）一级B标准，后排入湘江。</w:t>
            </w:r>
          </w:p>
          <w:p>
            <w:pPr>
              <w:keepNext w:val="0"/>
              <w:keepLines w:val="0"/>
              <w:pageBreakBefore w:val="0"/>
              <w:widowControl/>
              <w:suppressLineNumbers w:val="0"/>
              <w:kinsoku/>
              <w:wordWrap/>
              <w:overflowPunct/>
              <w:topLinePunct w:val="0"/>
              <w:autoSpaceDE/>
              <w:autoSpaceDN/>
              <w:bidi w:val="0"/>
              <w:adjustRightInd/>
              <w:snapToGrid/>
              <w:spacing w:line="360" w:lineRule="auto"/>
              <w:ind w:left="0" w:leftChars="0" w:right="0" w:rightChars="0" w:firstLine="482" w:firstLineChars="200"/>
              <w:jc w:val="left"/>
              <w:textAlignment w:val="auto"/>
              <w:outlineLvl w:val="9"/>
              <w:rPr>
                <w:rFonts w:hint="eastAsia" w:cs="Times New Roman"/>
                <w:b/>
                <w:bCs/>
                <w:color w:val="auto"/>
                <w:kern w:val="2"/>
                <w:sz w:val="24"/>
                <w:szCs w:val="24"/>
                <w:u w:color="auto"/>
                <w:lang w:val="en-US" w:eastAsia="zh-CN" w:bidi="ar-SA"/>
              </w:rPr>
            </w:pPr>
            <w:r>
              <w:rPr>
                <w:rFonts w:hint="eastAsia" w:cs="Times New Roman"/>
                <w:b/>
                <w:bCs/>
                <w:color w:val="auto"/>
                <w:kern w:val="2"/>
                <w:sz w:val="24"/>
                <w:szCs w:val="24"/>
                <w:u w:color="auto"/>
                <w:lang w:val="en-US" w:eastAsia="zh-CN" w:bidi="ar-SA"/>
              </w:rPr>
              <w:t>③初期雨水</w:t>
            </w:r>
          </w:p>
          <w:p>
            <w:pPr>
              <w:pStyle w:val="32"/>
              <w:ind w:firstLine="480"/>
              <w:jc w:val="center"/>
              <w:rPr>
                <w:rFonts w:hint="eastAsia" w:eastAsia="宋体" w:cs="Times New Roman"/>
                <w:bCs/>
                <w:sz w:val="24"/>
                <w:szCs w:val="24"/>
              </w:rPr>
            </w:pPr>
            <w:r>
              <w:rPr>
                <w:rFonts w:hint="eastAsia" w:eastAsia="宋体" w:cs="Times New Roman"/>
                <w:bCs/>
                <w:sz w:val="24"/>
                <w:szCs w:val="24"/>
              </w:rPr>
              <w:t>项目初期雨水按雨水量按衡阳市暴雨强度公式计算，计算公式如下q=892</w:t>
            </w:r>
            <w:r>
              <w:rPr>
                <w:rFonts w:hint="eastAsia" w:eastAsia="宋体" w:cs="Times New Roman"/>
                <w:bCs/>
                <w:sz w:val="24"/>
                <w:szCs w:val="24"/>
                <w:lang w:val="en-US" w:eastAsia="zh-CN"/>
              </w:rPr>
              <w:t>*</w:t>
            </w:r>
            <w:r>
              <w:rPr>
                <w:rFonts w:hint="eastAsia" w:eastAsia="宋体" w:cs="Times New Roman"/>
                <w:bCs/>
                <w:sz w:val="24"/>
                <w:szCs w:val="24"/>
              </w:rPr>
              <w:t>(1+0.671gP)/t0.57</w:t>
            </w:r>
          </w:p>
          <w:p>
            <w:pPr>
              <w:pStyle w:val="32"/>
              <w:ind w:firstLine="480"/>
              <w:rPr>
                <w:rFonts w:hint="eastAsia" w:eastAsia="宋体" w:cs="Times New Roman"/>
                <w:bCs/>
                <w:sz w:val="24"/>
                <w:szCs w:val="24"/>
                <w:lang w:eastAsia="zh-CN"/>
              </w:rPr>
            </w:pPr>
            <w:r>
              <w:rPr>
                <w:rFonts w:hint="eastAsia" w:eastAsia="宋体" w:cs="Times New Roman"/>
                <w:bCs/>
                <w:sz w:val="24"/>
                <w:szCs w:val="24"/>
              </w:rPr>
              <w:t>式中</w:t>
            </w:r>
            <w:r>
              <w:rPr>
                <w:rFonts w:hint="eastAsia" w:eastAsia="宋体" w:cs="Times New Roman"/>
                <w:bCs/>
                <w:sz w:val="24"/>
                <w:szCs w:val="24"/>
                <w:lang w:eastAsia="zh-CN"/>
              </w:rPr>
              <w:t>：</w:t>
            </w:r>
            <w:r>
              <w:rPr>
                <w:rFonts w:hint="eastAsia" w:eastAsia="宋体" w:cs="Times New Roman"/>
                <w:bCs/>
                <w:sz w:val="24"/>
                <w:szCs w:val="24"/>
              </w:rPr>
              <w:t>q</w:t>
            </w:r>
            <w:r>
              <w:rPr>
                <w:rFonts w:hint="eastAsia" w:eastAsia="宋体" w:cs="Times New Roman"/>
                <w:bCs/>
                <w:sz w:val="24"/>
                <w:szCs w:val="24"/>
                <w:lang w:val="en-US" w:eastAsia="zh-CN"/>
              </w:rPr>
              <w:t>-</w:t>
            </w:r>
            <w:r>
              <w:rPr>
                <w:rFonts w:hint="eastAsia" w:eastAsia="宋体" w:cs="Times New Roman"/>
                <w:bCs/>
                <w:sz w:val="24"/>
                <w:szCs w:val="24"/>
              </w:rPr>
              <w:t>暴雨强度，L/(s·hm</w:t>
            </w:r>
            <w:r>
              <w:rPr>
                <w:rFonts w:hint="eastAsia" w:eastAsia="宋体" w:cs="Times New Roman"/>
                <w:bCs/>
                <w:sz w:val="24"/>
                <w:szCs w:val="24"/>
                <w:vertAlign w:val="superscript"/>
              </w:rPr>
              <w:t>2</w:t>
            </w:r>
            <w:r>
              <w:rPr>
                <w:rFonts w:hint="eastAsia" w:eastAsia="宋体" w:cs="Times New Roman"/>
                <w:bCs/>
                <w:sz w:val="24"/>
                <w:szCs w:val="24"/>
              </w:rPr>
              <w:t>)</w:t>
            </w:r>
            <w:r>
              <w:rPr>
                <w:rFonts w:hint="eastAsia" w:eastAsia="宋体" w:cs="Times New Roman"/>
                <w:bCs/>
                <w:sz w:val="24"/>
                <w:szCs w:val="24"/>
                <w:lang w:eastAsia="zh-CN"/>
              </w:rPr>
              <w:t>；</w:t>
            </w:r>
          </w:p>
          <w:p>
            <w:pPr>
              <w:pStyle w:val="32"/>
              <w:ind w:firstLine="1200" w:firstLineChars="500"/>
              <w:rPr>
                <w:rFonts w:hint="default" w:eastAsia="宋体" w:cs="Times New Roman"/>
                <w:bCs/>
                <w:sz w:val="24"/>
                <w:szCs w:val="24"/>
                <w:lang w:val="en-US" w:eastAsia="zh-CN"/>
              </w:rPr>
            </w:pPr>
            <w:r>
              <w:rPr>
                <w:rFonts w:hint="eastAsia" w:eastAsia="宋体" w:cs="Times New Roman"/>
                <w:bCs/>
                <w:sz w:val="24"/>
                <w:szCs w:val="24"/>
              </w:rPr>
              <w:t>P</w:t>
            </w:r>
            <w:r>
              <w:rPr>
                <w:rFonts w:hint="eastAsia" w:eastAsia="宋体" w:cs="Times New Roman"/>
                <w:bCs/>
                <w:sz w:val="24"/>
                <w:szCs w:val="24"/>
                <w:lang w:val="en-US" w:eastAsia="zh-CN"/>
              </w:rPr>
              <w:t>-</w:t>
            </w:r>
            <w:r>
              <w:rPr>
                <w:rFonts w:hint="eastAsia" w:eastAsia="宋体" w:cs="Times New Roman"/>
                <w:bCs/>
                <w:sz w:val="24"/>
                <w:szCs w:val="24"/>
              </w:rPr>
              <w:t>重现期，</w:t>
            </w:r>
            <w:r>
              <w:rPr>
                <w:rFonts w:hint="eastAsia" w:eastAsia="宋体" w:cs="Times New Roman"/>
                <w:bCs/>
                <w:sz w:val="24"/>
                <w:szCs w:val="24"/>
                <w:lang w:val="en-US" w:eastAsia="zh-CN"/>
              </w:rPr>
              <w:t>本项目取值1年</w:t>
            </w:r>
          </w:p>
          <w:p>
            <w:pPr>
              <w:pStyle w:val="32"/>
              <w:ind w:firstLine="1200" w:firstLineChars="500"/>
              <w:rPr>
                <w:rFonts w:hint="eastAsia" w:eastAsia="宋体" w:cs="Times New Roman"/>
                <w:bCs/>
                <w:sz w:val="24"/>
                <w:szCs w:val="24"/>
              </w:rPr>
            </w:pPr>
            <w:r>
              <w:rPr>
                <w:rFonts w:hint="eastAsia" w:eastAsia="宋体" w:cs="Times New Roman"/>
                <w:bCs/>
                <w:sz w:val="24"/>
                <w:szCs w:val="24"/>
              </w:rPr>
              <w:t>T</w:t>
            </w:r>
            <w:r>
              <w:rPr>
                <w:rFonts w:hint="eastAsia" w:eastAsia="宋体" w:cs="Times New Roman"/>
                <w:bCs/>
                <w:sz w:val="24"/>
                <w:szCs w:val="24"/>
                <w:lang w:val="en-US" w:eastAsia="zh-CN"/>
              </w:rPr>
              <w:t>-</w:t>
            </w:r>
            <w:r>
              <w:rPr>
                <w:rFonts w:hint="eastAsia" w:eastAsia="宋体" w:cs="Times New Roman"/>
                <w:bCs/>
                <w:sz w:val="24"/>
                <w:szCs w:val="24"/>
              </w:rPr>
              <w:t>降雨历时，15min</w:t>
            </w:r>
          </w:p>
          <w:p>
            <w:pPr>
              <w:pStyle w:val="32"/>
              <w:ind w:firstLine="480"/>
              <w:jc w:val="center"/>
              <w:rPr>
                <w:rFonts w:hint="eastAsia" w:eastAsia="宋体" w:cs="Times New Roman"/>
                <w:bCs/>
                <w:sz w:val="24"/>
                <w:szCs w:val="24"/>
              </w:rPr>
            </w:pPr>
            <w:r>
              <w:rPr>
                <w:rFonts w:hint="eastAsia" w:eastAsia="宋体" w:cs="Times New Roman"/>
                <w:bCs/>
                <w:sz w:val="24"/>
                <w:szCs w:val="24"/>
              </w:rPr>
              <w:t>Q</w:t>
            </w:r>
            <w:r>
              <w:rPr>
                <w:rFonts w:hint="eastAsia" w:eastAsia="宋体" w:cs="Times New Roman"/>
                <w:bCs/>
                <w:sz w:val="24"/>
                <w:szCs w:val="24"/>
                <w:lang w:val="en-US" w:eastAsia="zh-CN"/>
              </w:rPr>
              <w:t>=</w:t>
            </w:r>
            <w:r>
              <w:rPr>
                <w:rFonts w:hint="eastAsia" w:eastAsia="宋体" w:cs="Times New Roman"/>
                <w:bCs/>
                <w:sz w:val="24"/>
                <w:szCs w:val="24"/>
              </w:rPr>
              <w:t>wqF</w:t>
            </w:r>
          </w:p>
          <w:p>
            <w:pPr>
              <w:pStyle w:val="32"/>
              <w:ind w:firstLine="480"/>
              <w:rPr>
                <w:rFonts w:hint="eastAsia" w:eastAsia="宋体" w:cs="Times New Roman"/>
                <w:bCs/>
                <w:sz w:val="24"/>
                <w:szCs w:val="24"/>
                <w:lang w:eastAsia="zh-CN"/>
              </w:rPr>
            </w:pPr>
            <w:r>
              <w:rPr>
                <w:rFonts w:hint="eastAsia" w:eastAsia="宋体" w:cs="Times New Roman"/>
                <w:bCs/>
                <w:sz w:val="24"/>
                <w:szCs w:val="24"/>
              </w:rPr>
              <w:t>其中</w:t>
            </w:r>
            <w:r>
              <w:rPr>
                <w:rFonts w:hint="eastAsia" w:eastAsia="宋体" w:cs="Times New Roman"/>
                <w:bCs/>
                <w:sz w:val="24"/>
                <w:szCs w:val="24"/>
                <w:lang w:eastAsia="zh-CN"/>
              </w:rPr>
              <w:t>：</w:t>
            </w:r>
            <w:r>
              <w:rPr>
                <w:rFonts w:hint="eastAsia" w:eastAsia="宋体" w:cs="Times New Roman"/>
                <w:bCs/>
                <w:sz w:val="24"/>
                <w:szCs w:val="24"/>
              </w:rPr>
              <w:t>Q</w:t>
            </w:r>
            <w:r>
              <w:rPr>
                <w:rFonts w:hint="eastAsia" w:eastAsia="宋体" w:cs="Times New Roman"/>
                <w:bCs/>
                <w:sz w:val="24"/>
                <w:szCs w:val="24"/>
                <w:lang w:val="en-US" w:eastAsia="zh-CN"/>
              </w:rPr>
              <w:t>-</w:t>
            </w:r>
            <w:r>
              <w:rPr>
                <w:rFonts w:hint="eastAsia" w:eastAsia="宋体" w:cs="Times New Roman"/>
                <w:bCs/>
                <w:sz w:val="24"/>
                <w:szCs w:val="24"/>
              </w:rPr>
              <w:t>设计雨水量(L/s)</w:t>
            </w:r>
            <w:r>
              <w:rPr>
                <w:rFonts w:hint="eastAsia" w:eastAsia="宋体" w:cs="Times New Roman"/>
                <w:bCs/>
                <w:sz w:val="24"/>
                <w:szCs w:val="24"/>
                <w:lang w:eastAsia="zh-CN"/>
              </w:rPr>
              <w:t>；</w:t>
            </w:r>
          </w:p>
          <w:p>
            <w:pPr>
              <w:pStyle w:val="32"/>
              <w:ind w:firstLine="960" w:firstLineChars="400"/>
              <w:rPr>
                <w:rFonts w:hint="eastAsia" w:eastAsia="宋体" w:cs="Times New Roman"/>
                <w:bCs/>
                <w:sz w:val="24"/>
                <w:szCs w:val="24"/>
                <w:lang w:eastAsia="zh-CN"/>
              </w:rPr>
            </w:pPr>
            <w:r>
              <w:rPr>
                <w:rFonts w:hint="eastAsia" w:eastAsia="宋体" w:cs="Times New Roman"/>
                <w:bCs/>
                <w:sz w:val="24"/>
                <w:szCs w:val="24"/>
              </w:rPr>
              <w:t>W</w:t>
            </w:r>
            <w:r>
              <w:rPr>
                <w:rFonts w:hint="eastAsia" w:eastAsia="宋体" w:cs="Times New Roman"/>
                <w:bCs/>
                <w:sz w:val="24"/>
                <w:szCs w:val="24"/>
                <w:lang w:val="en-US" w:eastAsia="zh-CN"/>
              </w:rPr>
              <w:t>-</w:t>
            </w:r>
            <w:r>
              <w:rPr>
                <w:rFonts w:hint="eastAsia" w:eastAsia="宋体" w:cs="Times New Roman"/>
                <w:bCs/>
                <w:sz w:val="24"/>
                <w:szCs w:val="24"/>
              </w:rPr>
              <w:t>设计径流系数，取0.9</w:t>
            </w:r>
            <w:r>
              <w:rPr>
                <w:rFonts w:hint="eastAsia" w:eastAsia="宋体" w:cs="Times New Roman"/>
                <w:bCs/>
                <w:sz w:val="24"/>
                <w:szCs w:val="24"/>
                <w:lang w:eastAsia="zh-CN"/>
              </w:rPr>
              <w:t>；</w:t>
            </w:r>
          </w:p>
          <w:p>
            <w:pPr>
              <w:pStyle w:val="32"/>
              <w:ind w:firstLine="960" w:firstLineChars="400"/>
              <w:rPr>
                <w:rFonts w:hint="eastAsia" w:eastAsia="宋体" w:cs="Times New Roman"/>
                <w:bCs/>
                <w:sz w:val="24"/>
                <w:szCs w:val="24"/>
                <w:lang w:val="en-US" w:eastAsia="zh-CN"/>
              </w:rPr>
            </w:pPr>
            <w:r>
              <w:rPr>
                <w:rFonts w:hint="eastAsia" w:eastAsia="宋体" w:cs="Times New Roman"/>
                <w:bCs/>
                <w:sz w:val="24"/>
                <w:szCs w:val="24"/>
                <w:lang w:val="en-US" w:eastAsia="zh-CN"/>
              </w:rPr>
              <w:t>q-</w:t>
            </w:r>
            <w:r>
              <w:rPr>
                <w:rFonts w:hint="eastAsia" w:eastAsia="宋体" w:cs="Times New Roman"/>
                <w:bCs/>
                <w:sz w:val="24"/>
                <w:szCs w:val="24"/>
              </w:rPr>
              <w:t>设计暴雨强度(L/s*hm</w:t>
            </w:r>
            <w:r>
              <w:rPr>
                <w:rFonts w:hint="eastAsia" w:eastAsia="宋体" w:cs="Times New Roman"/>
                <w:bCs/>
                <w:sz w:val="24"/>
                <w:szCs w:val="24"/>
                <w:vertAlign w:val="superscript"/>
              </w:rPr>
              <w:t>2</w:t>
            </w:r>
            <w:r>
              <w:rPr>
                <w:rFonts w:hint="eastAsia" w:eastAsia="宋体" w:cs="Times New Roman"/>
                <w:bCs/>
                <w:sz w:val="24"/>
                <w:szCs w:val="24"/>
              </w:rPr>
              <w:t>)</w:t>
            </w:r>
            <w:r>
              <w:rPr>
                <w:rFonts w:hint="eastAsia" w:eastAsia="宋体" w:cs="Times New Roman"/>
                <w:bCs/>
                <w:sz w:val="24"/>
                <w:szCs w:val="24"/>
                <w:lang w:eastAsia="zh-CN"/>
              </w:rPr>
              <w:t>；</w:t>
            </w:r>
          </w:p>
          <w:p>
            <w:pPr>
              <w:pStyle w:val="32"/>
              <w:ind w:firstLine="960" w:firstLineChars="400"/>
              <w:rPr>
                <w:rFonts w:hint="eastAsia" w:eastAsia="宋体" w:cs="Times New Roman"/>
                <w:bCs/>
                <w:sz w:val="24"/>
                <w:szCs w:val="24"/>
                <w:lang w:val="en-US" w:eastAsia="zh-CN"/>
              </w:rPr>
            </w:pPr>
            <w:r>
              <w:rPr>
                <w:rFonts w:hint="eastAsia" w:eastAsia="宋体" w:cs="Times New Roman"/>
                <w:bCs/>
                <w:sz w:val="24"/>
                <w:szCs w:val="24"/>
              </w:rPr>
              <w:t>F-设计汇水面积，以厂区总面积计，为</w:t>
            </w:r>
            <w:r>
              <w:rPr>
                <w:rFonts w:hint="eastAsia" w:eastAsia="宋体" w:cs="Times New Roman"/>
                <w:bCs/>
                <w:sz w:val="24"/>
                <w:szCs w:val="24"/>
                <w:lang w:val="en-US" w:eastAsia="zh-CN"/>
              </w:rPr>
              <w:t>10666.67</w:t>
            </w:r>
            <w:r>
              <w:rPr>
                <w:rFonts w:hint="eastAsia" w:eastAsia="宋体" w:cs="Times New Roman"/>
                <w:bCs/>
                <w:sz w:val="24"/>
                <w:szCs w:val="24"/>
              </w:rPr>
              <w:t>m</w:t>
            </w:r>
            <w:r>
              <w:rPr>
                <w:rFonts w:hint="eastAsia" w:eastAsia="宋体" w:cs="Times New Roman"/>
                <w:bCs/>
                <w:sz w:val="24"/>
                <w:szCs w:val="24"/>
                <w:vertAlign w:val="superscript"/>
              </w:rPr>
              <w:t>2</w:t>
            </w:r>
            <w:r>
              <w:rPr>
                <w:rFonts w:hint="eastAsia" w:eastAsia="宋体" w:cs="Times New Roman"/>
                <w:bCs/>
                <w:sz w:val="24"/>
                <w:szCs w:val="24"/>
                <w:vertAlign w:val="baseline"/>
                <w:lang w:eastAsia="zh-CN"/>
              </w:rPr>
              <w:t>；</w:t>
            </w:r>
            <w:r>
              <w:rPr>
                <w:rFonts w:hint="eastAsia" w:ascii="宋体" w:hAnsi="宋体" w:cs="宋体"/>
                <w:sz w:val="24"/>
                <w:highlight w:val="none"/>
                <w:lang w:val="en-US" w:eastAsia="zh-CN"/>
              </w:rPr>
              <w:t>即</w:t>
            </w:r>
            <w:r>
              <w:rPr>
                <w:rFonts w:hint="default" w:ascii="Times New Roman" w:hAnsi="Times New Roman" w:cs="Times New Roman"/>
                <w:sz w:val="24"/>
                <w:highlight w:val="none"/>
                <w:lang w:val="en-US" w:eastAsia="zh-CN"/>
              </w:rPr>
              <w:t>1</w:t>
            </w:r>
            <w:r>
              <w:rPr>
                <w:rFonts w:hint="eastAsia" w:ascii="宋体" w:hAnsi="宋体" w:cs="宋体"/>
                <w:sz w:val="24"/>
                <w:highlight w:val="none"/>
                <w:lang w:val="en-US" w:eastAsia="zh-CN"/>
              </w:rPr>
              <w:t>公顷</w:t>
            </w:r>
          </w:p>
          <w:p>
            <w:pPr>
              <w:pStyle w:val="32"/>
              <w:ind w:firstLine="480"/>
            </w:pPr>
            <w:r>
              <w:rPr>
                <w:rFonts w:hint="eastAsia" w:eastAsia="宋体" w:cs="Times New Roman"/>
                <w:bCs/>
                <w:sz w:val="24"/>
                <w:szCs w:val="24"/>
              </w:rPr>
              <w:t>经计算，</w:t>
            </w:r>
            <w:r>
              <w:rPr>
                <w:rFonts w:hint="eastAsia" w:eastAsia="宋体" w:cs="Times New Roman"/>
                <w:bCs/>
                <w:sz w:val="24"/>
                <w:szCs w:val="24"/>
                <w:lang w:val="en-US" w:eastAsia="zh-CN"/>
              </w:rPr>
              <w:t>q</w:t>
            </w:r>
            <w:r>
              <w:rPr>
                <w:rFonts w:hint="eastAsia" w:eastAsia="宋体" w:cs="Times New Roman"/>
                <w:bCs/>
                <w:sz w:val="24"/>
                <w:szCs w:val="24"/>
              </w:rPr>
              <w:t>=190.54(L/s</w:t>
            </w:r>
            <w:r>
              <w:rPr>
                <w:rFonts w:hint="eastAsia" w:eastAsia="宋体" w:cs="Times New Roman"/>
                <w:bCs/>
                <w:sz w:val="24"/>
                <w:szCs w:val="24"/>
                <w:lang w:val="en-US" w:eastAsia="zh-CN"/>
              </w:rPr>
              <w:t>*</w:t>
            </w:r>
            <w:r>
              <w:rPr>
                <w:rFonts w:hint="eastAsia" w:eastAsia="宋体" w:cs="Times New Roman"/>
                <w:bCs/>
                <w:sz w:val="24"/>
                <w:szCs w:val="24"/>
              </w:rPr>
              <w:t>ha)，Q</w:t>
            </w:r>
            <w:r>
              <w:rPr>
                <w:rFonts w:hint="eastAsia" w:eastAsia="宋体" w:cs="Times New Roman"/>
                <w:bCs/>
                <w:sz w:val="24"/>
                <w:szCs w:val="24"/>
                <w:lang w:val="en-US" w:eastAsia="zh-CN"/>
              </w:rPr>
              <w:t>=171.486</w:t>
            </w:r>
            <w:r>
              <w:rPr>
                <w:rFonts w:hint="eastAsia" w:eastAsia="宋体" w:cs="Times New Roman"/>
                <w:bCs/>
                <w:sz w:val="24"/>
                <w:szCs w:val="24"/>
              </w:rPr>
              <w:t>L/s(</w:t>
            </w:r>
            <w:r>
              <w:rPr>
                <w:rFonts w:hint="eastAsia" w:eastAsia="宋体" w:cs="Times New Roman"/>
                <w:bCs/>
                <w:sz w:val="24"/>
                <w:szCs w:val="24"/>
                <w:lang w:val="en-US" w:eastAsia="zh-CN"/>
              </w:rPr>
              <w:t>617.35</w:t>
            </w:r>
            <w:r>
              <w:rPr>
                <w:rFonts w:hint="eastAsia" w:eastAsia="宋体" w:cs="Times New Roman"/>
                <w:bCs/>
                <w:sz w:val="24"/>
                <w:szCs w:val="24"/>
              </w:rPr>
              <w:t>m</w:t>
            </w:r>
            <w:r>
              <w:rPr>
                <w:rFonts w:hint="eastAsia" w:eastAsia="宋体" w:cs="Times New Roman"/>
                <w:bCs/>
                <w:sz w:val="24"/>
                <w:szCs w:val="24"/>
                <w:vertAlign w:val="superscript"/>
                <w:lang w:val="en-US" w:eastAsia="zh-CN"/>
              </w:rPr>
              <w:t>3</w:t>
            </w:r>
            <w:r>
              <w:rPr>
                <w:rFonts w:hint="eastAsia" w:eastAsia="宋体" w:cs="Times New Roman"/>
                <w:bCs/>
                <w:sz w:val="24"/>
                <w:szCs w:val="24"/>
              </w:rPr>
              <w:t>/h)，前15min初期雨水量为</w:t>
            </w:r>
            <w:r>
              <w:rPr>
                <w:rFonts w:hint="eastAsia" w:eastAsia="宋体" w:cs="Times New Roman"/>
                <w:bCs/>
                <w:sz w:val="24"/>
                <w:szCs w:val="24"/>
                <w:lang w:val="en-US" w:eastAsia="zh-CN"/>
              </w:rPr>
              <w:t>154.337</w:t>
            </w:r>
            <w:r>
              <w:rPr>
                <w:rFonts w:hint="eastAsia" w:eastAsia="宋体" w:cs="Times New Roman"/>
                <w:bCs/>
                <w:sz w:val="24"/>
                <w:szCs w:val="24"/>
              </w:rPr>
              <w:t>m</w:t>
            </w:r>
            <w:r>
              <w:rPr>
                <w:rFonts w:hint="eastAsia" w:eastAsia="宋体" w:cs="Times New Roman"/>
                <w:bCs/>
                <w:sz w:val="24"/>
                <w:szCs w:val="24"/>
                <w:vertAlign w:val="superscript"/>
              </w:rPr>
              <w:t>3</w:t>
            </w:r>
            <w:r>
              <w:rPr>
                <w:rFonts w:hint="eastAsia" w:eastAsia="宋体" w:cs="Times New Roman"/>
                <w:bCs/>
                <w:sz w:val="24"/>
                <w:szCs w:val="24"/>
              </w:rPr>
              <w:t>。初期雨水产生量约</w:t>
            </w:r>
            <w:r>
              <w:rPr>
                <w:rFonts w:hint="eastAsia" w:eastAsia="宋体" w:cs="Times New Roman"/>
                <w:bCs/>
                <w:sz w:val="24"/>
                <w:szCs w:val="24"/>
                <w:lang w:val="en-US" w:eastAsia="zh-CN"/>
              </w:rPr>
              <w:t>3086.74</w:t>
            </w:r>
            <w:r>
              <w:rPr>
                <w:rFonts w:hint="eastAsia" w:eastAsia="宋体" w:cs="Times New Roman"/>
                <w:bCs/>
                <w:sz w:val="24"/>
                <w:szCs w:val="24"/>
              </w:rPr>
              <w:t>m</w:t>
            </w:r>
            <w:r>
              <w:rPr>
                <w:rFonts w:hint="eastAsia" w:eastAsia="宋体" w:cs="Times New Roman"/>
                <w:bCs/>
                <w:sz w:val="24"/>
                <w:szCs w:val="24"/>
                <w:vertAlign w:val="superscript"/>
                <w:lang w:val="en-US" w:eastAsia="zh-CN"/>
              </w:rPr>
              <w:t>3</w:t>
            </w:r>
            <w:r>
              <w:rPr>
                <w:rFonts w:hint="eastAsia" w:eastAsia="宋体" w:cs="Times New Roman"/>
                <w:bCs/>
                <w:sz w:val="24"/>
                <w:szCs w:val="24"/>
              </w:rPr>
              <w:t>/a(</w:t>
            </w:r>
            <w:r>
              <w:rPr>
                <w:rFonts w:hint="eastAsia" w:eastAsia="宋体" w:cs="Times New Roman"/>
                <w:bCs/>
                <w:sz w:val="24"/>
                <w:szCs w:val="24"/>
                <w:lang w:val="en-US" w:eastAsia="zh-CN"/>
              </w:rPr>
              <w:t>154.337</w:t>
            </w:r>
            <w:r>
              <w:rPr>
                <w:rFonts w:hint="eastAsia" w:eastAsia="宋体" w:cs="Times New Roman"/>
                <w:bCs/>
                <w:sz w:val="24"/>
                <w:szCs w:val="24"/>
              </w:rPr>
              <w:t>m</w:t>
            </w:r>
            <w:r>
              <w:rPr>
                <w:rFonts w:hint="eastAsia" w:eastAsia="宋体" w:cs="Times New Roman"/>
                <w:bCs/>
                <w:sz w:val="24"/>
                <w:szCs w:val="24"/>
                <w:vertAlign w:val="superscript"/>
              </w:rPr>
              <w:t>3</w:t>
            </w:r>
            <w:r>
              <w:rPr>
                <w:rFonts w:hint="eastAsia" w:eastAsia="宋体" w:cs="Times New Roman"/>
                <w:bCs/>
                <w:sz w:val="24"/>
                <w:szCs w:val="24"/>
              </w:rPr>
              <w:t>/次</w:t>
            </w:r>
            <w:r>
              <w:rPr>
                <w:rFonts w:hint="eastAsia" w:eastAsia="宋体" w:cs="Times New Roman"/>
                <w:bCs/>
                <w:sz w:val="24"/>
                <w:szCs w:val="24"/>
                <w:lang w:eastAsia="zh-CN"/>
              </w:rPr>
              <w:t>，</w:t>
            </w:r>
            <w:r>
              <w:rPr>
                <w:rFonts w:hint="eastAsia" w:ascii="Times New Roman" w:hAnsi="Times New Roman" w:cs="Times New Roman"/>
                <w:sz w:val="24"/>
                <w:highlight w:val="none"/>
                <w:vertAlign w:val="baseline"/>
                <w:lang w:val="en-US" w:eastAsia="zh-CN"/>
              </w:rPr>
              <w:t>年暴雨次数取20次</w:t>
            </w:r>
            <w:r>
              <w:rPr>
                <w:rFonts w:hint="eastAsia" w:eastAsia="宋体" w:cs="Times New Roman"/>
                <w:bCs/>
                <w:sz w:val="24"/>
                <w:szCs w:val="24"/>
              </w:rPr>
              <w:t>)，</w:t>
            </w:r>
            <w:r>
              <w:rPr>
                <w:rFonts w:hint="eastAsia" w:cs="Times New Roman"/>
                <w:color w:val="auto"/>
                <w:kern w:val="2"/>
                <w:sz w:val="24"/>
                <w:szCs w:val="24"/>
                <w:u w:val="none" w:color="auto"/>
                <w:lang w:val="en-US" w:eastAsia="zh-CN" w:bidi="ar-SA"/>
              </w:rPr>
              <w:t>考虑到项目拆解车间与报废汽车暂存处之间生产活动频繁，物料转移路途中可能滴落少量油污，因此该区域初期雨水中不可避免地含有SS及石油类污染物，本项目在初期雨水和后期雨水排口处设置切换阀，</w:t>
            </w:r>
            <w:r>
              <w:rPr>
                <w:rFonts w:hint="eastAsia" w:eastAsia="宋体" w:cs="Times New Roman"/>
                <w:bCs/>
                <w:sz w:val="24"/>
                <w:szCs w:val="24"/>
                <w:u w:val="none" w:color="auto"/>
                <w:lang w:val="en-US" w:eastAsia="zh-CN"/>
              </w:rPr>
              <w:t>初期雨水拟建一个</w:t>
            </w:r>
            <w:r>
              <w:rPr>
                <w:rFonts w:hint="eastAsia" w:cs="Times New Roman"/>
                <w:color w:val="auto"/>
                <w:kern w:val="2"/>
                <w:sz w:val="24"/>
                <w:szCs w:val="24"/>
                <w:u w:val="none" w:color="auto"/>
                <w:lang w:val="en-US" w:eastAsia="zh-CN" w:bidi="ar-SA"/>
              </w:rPr>
              <w:t>容积为</w:t>
            </w:r>
            <w:r>
              <w:rPr>
                <w:rFonts w:hint="eastAsia" w:cs="Times New Roman"/>
                <w:bCs/>
                <w:sz w:val="24"/>
                <w:szCs w:val="24"/>
                <w:u w:val="none" w:color="auto"/>
                <w:lang w:val="en-US" w:eastAsia="zh-CN"/>
              </w:rPr>
              <w:t>180</w:t>
            </w:r>
            <w:r>
              <w:rPr>
                <w:rFonts w:hint="eastAsia" w:eastAsia="宋体" w:cs="Times New Roman"/>
                <w:bCs/>
                <w:sz w:val="24"/>
                <w:szCs w:val="24"/>
                <w:u w:val="none" w:color="auto"/>
                <w:lang w:val="en-US" w:eastAsia="zh-CN"/>
              </w:rPr>
              <w:t>m</w:t>
            </w:r>
            <w:r>
              <w:rPr>
                <w:rFonts w:hint="eastAsia" w:eastAsia="宋体" w:cs="Times New Roman"/>
                <w:bCs/>
                <w:sz w:val="24"/>
                <w:szCs w:val="24"/>
                <w:u w:val="none" w:color="auto"/>
                <w:vertAlign w:val="superscript"/>
                <w:lang w:val="en-US" w:eastAsia="zh-CN"/>
              </w:rPr>
              <w:t>3</w:t>
            </w:r>
            <w:r>
              <w:rPr>
                <w:rFonts w:hint="eastAsia" w:cs="Times New Roman"/>
                <w:color w:val="auto"/>
                <w:kern w:val="2"/>
                <w:sz w:val="24"/>
                <w:szCs w:val="24"/>
                <w:u w:val="none" w:color="auto"/>
                <w:lang w:val="en-US" w:eastAsia="zh-CN" w:bidi="ar-SA"/>
              </w:rPr>
              <w:t>的初期雨水收集池收集，再由隔油沉淀池（TW002,采用气浮+油水分离器技术）处理后经市政污水管网排入归阳污水处理厂。</w:t>
            </w:r>
            <w:r>
              <w:rPr>
                <w:rFonts w:hint="eastAsia" w:ascii="宋体" w:hAnsi="宋体" w:eastAsia="宋体" w:cs="宋体"/>
                <w:color w:val="auto"/>
                <w:kern w:val="0"/>
                <w:sz w:val="24"/>
                <w:szCs w:val="24"/>
                <w:lang w:val="en-US" w:eastAsia="zh-CN" w:bidi="ar"/>
              </w:rPr>
              <w:t>初期雨水外的其他时期雨水打开直通阀门直接进入市政雨水管网后排入湘江。</w:t>
            </w:r>
          </w:p>
          <w:p>
            <w:pPr>
              <w:pStyle w:val="27"/>
              <w:bidi w:val="0"/>
              <w:spacing w:line="240" w:lineRule="auto"/>
              <w:jc w:val="center"/>
              <w:rPr>
                <w:rFonts w:hint="default" w:ascii="Times New Roman" w:hAnsi="Times New Roman" w:eastAsia="宋体" w:cs="Times New Roman"/>
                <w:lang w:val="en-US" w:eastAsia="zh-CN"/>
              </w:rPr>
            </w:pPr>
            <w:r>
              <w:rPr>
                <w:rFonts w:hint="default" w:ascii="Times New Roman" w:hAnsi="Times New Roman" w:eastAsia="宋体" w:cs="Times New Roman"/>
                <w:lang w:val="en-US" w:eastAsia="zh-CN"/>
              </w:rPr>
              <w:t>表</w:t>
            </w:r>
            <w:r>
              <w:rPr>
                <w:rFonts w:hint="eastAsia" w:ascii="Times New Roman" w:hAnsi="Times New Roman" w:eastAsia="宋体" w:cs="Times New Roman"/>
                <w:lang w:val="en-US" w:eastAsia="zh-CN"/>
              </w:rPr>
              <w:t xml:space="preserve">2-9 </w:t>
            </w:r>
            <w:r>
              <w:rPr>
                <w:rFonts w:hint="default" w:ascii="Times New Roman" w:hAnsi="Times New Roman" w:eastAsia="宋体" w:cs="Times New Roman"/>
                <w:lang w:val="en-US" w:eastAsia="zh-CN"/>
              </w:rPr>
              <w:t xml:space="preserve"> </w:t>
            </w:r>
            <w:r>
              <w:rPr>
                <w:rFonts w:hint="eastAsia" w:ascii="Times New Roman" w:hAnsi="Times New Roman" w:eastAsia="宋体" w:cs="Times New Roman"/>
                <w:lang w:val="en-US" w:eastAsia="zh-CN"/>
              </w:rPr>
              <w:t>项目用排水平衡一览表  m</w:t>
            </w:r>
            <w:r>
              <w:rPr>
                <w:rFonts w:hint="eastAsia" w:ascii="Times New Roman" w:hAnsi="Times New Roman" w:eastAsia="宋体" w:cs="Times New Roman"/>
                <w:vertAlign w:val="superscript"/>
                <w:lang w:val="en-US" w:eastAsia="zh-CN"/>
              </w:rPr>
              <w:t>3</w:t>
            </w:r>
            <w:r>
              <w:rPr>
                <w:rFonts w:hint="eastAsia" w:ascii="Times New Roman" w:hAnsi="Times New Roman" w:eastAsia="宋体" w:cs="Times New Roman"/>
                <w:lang w:val="en-US" w:eastAsia="zh-CN"/>
              </w:rPr>
              <w:t>/a</w:t>
            </w:r>
          </w:p>
          <w:tbl>
            <w:tblPr>
              <w:tblStyle w:val="19"/>
              <w:tblW w:w="0" w:type="auto"/>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465"/>
              <w:gridCol w:w="623"/>
              <w:gridCol w:w="675"/>
              <w:gridCol w:w="590"/>
              <w:gridCol w:w="968"/>
              <w:gridCol w:w="968"/>
              <w:gridCol w:w="376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序号</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类别</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用水量</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消耗量</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废水产生量</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废水排放量</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备注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1</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生活用水</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1470</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294</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1176</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1176</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经厂区隔油池+</w:t>
                  </w:r>
                  <w:r>
                    <w:rPr>
                      <w:rFonts w:hint="eastAsia" w:cs="Times New Roman"/>
                      <w:sz w:val="21"/>
                      <w:szCs w:val="21"/>
                      <w:lang w:val="en-US" w:eastAsia="zh-CN"/>
                    </w:rPr>
                    <w:t>化粪池（TW001)</w:t>
                  </w:r>
                  <w:r>
                    <w:rPr>
                      <w:rFonts w:hint="eastAsia" w:ascii="Times New Roman" w:hAnsi="Times New Roman" w:eastAsia="宋体" w:cs="Times New Roman"/>
                      <w:sz w:val="21"/>
                      <w:szCs w:val="21"/>
                      <w:lang w:val="en-US" w:eastAsia="zh-CN"/>
                    </w:rPr>
                    <w:t>处理后通过市政管网排入归阳污水处理厂，最终汇入湘江</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2</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拖把清洗用水</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30</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w:t>
                  </w:r>
                </w:p>
              </w:tc>
              <w:tc>
                <w:tcPr>
                  <w:tcW w:w="0" w:type="auto"/>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27</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27</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通过管道进入厂区隔油沉淀池</w:t>
                  </w:r>
                  <w:r>
                    <w:rPr>
                      <w:rFonts w:hint="eastAsia" w:cs="Times New Roman"/>
                      <w:sz w:val="21"/>
                      <w:szCs w:val="21"/>
                      <w:lang w:val="en-US" w:eastAsia="zh-CN"/>
                    </w:rPr>
                    <w:t>（TW002,采用气浮+油水分离器技术）</w:t>
                  </w:r>
                  <w:r>
                    <w:rPr>
                      <w:rFonts w:hint="default" w:ascii="Times New Roman" w:hAnsi="Times New Roman" w:eastAsia="宋体" w:cs="Times New Roman"/>
                      <w:sz w:val="21"/>
                      <w:szCs w:val="21"/>
                      <w:lang w:val="en-US" w:eastAsia="zh-CN"/>
                    </w:rPr>
                    <w:t>内进行二次处理</w:t>
                  </w:r>
                  <w:r>
                    <w:rPr>
                      <w:rFonts w:hint="eastAsia" w:ascii="Times New Roman" w:hAnsi="Times New Roman" w:eastAsia="宋体" w:cs="Times New Roman"/>
                      <w:sz w:val="21"/>
                      <w:szCs w:val="21"/>
                      <w:lang w:val="en-US" w:eastAsia="zh-CN"/>
                    </w:rPr>
                    <w:t>，通过市政污水管网排入归阳污水处理厂处理，最终汇入湘江</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0" w:type="auto"/>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3</w:t>
                  </w:r>
                </w:p>
              </w:tc>
              <w:tc>
                <w:tcPr>
                  <w:tcW w:w="0" w:type="auto"/>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初期雨水</w:t>
                  </w:r>
                </w:p>
              </w:tc>
              <w:tc>
                <w:tcPr>
                  <w:tcW w:w="0" w:type="auto"/>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0</w:t>
                  </w:r>
                </w:p>
              </w:tc>
              <w:tc>
                <w:tcPr>
                  <w:tcW w:w="0" w:type="auto"/>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0</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3086.74</w:t>
                  </w:r>
                </w:p>
              </w:tc>
              <w:tc>
                <w:tcPr>
                  <w:tcW w:w="0" w:type="auto"/>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3086.74</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拟建一个容积为</w:t>
                  </w:r>
                  <w:r>
                    <w:rPr>
                      <w:rFonts w:hint="eastAsia" w:cs="Times New Roman"/>
                      <w:sz w:val="21"/>
                      <w:szCs w:val="21"/>
                      <w:lang w:val="en-US" w:eastAsia="zh-CN"/>
                    </w:rPr>
                    <w:t>180</w:t>
                  </w:r>
                  <w:r>
                    <w:rPr>
                      <w:rFonts w:hint="eastAsia" w:ascii="Times New Roman" w:hAnsi="Times New Roman" w:eastAsia="宋体" w:cs="Times New Roman"/>
                      <w:sz w:val="21"/>
                      <w:szCs w:val="21"/>
                      <w:lang w:val="en-US" w:eastAsia="zh-CN"/>
                    </w:rPr>
                    <w:t>m</w:t>
                  </w:r>
                  <w:r>
                    <w:rPr>
                      <w:rFonts w:hint="eastAsia" w:ascii="Times New Roman" w:hAnsi="Times New Roman" w:eastAsia="宋体" w:cs="Times New Roman"/>
                      <w:sz w:val="21"/>
                      <w:szCs w:val="21"/>
                      <w:vertAlign w:val="superscript"/>
                      <w:lang w:val="en-US" w:eastAsia="zh-CN"/>
                    </w:rPr>
                    <w:t>3</w:t>
                  </w:r>
                  <w:r>
                    <w:rPr>
                      <w:rFonts w:hint="eastAsia" w:ascii="Times New Roman" w:hAnsi="Times New Roman" w:eastAsia="宋体" w:cs="Times New Roman"/>
                      <w:sz w:val="21"/>
                      <w:szCs w:val="21"/>
                      <w:lang w:val="en-US" w:eastAsia="zh-CN"/>
                    </w:rPr>
                    <w:t>的初期雨水收集池收集，再由隔油沉淀池</w:t>
                  </w:r>
                  <w:r>
                    <w:rPr>
                      <w:rFonts w:hint="eastAsia" w:cs="Times New Roman"/>
                      <w:sz w:val="21"/>
                      <w:szCs w:val="21"/>
                      <w:lang w:val="en-US" w:eastAsia="zh-CN"/>
                    </w:rPr>
                    <w:t>（TW002,采用气浮+油水分离器技术）</w:t>
                  </w:r>
                  <w:r>
                    <w:rPr>
                      <w:rFonts w:hint="eastAsia" w:ascii="Times New Roman" w:hAnsi="Times New Roman" w:eastAsia="宋体" w:cs="Times New Roman"/>
                      <w:sz w:val="21"/>
                      <w:szCs w:val="21"/>
                      <w:lang w:val="en-US" w:eastAsia="zh-CN"/>
                    </w:rPr>
                    <w:t>处理后经市政污水管网排入归阳污水处理厂，最终汇入湘江</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0" w:type="auto"/>
                  <w:gridSpan w:val="2"/>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合计</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1500</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297</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4289.74</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4289.74</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w:t>
                  </w:r>
                </w:p>
              </w:tc>
            </w:tr>
          </w:tbl>
          <w:p>
            <w:pPr>
              <w:pStyle w:val="25"/>
              <w:numPr>
                <w:ilvl w:val="0"/>
                <w:numId w:val="0"/>
              </w:numPr>
              <w:bidi w:val="0"/>
              <w:jc w:val="left"/>
              <w:rPr>
                <w:rFonts w:hint="default" w:ascii="Times New Roman" w:hAnsi="Times New Roman" w:eastAsia="宋体" w:cs="Times New Roman"/>
                <w:b/>
                <w:bCs/>
                <w:color w:val="auto"/>
                <w:sz w:val="24"/>
                <w:szCs w:val="24"/>
                <w:u w:color="auto"/>
                <w:lang w:val="en-US" w:eastAsia="zh-CN"/>
              </w:rPr>
            </w:pPr>
          </w:p>
          <w:p>
            <w:pPr>
              <w:pStyle w:val="25"/>
              <w:bidi w:val="0"/>
              <w:jc w:val="left"/>
              <w:rPr>
                <w:rFonts w:hint="default" w:ascii="宋体" w:hAnsi="宋体" w:eastAsia="宋体" w:cs="宋体"/>
                <w:highlight w:val="none"/>
                <w:lang w:val="en-US" w:eastAsia="zh-CN"/>
              </w:rPr>
            </w:pPr>
          </w:p>
          <w:p>
            <w:pPr>
              <w:pStyle w:val="25"/>
              <w:bidi w:val="0"/>
              <w:jc w:val="left"/>
              <w:rPr>
                <w:rFonts w:hint="default"/>
                <w:lang w:val="en-US" w:eastAsia="zh-CN"/>
              </w:rPr>
            </w:pPr>
          </w:p>
          <w:p>
            <w:pPr>
              <w:pStyle w:val="27"/>
              <w:bidi w:val="0"/>
              <w:spacing w:line="240" w:lineRule="auto"/>
              <w:jc w:val="center"/>
              <w:rPr>
                <w:rFonts w:hint="default"/>
                <w:lang w:val="en-US" w:eastAsia="zh-CN"/>
              </w:rPr>
            </w:pPr>
          </w:p>
          <w:p>
            <w:pPr>
              <w:pStyle w:val="15"/>
              <w:keepNext w:val="0"/>
              <w:keepLines w:val="0"/>
              <w:pageBreakBefore w:val="0"/>
              <w:widowControl/>
              <w:numPr>
                <w:ilvl w:val="0"/>
                <w:numId w:val="0"/>
              </w:numPr>
              <w:kinsoku/>
              <w:wordWrap/>
              <w:overflowPunct/>
              <w:topLinePunct w:val="0"/>
              <w:autoSpaceDE/>
              <w:autoSpaceDN/>
              <w:bidi w:val="0"/>
              <w:adjustRightInd/>
              <w:snapToGrid/>
              <w:spacing w:before="0" w:beforeAutospacing="0" w:after="0" w:afterAutospacing="0" w:line="360" w:lineRule="auto"/>
              <w:jc w:val="both"/>
              <w:textAlignment w:val="auto"/>
              <w:outlineLvl w:val="0"/>
              <w:rPr>
                <w:rFonts w:hint="eastAsia" w:ascii="Times New Roman" w:hAnsi="Times New Roman" w:eastAsia="宋体" w:cs="Times New Roman"/>
                <w:b/>
                <w:bCs/>
                <w:kern w:val="2"/>
                <w:sz w:val="24"/>
                <w:szCs w:val="28"/>
                <w:lang w:val="en-US" w:eastAsia="zh-CN" w:bidi="ar-SA"/>
              </w:rPr>
            </w:pPr>
            <w:r>
              <w:drawing>
                <wp:anchor distT="0" distB="0" distL="114300" distR="114300" simplePos="0" relativeHeight="251666432" behindDoc="1" locked="0" layoutInCell="1" allowOverlap="1">
                  <wp:simplePos x="0" y="0"/>
                  <wp:positionH relativeFrom="column">
                    <wp:posOffset>60960</wp:posOffset>
                  </wp:positionH>
                  <wp:positionV relativeFrom="paragraph">
                    <wp:posOffset>242570</wp:posOffset>
                  </wp:positionV>
                  <wp:extent cx="5010150" cy="2371090"/>
                  <wp:effectExtent l="0" t="0" r="0" b="10160"/>
                  <wp:wrapNone/>
                  <wp:docPr id="1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2"/>
                          <pic:cNvPicPr>
                            <a:picLocks noChangeAspect="1"/>
                          </pic:cNvPicPr>
                        </pic:nvPicPr>
                        <pic:blipFill>
                          <a:blip r:embed="rId9"/>
                          <a:stretch>
                            <a:fillRect/>
                          </a:stretch>
                        </pic:blipFill>
                        <pic:spPr>
                          <a:xfrm>
                            <a:off x="0" y="0"/>
                            <a:ext cx="5010150" cy="2371090"/>
                          </a:xfrm>
                          <a:prstGeom prst="rect">
                            <a:avLst/>
                          </a:prstGeom>
                          <a:noFill/>
                          <a:ln>
                            <a:noFill/>
                          </a:ln>
                        </pic:spPr>
                      </pic:pic>
                    </a:graphicData>
                  </a:graphic>
                </wp:anchor>
              </w:drawing>
            </w:r>
          </w:p>
          <w:p>
            <w:pPr>
              <w:pStyle w:val="27"/>
              <w:bidi w:val="0"/>
              <w:spacing w:line="240" w:lineRule="auto"/>
              <w:jc w:val="center"/>
              <w:rPr>
                <w:rFonts w:hint="eastAsia"/>
                <w:vertAlign w:val="baseline"/>
                <w:lang w:val="en-US" w:eastAsia="zh-CN"/>
              </w:rPr>
            </w:pPr>
            <w:r>
              <w:rPr>
                <w:rFonts w:hint="eastAsia"/>
                <w:lang w:val="en-US" w:eastAsia="zh-CN"/>
              </w:rPr>
              <w:t xml:space="preserve"> </w:t>
            </w:r>
          </w:p>
          <w:p>
            <w:pPr>
              <w:pStyle w:val="27"/>
              <w:bidi w:val="0"/>
              <w:spacing w:line="240" w:lineRule="auto"/>
              <w:jc w:val="center"/>
              <w:rPr>
                <w:rFonts w:hint="eastAsia"/>
                <w:vertAlign w:val="baseline"/>
                <w:lang w:val="en-US" w:eastAsia="zh-CN"/>
              </w:rPr>
            </w:pPr>
          </w:p>
          <w:p>
            <w:pPr>
              <w:pStyle w:val="15"/>
              <w:keepNext w:val="0"/>
              <w:keepLines w:val="0"/>
              <w:pageBreakBefore w:val="0"/>
              <w:widowControl/>
              <w:numPr>
                <w:ilvl w:val="0"/>
                <w:numId w:val="0"/>
              </w:numPr>
              <w:kinsoku/>
              <w:wordWrap/>
              <w:overflowPunct/>
              <w:topLinePunct w:val="0"/>
              <w:autoSpaceDE/>
              <w:autoSpaceDN/>
              <w:bidi w:val="0"/>
              <w:adjustRightInd/>
              <w:snapToGrid/>
              <w:spacing w:before="0" w:beforeAutospacing="0" w:after="0" w:afterAutospacing="0" w:line="360" w:lineRule="auto"/>
              <w:ind w:firstLine="480" w:firstLineChars="200"/>
              <w:jc w:val="both"/>
              <w:textAlignment w:val="auto"/>
              <w:outlineLvl w:val="0"/>
              <w:rPr>
                <w:rFonts w:hint="default"/>
                <w:color w:val="auto"/>
                <w:sz w:val="24"/>
                <w:szCs w:val="24"/>
                <w:u w:color="auto"/>
                <w:lang w:val="en-US" w:eastAsia="zh-CN"/>
              </w:rPr>
            </w:pPr>
          </w:p>
          <w:p>
            <w:pPr>
              <w:pStyle w:val="27"/>
              <w:bidi w:val="0"/>
              <w:jc w:val="both"/>
              <w:rPr>
                <w:rFonts w:hint="default" w:ascii="Times New Roman" w:hAnsi="Times New Roman" w:eastAsia="宋体" w:cs="Times New Roman"/>
                <w:lang w:val="en-US" w:eastAsia="zh-CN"/>
              </w:rPr>
            </w:pPr>
          </w:p>
          <w:p>
            <w:pPr>
              <w:pStyle w:val="27"/>
              <w:bidi w:val="0"/>
              <w:jc w:val="both"/>
              <w:rPr>
                <w:rFonts w:hint="default" w:ascii="Times New Roman" w:hAnsi="Times New Roman" w:eastAsia="宋体" w:cs="Times New Roman"/>
                <w:lang w:val="en-US" w:eastAsia="zh-CN"/>
              </w:rPr>
            </w:pPr>
          </w:p>
          <w:p>
            <w:pPr>
              <w:pStyle w:val="27"/>
              <w:bidi w:val="0"/>
              <w:jc w:val="both"/>
              <w:rPr>
                <w:rFonts w:hint="default" w:ascii="Times New Roman" w:hAnsi="Times New Roman" w:eastAsia="宋体" w:cs="Times New Roman"/>
                <w:lang w:val="en-US" w:eastAsia="zh-CN"/>
              </w:rPr>
            </w:pPr>
          </w:p>
          <w:p>
            <w:pPr>
              <w:pStyle w:val="27"/>
              <w:bidi w:val="0"/>
              <w:jc w:val="both"/>
              <w:rPr>
                <w:rFonts w:hint="default" w:ascii="Times New Roman" w:hAnsi="Times New Roman" w:eastAsia="宋体" w:cs="Times New Roman"/>
                <w:lang w:val="en-US" w:eastAsia="zh-CN"/>
              </w:rPr>
            </w:pPr>
          </w:p>
          <w:p>
            <w:pPr>
              <w:pStyle w:val="27"/>
              <w:bidi w:val="0"/>
              <w:jc w:val="center"/>
              <w:rPr>
                <w:rFonts w:hint="default" w:ascii="Times New Roman" w:hAnsi="Times New Roman" w:eastAsia="宋体" w:cs="Times New Roman"/>
                <w:lang w:val="en-US" w:eastAsia="zh-CN"/>
              </w:rPr>
            </w:pPr>
          </w:p>
          <w:p>
            <w:pPr>
              <w:pStyle w:val="27"/>
              <w:bidi w:val="0"/>
              <w:jc w:val="center"/>
              <w:rPr>
                <w:rFonts w:hint="default" w:ascii="Times New Roman" w:hAnsi="Times New Roman" w:eastAsia="宋体" w:cs="Times New Roman"/>
                <w:lang w:val="en-US" w:eastAsia="zh-CN"/>
              </w:rPr>
            </w:pPr>
            <w:r>
              <w:rPr>
                <w:rFonts w:hint="default" w:ascii="Times New Roman" w:hAnsi="Times New Roman" w:eastAsia="宋体" w:cs="Times New Roman"/>
                <w:lang w:val="en-US" w:eastAsia="zh-CN"/>
              </w:rPr>
              <w:t>图</w:t>
            </w:r>
            <w:r>
              <w:rPr>
                <w:rFonts w:hint="eastAsia" w:ascii="Times New Roman" w:hAnsi="Times New Roman" w:eastAsia="宋体" w:cs="Times New Roman"/>
                <w:lang w:val="en-US" w:eastAsia="zh-CN"/>
              </w:rPr>
              <w:t>2</w:t>
            </w:r>
            <w:r>
              <w:rPr>
                <w:rFonts w:hint="default" w:ascii="Times New Roman" w:hAnsi="Times New Roman" w:eastAsia="宋体" w:cs="Times New Roman"/>
                <w:lang w:val="en-US" w:eastAsia="zh-CN"/>
              </w:rPr>
              <w:t>-1 项目水平衡图（</w:t>
            </w:r>
            <w:r>
              <w:rPr>
                <w:rFonts w:hint="eastAsia" w:ascii="Times New Roman" w:hAnsi="Times New Roman" w:eastAsia="宋体" w:cs="Times New Roman"/>
                <w:lang w:val="en-US" w:eastAsia="zh-CN"/>
              </w:rPr>
              <w:t>m</w:t>
            </w:r>
            <w:r>
              <w:rPr>
                <w:rFonts w:hint="eastAsia" w:ascii="Times New Roman" w:hAnsi="Times New Roman" w:eastAsia="宋体" w:cs="Times New Roman"/>
                <w:vertAlign w:val="superscript"/>
                <w:lang w:val="en-US" w:eastAsia="zh-CN"/>
              </w:rPr>
              <w:t>3</w:t>
            </w:r>
            <w:r>
              <w:rPr>
                <w:rFonts w:hint="eastAsia" w:ascii="Times New Roman" w:hAnsi="Times New Roman" w:eastAsia="宋体" w:cs="Times New Roman"/>
                <w:lang w:val="en-US" w:eastAsia="zh-CN"/>
              </w:rPr>
              <w:t>/a</w:t>
            </w:r>
            <w:r>
              <w:rPr>
                <w:rFonts w:hint="default" w:ascii="Times New Roman" w:hAnsi="Times New Roman" w:eastAsia="宋体" w:cs="Times New Roman"/>
                <w:lang w:val="en-US" w:eastAsia="zh-CN"/>
              </w:rPr>
              <w:t>）</w:t>
            </w:r>
          </w:p>
          <w:p>
            <w:pPr>
              <w:pStyle w:val="3"/>
              <w:spacing w:after="0" w:line="360" w:lineRule="auto"/>
              <w:ind w:firstLine="482" w:firstLineChars="200"/>
              <w:rPr>
                <w:rFonts w:hint="eastAsia" w:ascii="Times New Roman" w:hAnsi="Times New Roman" w:eastAsia="宋体" w:cs="Times New Roman"/>
                <w:b/>
                <w:bCs/>
                <w:color w:val="auto"/>
                <w:sz w:val="24"/>
                <w:szCs w:val="24"/>
                <w:u w:color="auto"/>
                <w:lang w:val="en-US" w:eastAsia="zh-CN"/>
              </w:rPr>
            </w:pPr>
            <w:r>
              <w:rPr>
                <w:rFonts w:hint="default" w:ascii="Times New Roman" w:hAnsi="Times New Roman" w:eastAsia="宋体" w:cs="Times New Roman"/>
                <w:b/>
                <w:bCs/>
                <w:color w:val="auto"/>
                <w:sz w:val="24"/>
                <w:szCs w:val="24"/>
                <w:u w:color="auto"/>
              </w:rPr>
              <w:t>（3）供电</w:t>
            </w:r>
            <w:r>
              <w:rPr>
                <w:rFonts w:hint="eastAsia" w:ascii="Times New Roman" w:hAnsi="Times New Roman" w:eastAsia="宋体" w:cs="Times New Roman"/>
                <w:b/>
                <w:bCs/>
                <w:color w:val="auto"/>
                <w:sz w:val="24"/>
                <w:szCs w:val="24"/>
                <w:u w:color="auto"/>
                <w:lang w:val="en-US" w:eastAsia="zh-CN"/>
              </w:rPr>
              <w:t>工程</w:t>
            </w:r>
          </w:p>
          <w:p>
            <w:pPr>
              <w:pStyle w:val="5"/>
              <w:ind w:firstLine="480" w:firstLineChars="200"/>
              <w:rPr>
                <w:rFonts w:hint="default"/>
                <w:lang w:val="en-US" w:eastAsia="zh-CN"/>
              </w:rPr>
            </w:pPr>
            <w:r>
              <w:rPr>
                <w:rFonts w:hint="default" w:ascii="Times New Roman" w:hAnsi="Times New Roman" w:eastAsia="宋体" w:cs="Times New Roman"/>
                <w:b w:val="0"/>
                <w:bCs/>
                <w:kern w:val="2"/>
                <w:sz w:val="24"/>
                <w:szCs w:val="24"/>
                <w:lang w:val="en-US" w:eastAsia="zh-CN" w:bidi="ar-SA"/>
              </w:rPr>
              <w:t>接自市政供电系统。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59" w:hRule="atLeast"/>
        </w:trPr>
        <w:tc>
          <w:tcPr>
            <w:tcW w:w="810" w:type="dxa"/>
            <w:vAlign w:val="center"/>
          </w:tcPr>
          <w:p>
            <w:pPr>
              <w:pStyle w:val="15"/>
              <w:keepNext w:val="0"/>
              <w:keepLines w:val="0"/>
              <w:pageBreakBefore w:val="0"/>
              <w:widowControl/>
              <w:kinsoku/>
              <w:wordWrap/>
              <w:overflowPunct/>
              <w:topLinePunct w:val="0"/>
              <w:autoSpaceDE/>
              <w:autoSpaceDN/>
              <w:bidi w:val="0"/>
              <w:adjustRightInd/>
              <w:snapToGrid/>
              <w:spacing w:before="0" w:beforeAutospacing="0" w:after="0" w:afterAutospacing="0" w:line="240" w:lineRule="auto"/>
              <w:jc w:val="center"/>
              <w:textAlignment w:val="auto"/>
              <w:outlineLvl w:val="0"/>
              <w:rPr>
                <w:rFonts w:hint="eastAsia" w:cs="宋体"/>
                <w:sz w:val="21"/>
                <w:szCs w:val="21"/>
              </w:rPr>
            </w:pPr>
            <w:r>
              <w:rPr>
                <w:rFonts w:hint="eastAsia" w:cs="宋体"/>
                <w:sz w:val="21"/>
                <w:szCs w:val="21"/>
              </w:rPr>
              <w:t>工艺流程和产排污环节</w:t>
            </w:r>
          </w:p>
        </w:tc>
        <w:tc>
          <w:tcPr>
            <w:tcW w:w="7913" w:type="dxa"/>
          </w:tcPr>
          <w:p>
            <w:pPr>
              <w:pStyle w:val="3"/>
              <w:spacing w:after="0" w:line="360" w:lineRule="auto"/>
              <w:ind w:firstLine="482" w:firstLineChars="200"/>
              <w:rPr>
                <w:rFonts w:hint="eastAsia" w:ascii="Times New Roman" w:hAnsi="Times New Roman" w:eastAsia="宋体" w:cs="Times New Roman"/>
                <w:b/>
                <w:bCs/>
                <w:color w:val="auto"/>
                <w:sz w:val="24"/>
                <w:szCs w:val="24"/>
                <w:u w:color="auto"/>
                <w:lang w:val="en-US" w:eastAsia="zh-CN"/>
              </w:rPr>
            </w:pPr>
            <w:r>
              <w:rPr>
                <w:rFonts w:hint="eastAsia" w:ascii="Times New Roman" w:hAnsi="Times New Roman" w:eastAsia="宋体" w:cs="Times New Roman"/>
                <w:b/>
                <w:bCs/>
                <w:color w:val="auto"/>
                <w:sz w:val="24"/>
                <w:szCs w:val="24"/>
                <w:u w:color="auto"/>
                <w:lang w:val="en-US" w:eastAsia="zh-CN"/>
              </w:rPr>
              <w:t>1、施工期工艺流程及产污环节</w:t>
            </w:r>
          </w:p>
          <w:p>
            <w:pPr>
              <w:bidi w:val="0"/>
              <w:ind w:firstLine="480" w:firstLineChars="200"/>
              <w:jc w:val="both"/>
              <w:rPr>
                <w:rFonts w:hint="eastAsia" w:ascii="宋体" w:hAnsi="宋体" w:eastAsia="宋体" w:cs="宋体"/>
                <w:lang w:val="en-US" w:eastAsia="zh-CN"/>
              </w:rPr>
            </w:pPr>
            <w:r>
              <w:drawing>
                <wp:anchor distT="0" distB="0" distL="114300" distR="114300" simplePos="0" relativeHeight="251660288" behindDoc="0" locked="0" layoutInCell="1" allowOverlap="1">
                  <wp:simplePos x="0" y="0"/>
                  <wp:positionH relativeFrom="column">
                    <wp:posOffset>-15240</wp:posOffset>
                  </wp:positionH>
                  <wp:positionV relativeFrom="page">
                    <wp:posOffset>590550</wp:posOffset>
                  </wp:positionV>
                  <wp:extent cx="4946015" cy="1433195"/>
                  <wp:effectExtent l="0" t="0" r="6985" b="14605"/>
                  <wp:wrapNone/>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0"/>
                          <a:stretch>
                            <a:fillRect/>
                          </a:stretch>
                        </pic:blipFill>
                        <pic:spPr>
                          <a:xfrm>
                            <a:off x="0" y="0"/>
                            <a:ext cx="4946015" cy="1433195"/>
                          </a:xfrm>
                          <a:prstGeom prst="rect">
                            <a:avLst/>
                          </a:prstGeom>
                          <a:noFill/>
                          <a:ln>
                            <a:noFill/>
                          </a:ln>
                        </pic:spPr>
                      </pic:pic>
                    </a:graphicData>
                  </a:graphic>
                </wp:anchor>
              </w:drawing>
            </w:r>
            <w:r>
              <w:rPr>
                <w:rFonts w:hint="eastAsia" w:ascii="宋体" w:hAnsi="宋体" w:eastAsia="宋体" w:cs="宋体"/>
                <w:lang w:val="en-US" w:eastAsia="zh-CN"/>
              </w:rPr>
              <w:t>本项目施工期工艺流程及产污环节见图2-2。。</w:t>
            </w:r>
          </w:p>
          <w:p>
            <w:pPr>
              <w:bidi w:val="0"/>
              <w:ind w:firstLine="480" w:firstLineChars="200"/>
              <w:jc w:val="both"/>
              <w:rPr>
                <w:rFonts w:hint="eastAsia" w:ascii="宋体" w:hAnsi="宋体" w:eastAsia="宋体" w:cs="宋体"/>
                <w:lang w:val="en-US" w:eastAsia="zh-CN"/>
              </w:rPr>
            </w:pPr>
          </w:p>
          <w:p>
            <w:pPr>
              <w:bidi w:val="0"/>
              <w:ind w:firstLine="480" w:firstLineChars="200"/>
              <w:jc w:val="both"/>
              <w:rPr>
                <w:rFonts w:hint="eastAsia" w:ascii="宋体" w:hAnsi="宋体" w:eastAsia="宋体" w:cs="宋体"/>
                <w:lang w:val="en-US" w:eastAsia="zh-CN"/>
              </w:rPr>
            </w:pPr>
          </w:p>
          <w:p>
            <w:pPr>
              <w:bidi w:val="0"/>
              <w:ind w:firstLine="480" w:firstLineChars="200"/>
              <w:jc w:val="both"/>
              <w:rPr>
                <w:rFonts w:hint="eastAsia" w:ascii="宋体" w:hAnsi="宋体" w:eastAsia="宋体" w:cs="宋体"/>
                <w:lang w:val="en-US" w:eastAsia="zh-CN"/>
              </w:rPr>
            </w:pPr>
          </w:p>
          <w:p>
            <w:pPr>
              <w:bidi w:val="0"/>
              <w:ind w:firstLine="480" w:firstLineChars="200"/>
              <w:jc w:val="both"/>
              <w:rPr>
                <w:rFonts w:hint="eastAsia" w:ascii="宋体" w:hAnsi="宋体" w:eastAsia="宋体" w:cs="宋体"/>
                <w:lang w:val="en-US" w:eastAsia="zh-CN"/>
              </w:rPr>
            </w:pPr>
          </w:p>
          <w:p>
            <w:pPr>
              <w:bidi w:val="0"/>
              <w:ind w:firstLine="480" w:firstLineChars="200"/>
              <w:jc w:val="both"/>
              <w:rPr>
                <w:rFonts w:hint="eastAsia" w:ascii="宋体" w:hAnsi="宋体" w:eastAsia="宋体" w:cs="宋体"/>
                <w:lang w:val="en-US" w:eastAsia="zh-CN"/>
              </w:rPr>
            </w:pPr>
          </w:p>
          <w:p>
            <w:pPr>
              <w:pStyle w:val="27"/>
              <w:bidi w:val="0"/>
              <w:rPr>
                <w:rFonts w:hint="default"/>
                <w:lang w:val="en-US" w:eastAsia="zh-CN"/>
              </w:rPr>
            </w:pPr>
            <w:r>
              <w:rPr>
                <w:rFonts w:hint="eastAsia"/>
                <w:lang w:val="en-US" w:eastAsia="zh-CN"/>
              </w:rPr>
              <w:t>图2-2 项目施工期工艺流程及产污环节</w:t>
            </w:r>
          </w:p>
          <w:p>
            <w:pPr>
              <w:keepNext w:val="0"/>
              <w:keepLines w:val="0"/>
              <w:widowControl/>
              <w:suppressLineNumbers w:val="0"/>
              <w:ind w:firstLine="480" w:firstLineChars="200"/>
              <w:jc w:val="left"/>
            </w:pPr>
            <w:r>
              <w:rPr>
                <w:rFonts w:hint="eastAsia"/>
                <w:lang w:val="en-US" w:eastAsia="zh-CN"/>
              </w:rPr>
              <w:t>（</w:t>
            </w:r>
            <w:r>
              <w:rPr>
                <w:rFonts w:hint="default"/>
                <w:lang w:val="en-US" w:eastAsia="zh-CN"/>
              </w:rPr>
              <w:t>1</w:t>
            </w:r>
            <w:r>
              <w:rPr>
                <w:rFonts w:hint="eastAsia"/>
                <w:lang w:val="en-US" w:eastAsia="zh-CN"/>
              </w:rPr>
              <w:t>）废气</w:t>
            </w:r>
          </w:p>
          <w:p>
            <w:pPr>
              <w:keepNext w:val="0"/>
              <w:keepLines w:val="0"/>
              <w:widowControl/>
              <w:suppressLineNumbers w:val="0"/>
              <w:ind w:firstLine="480" w:firstLineChars="200"/>
              <w:jc w:val="left"/>
            </w:pPr>
            <w:r>
              <w:rPr>
                <w:rFonts w:hint="eastAsia"/>
                <w:lang w:val="en-US" w:eastAsia="zh-CN"/>
              </w:rPr>
              <w:t>项目施工期废气主要包括施工废气及施工扬尘。其主要污染因子为</w:t>
            </w:r>
            <w:r>
              <w:rPr>
                <w:rFonts w:hint="default"/>
                <w:lang w:val="en-US" w:eastAsia="zh-CN"/>
              </w:rPr>
              <w:t>TSP</w:t>
            </w:r>
            <w:r>
              <w:rPr>
                <w:rFonts w:hint="eastAsia"/>
                <w:lang w:val="en-US" w:eastAsia="zh-CN"/>
              </w:rPr>
              <w:t>、</w:t>
            </w:r>
            <w:r>
              <w:rPr>
                <w:rFonts w:hint="default"/>
                <w:lang w:val="en-US" w:eastAsia="zh-CN"/>
              </w:rPr>
              <w:t>CO</w:t>
            </w:r>
            <w:r>
              <w:rPr>
                <w:rFonts w:hint="eastAsia"/>
                <w:lang w:val="en-US" w:eastAsia="zh-CN"/>
              </w:rPr>
              <w:t>、</w:t>
            </w:r>
            <w:r>
              <w:rPr>
                <w:rFonts w:hint="default"/>
                <w:lang w:val="en-US" w:eastAsia="zh-CN"/>
              </w:rPr>
              <w:t>HC</w:t>
            </w:r>
            <w:r>
              <w:rPr>
                <w:rFonts w:hint="eastAsia"/>
                <w:lang w:val="en-US" w:eastAsia="zh-CN"/>
              </w:rPr>
              <w:t>化合物、</w:t>
            </w:r>
            <w:r>
              <w:rPr>
                <w:rFonts w:hint="default"/>
                <w:lang w:val="en-US" w:eastAsia="zh-CN"/>
              </w:rPr>
              <w:t>NO</w:t>
            </w:r>
            <w:r>
              <w:rPr>
                <w:rFonts w:hint="default"/>
                <w:vertAlign w:val="subscript"/>
                <w:lang w:val="en-US" w:eastAsia="zh-CN"/>
              </w:rPr>
              <w:t>2</w:t>
            </w:r>
            <w:r>
              <w:rPr>
                <w:rFonts w:hint="eastAsia"/>
                <w:lang w:val="en-US" w:eastAsia="zh-CN"/>
              </w:rPr>
              <w:t>等，为无组织排放。</w:t>
            </w:r>
          </w:p>
          <w:p>
            <w:pPr>
              <w:keepNext w:val="0"/>
              <w:keepLines w:val="0"/>
              <w:widowControl/>
              <w:suppressLineNumbers w:val="0"/>
              <w:ind w:firstLine="480" w:firstLineChars="200"/>
              <w:jc w:val="left"/>
            </w:pPr>
            <w:r>
              <w:rPr>
                <w:rFonts w:hint="eastAsia"/>
                <w:lang w:val="en-US" w:eastAsia="zh-CN"/>
              </w:rPr>
              <w:t>（</w:t>
            </w:r>
            <w:r>
              <w:rPr>
                <w:rFonts w:hint="default"/>
                <w:lang w:val="en-US" w:eastAsia="zh-CN"/>
              </w:rPr>
              <w:t>2</w:t>
            </w:r>
            <w:r>
              <w:rPr>
                <w:rFonts w:hint="eastAsia"/>
                <w:lang w:val="en-US" w:eastAsia="zh-CN"/>
              </w:rPr>
              <w:t>）废水</w:t>
            </w:r>
          </w:p>
          <w:p>
            <w:pPr>
              <w:keepNext w:val="0"/>
              <w:keepLines w:val="0"/>
              <w:widowControl/>
              <w:suppressLineNumbers w:val="0"/>
              <w:ind w:firstLine="480" w:firstLineChars="200"/>
              <w:jc w:val="left"/>
            </w:pPr>
            <w:r>
              <w:rPr>
                <w:rFonts w:hint="eastAsia"/>
                <w:lang w:val="en-US" w:eastAsia="zh-CN"/>
              </w:rPr>
              <w:t>项目施工期废水主要分为施工废水和施工人员生活废水。施工废水主要污染因子为</w:t>
            </w:r>
            <w:r>
              <w:rPr>
                <w:rFonts w:hint="default"/>
                <w:lang w:val="en-US" w:eastAsia="zh-CN"/>
              </w:rPr>
              <w:t>SS</w:t>
            </w:r>
            <w:r>
              <w:rPr>
                <w:rFonts w:hint="eastAsia"/>
                <w:lang w:val="en-US" w:eastAsia="zh-CN"/>
              </w:rPr>
              <w:t>、石油类；施工人员生活废水主要污染因子为</w:t>
            </w:r>
            <w:r>
              <w:rPr>
                <w:rFonts w:hint="default"/>
                <w:lang w:val="en-US" w:eastAsia="zh-CN"/>
              </w:rPr>
              <w:t>COD</w:t>
            </w:r>
            <w:r>
              <w:rPr>
                <w:rFonts w:hint="eastAsia"/>
                <w:lang w:val="en-US" w:eastAsia="zh-CN"/>
              </w:rPr>
              <w:t>、</w:t>
            </w:r>
            <w:r>
              <w:rPr>
                <w:rFonts w:hint="default"/>
                <w:lang w:val="en-US" w:eastAsia="zh-CN"/>
              </w:rPr>
              <w:t>BOD5</w:t>
            </w:r>
            <w:r>
              <w:rPr>
                <w:rFonts w:hint="eastAsia"/>
                <w:lang w:val="en-US" w:eastAsia="zh-CN"/>
              </w:rPr>
              <w:t>、</w:t>
            </w:r>
            <w:r>
              <w:rPr>
                <w:rFonts w:hint="default"/>
                <w:lang w:val="en-US" w:eastAsia="zh-CN"/>
              </w:rPr>
              <w:t>SS</w:t>
            </w:r>
            <w:r>
              <w:rPr>
                <w:rFonts w:hint="eastAsia"/>
                <w:lang w:val="en-US" w:eastAsia="zh-CN"/>
              </w:rPr>
              <w:t>、氨氮、总磷、总氮、动植物油等。</w:t>
            </w:r>
          </w:p>
          <w:p>
            <w:pPr>
              <w:keepNext w:val="0"/>
              <w:keepLines w:val="0"/>
              <w:widowControl/>
              <w:suppressLineNumbers w:val="0"/>
              <w:ind w:firstLine="480" w:firstLineChars="200"/>
              <w:jc w:val="left"/>
            </w:pPr>
            <w:r>
              <w:rPr>
                <w:rFonts w:hint="eastAsia"/>
                <w:lang w:val="en-US" w:eastAsia="zh-CN"/>
              </w:rPr>
              <w:t>（</w:t>
            </w:r>
            <w:r>
              <w:rPr>
                <w:rFonts w:hint="default"/>
                <w:lang w:val="en-US" w:eastAsia="zh-CN"/>
              </w:rPr>
              <w:t>3</w:t>
            </w:r>
            <w:r>
              <w:rPr>
                <w:rFonts w:hint="eastAsia"/>
                <w:lang w:val="en-US" w:eastAsia="zh-CN"/>
              </w:rPr>
              <w:t>）噪声</w:t>
            </w:r>
          </w:p>
          <w:p>
            <w:pPr>
              <w:keepNext w:val="0"/>
              <w:keepLines w:val="0"/>
              <w:widowControl/>
              <w:suppressLineNumbers w:val="0"/>
              <w:ind w:firstLine="480" w:firstLineChars="200"/>
              <w:jc w:val="left"/>
            </w:pPr>
            <w:r>
              <w:rPr>
                <w:rFonts w:hint="eastAsia"/>
                <w:lang w:val="en-US" w:eastAsia="zh-CN"/>
              </w:rPr>
              <w:t>项目施工期噪声来源于施工机械和运输车辆在运行中产生的机械噪声，主要噪声源为机动车辆行驶、砂石料加工、混凝土浇注。具有突发性和间歇性的特点。</w:t>
            </w:r>
          </w:p>
          <w:p>
            <w:pPr>
              <w:keepNext w:val="0"/>
              <w:keepLines w:val="0"/>
              <w:widowControl/>
              <w:suppressLineNumbers w:val="0"/>
              <w:ind w:firstLine="480" w:firstLineChars="200"/>
              <w:jc w:val="left"/>
            </w:pPr>
            <w:r>
              <w:rPr>
                <w:rFonts w:hint="eastAsia"/>
                <w:lang w:val="en-US" w:eastAsia="zh-CN"/>
              </w:rPr>
              <w:t>（</w:t>
            </w:r>
            <w:r>
              <w:rPr>
                <w:rFonts w:hint="default"/>
                <w:lang w:val="en-US" w:eastAsia="zh-CN"/>
              </w:rPr>
              <w:t>4</w:t>
            </w:r>
            <w:r>
              <w:rPr>
                <w:rFonts w:hint="eastAsia"/>
                <w:lang w:val="en-US" w:eastAsia="zh-CN"/>
              </w:rPr>
              <w:t>）固废</w:t>
            </w:r>
          </w:p>
          <w:p>
            <w:pPr>
              <w:keepNext w:val="0"/>
              <w:keepLines w:val="0"/>
              <w:widowControl/>
              <w:suppressLineNumbers w:val="0"/>
              <w:ind w:firstLine="480" w:firstLineChars="200"/>
              <w:jc w:val="left"/>
            </w:pPr>
            <w:r>
              <w:rPr>
                <w:rFonts w:hint="eastAsia"/>
                <w:lang w:val="en-US" w:eastAsia="zh-CN"/>
              </w:rPr>
              <w:t>施工期产生的固体废弃物主要来源于项目建设过程中建筑垃圾和施工人员生活垃圾等。</w:t>
            </w:r>
          </w:p>
          <w:p>
            <w:pPr>
              <w:keepNext w:val="0"/>
              <w:keepLines w:val="0"/>
              <w:widowControl/>
              <w:suppressLineNumbers w:val="0"/>
              <w:ind w:firstLine="480" w:firstLineChars="200"/>
              <w:jc w:val="left"/>
            </w:pPr>
            <w:r>
              <w:rPr>
                <w:rFonts w:hint="eastAsia"/>
                <w:lang w:val="en-US" w:eastAsia="zh-CN"/>
              </w:rPr>
              <w:t>（</w:t>
            </w:r>
            <w:r>
              <w:rPr>
                <w:rFonts w:hint="default"/>
                <w:lang w:val="en-US" w:eastAsia="zh-CN"/>
              </w:rPr>
              <w:t>5</w:t>
            </w:r>
            <w:r>
              <w:rPr>
                <w:rFonts w:hint="eastAsia"/>
                <w:lang w:val="en-US" w:eastAsia="zh-CN"/>
              </w:rPr>
              <w:t>）生态影响</w:t>
            </w:r>
          </w:p>
          <w:p>
            <w:pPr>
              <w:keepNext w:val="0"/>
              <w:keepLines w:val="0"/>
              <w:widowControl/>
              <w:suppressLineNumbers w:val="0"/>
              <w:ind w:firstLine="480" w:firstLineChars="200"/>
              <w:jc w:val="left"/>
              <w:rPr>
                <w:rFonts w:hint="eastAsia"/>
                <w:lang w:val="en-US" w:eastAsia="zh-CN"/>
              </w:rPr>
            </w:pPr>
            <w:r>
              <w:rPr>
                <w:rFonts w:hint="eastAsia"/>
                <w:lang w:val="en-US" w:eastAsia="zh-CN"/>
              </w:rPr>
              <w:t>根据现场调查，项目拟建场地不属于自然保护区、风景名胜区、饮用水源地、基本农田等敏感区域，无珍稀动植物。项目施工期主要的生态环境影响为场地平整及施工过程中地表扰动及土石方堆放造成的水土流失等。</w:t>
            </w:r>
          </w:p>
          <w:p>
            <w:pPr>
              <w:keepNext w:val="0"/>
              <w:keepLines w:val="0"/>
              <w:widowControl/>
              <w:suppressLineNumbers w:val="0"/>
              <w:ind w:firstLine="480" w:firstLineChars="200"/>
              <w:jc w:val="left"/>
            </w:pPr>
            <w:r>
              <w:rPr>
                <w:rFonts w:hint="eastAsia"/>
                <w:lang w:val="en-US" w:eastAsia="zh-CN"/>
              </w:rPr>
              <w:t>本项目施工人员主要为当地居民，施工期不设施工营地，不提供食宿，项目不设置预制场。本项目所用混凝土、沥青、灰土均外购，不设混凝土拌合场。</w:t>
            </w:r>
          </w:p>
          <w:p>
            <w:pPr>
              <w:pStyle w:val="3"/>
              <w:numPr>
                <w:ilvl w:val="0"/>
                <w:numId w:val="5"/>
              </w:numPr>
              <w:spacing w:after="0" w:line="360" w:lineRule="auto"/>
              <w:ind w:firstLine="482" w:firstLineChars="200"/>
              <w:rPr>
                <w:rFonts w:hint="eastAsia"/>
                <w:b/>
                <w:bCs/>
                <w:i w:val="0"/>
                <w:iCs w:val="0"/>
                <w:lang w:val="en-US" w:eastAsia="zh-CN"/>
              </w:rPr>
            </w:pPr>
            <w:r>
              <w:rPr>
                <w:rFonts w:hint="eastAsia"/>
                <w:b/>
                <w:bCs/>
                <w:i w:val="0"/>
                <w:iCs w:val="0"/>
                <w:lang w:val="en-US" w:eastAsia="zh-CN"/>
              </w:rPr>
              <w:t>运营期工艺流程及产污环节</w:t>
            </w:r>
          </w:p>
          <w:p>
            <w:pPr>
              <w:pStyle w:val="25"/>
              <w:bidi w:val="0"/>
              <w:jc w:val="both"/>
              <w:rPr>
                <w:rFonts w:hint="default"/>
                <w:lang w:val="en-US" w:eastAsia="zh-CN"/>
              </w:rPr>
            </w:pPr>
            <w:r>
              <w:rPr>
                <w:rFonts w:hint="eastAsia"/>
                <w:lang w:val="en-US" w:eastAsia="zh-CN"/>
              </w:rPr>
              <w:t>本项目建成后</w:t>
            </w:r>
            <w:r>
              <w:rPr>
                <w:rFonts w:hint="eastAsia" w:ascii="宋体" w:hAnsi="宋体" w:eastAsia="宋体" w:cs="宋体"/>
                <w:lang w:val="en-US" w:eastAsia="zh-CN"/>
              </w:rPr>
              <w:t>，</w:t>
            </w:r>
            <w:r>
              <w:rPr>
                <w:rFonts w:hint="eastAsia"/>
                <w:lang w:val="en-US" w:eastAsia="zh-CN"/>
              </w:rPr>
              <w:t>严格按照《报废机动车回收拆解企业技术规范》（GB22128-2019）、《报废机动车拆解企业污染控制技术规范》（HJ348-2022）中规定的拆解作业流程进行操作</w:t>
            </w:r>
            <w:r>
              <w:rPr>
                <w:rFonts w:hint="eastAsia" w:ascii="宋体" w:hAnsi="宋体" w:eastAsia="宋体" w:cs="宋体"/>
                <w:lang w:val="en-US" w:eastAsia="zh-CN"/>
              </w:rPr>
              <w:t>，</w:t>
            </w:r>
            <w:r>
              <w:rPr>
                <w:rFonts w:hint="eastAsia"/>
                <w:lang w:val="en-US" w:eastAsia="zh-CN"/>
              </w:rPr>
              <w:t>拆解流程主要包括入厂检查登记、报废机动车暂存、报废机动车预处理、拆解加工、暂存和管理</w:t>
            </w:r>
            <w:r>
              <w:rPr>
                <w:rFonts w:hint="eastAsia" w:ascii="宋体" w:hAnsi="宋体" w:eastAsia="宋体" w:cs="宋体"/>
                <w:lang w:val="en-US" w:eastAsia="zh-CN"/>
              </w:rPr>
              <w:t>。</w:t>
            </w:r>
            <w:r>
              <w:rPr>
                <w:rFonts w:hint="eastAsia"/>
                <w:lang w:val="en-US" w:eastAsia="zh-CN"/>
              </w:rPr>
              <w:t>不涉及报废机动车及拆解后各部件的清洗（含油零部件、油箱、油管等采用一次性抹布擦拭</w:t>
            </w:r>
            <w:r>
              <w:rPr>
                <w:rFonts w:hint="eastAsia" w:ascii="宋体" w:hAnsi="宋体" w:eastAsia="宋体" w:cs="宋体"/>
                <w:lang w:val="en-US" w:eastAsia="zh-CN"/>
              </w:rPr>
              <w:t>，</w:t>
            </w:r>
            <w:r>
              <w:rPr>
                <w:rFonts w:hint="eastAsia"/>
                <w:lang w:val="en-US" w:eastAsia="zh-CN"/>
              </w:rPr>
              <w:t>抹布不清洗</w:t>
            </w:r>
            <w:r>
              <w:rPr>
                <w:rFonts w:hint="eastAsia" w:ascii="宋体" w:hAnsi="宋体" w:eastAsia="宋体" w:cs="宋体"/>
                <w:lang w:val="en-US" w:eastAsia="zh-CN"/>
              </w:rPr>
              <w:t>，</w:t>
            </w:r>
            <w:r>
              <w:rPr>
                <w:rFonts w:hint="eastAsia"/>
                <w:lang w:val="en-US" w:eastAsia="zh-CN"/>
              </w:rPr>
              <w:t>作为危险废物交由资质单位处置）</w:t>
            </w:r>
            <w:r>
              <w:rPr>
                <w:rFonts w:hint="eastAsia" w:ascii="宋体" w:hAnsi="宋体" w:eastAsia="宋体" w:cs="宋体"/>
                <w:lang w:val="en-US" w:eastAsia="zh-CN"/>
              </w:rPr>
              <w:t>，</w:t>
            </w:r>
            <w:r>
              <w:rPr>
                <w:rFonts w:hint="eastAsia"/>
                <w:lang w:val="en-US" w:eastAsia="zh-CN"/>
              </w:rPr>
              <w:t>沾染少量油污、泥土的部件直接外售回收单位</w:t>
            </w:r>
            <w:r>
              <w:rPr>
                <w:rFonts w:hint="eastAsia" w:ascii="宋体" w:hAnsi="宋体" w:eastAsia="宋体" w:cs="宋体"/>
                <w:lang w:val="en-US" w:eastAsia="zh-CN"/>
              </w:rPr>
              <w:t>，</w:t>
            </w:r>
            <w:r>
              <w:rPr>
                <w:rFonts w:hint="eastAsia"/>
                <w:lang w:val="en-US" w:eastAsia="zh-CN"/>
              </w:rPr>
              <w:t>由回收单位根据需求进行清洗</w:t>
            </w:r>
            <w:r>
              <w:rPr>
                <w:rFonts w:hint="eastAsia" w:ascii="宋体" w:hAnsi="宋体" w:eastAsia="宋体" w:cs="宋体"/>
                <w:lang w:val="en-US" w:eastAsia="zh-CN"/>
              </w:rPr>
              <w:t>，</w:t>
            </w:r>
            <w:r>
              <w:rPr>
                <w:rFonts w:hint="eastAsia"/>
                <w:lang w:val="en-US" w:eastAsia="zh-CN"/>
              </w:rPr>
              <w:t>不涉及部件的深度处理及危险废物的处理</w:t>
            </w:r>
            <w:r>
              <w:rPr>
                <w:rFonts w:hint="eastAsia" w:ascii="宋体" w:hAnsi="宋体" w:eastAsia="宋体" w:cs="宋体"/>
                <w:lang w:val="en-US" w:eastAsia="zh-CN"/>
              </w:rPr>
              <w:t>。</w:t>
            </w:r>
          </w:p>
          <w:p>
            <w:pPr>
              <w:pStyle w:val="25"/>
              <w:bidi w:val="0"/>
              <w:jc w:val="both"/>
              <w:rPr>
                <w:rFonts w:hint="eastAsia"/>
                <w:lang w:val="en-US" w:eastAsia="zh-CN"/>
              </w:rPr>
            </w:pPr>
            <w:r>
              <w:rPr>
                <w:rFonts w:hint="eastAsia"/>
                <w:lang w:val="en-US" w:eastAsia="zh-CN"/>
              </w:rPr>
              <w:t xml:space="preserve">  项目燃油车拆解流程及产污环节见图2-3</w:t>
            </w:r>
            <w:r>
              <w:rPr>
                <w:rFonts w:hint="eastAsia" w:ascii="宋体" w:hAnsi="宋体" w:eastAsia="宋体" w:cs="宋体"/>
                <w:lang w:val="en-US" w:eastAsia="zh-CN"/>
              </w:rPr>
              <w:t>。</w:t>
            </w:r>
          </w:p>
          <w:p>
            <w:pPr>
              <w:numPr>
                <w:ilvl w:val="0"/>
                <w:numId w:val="0"/>
              </w:numPr>
              <w:rPr>
                <w:rFonts w:hint="default" w:eastAsia="宋体"/>
                <w:lang w:val="en-US" w:eastAsia="zh-CN"/>
              </w:rPr>
            </w:pPr>
            <w:r>
              <w:rPr>
                <w:rFonts w:hint="eastAsia"/>
                <w:lang w:val="en-US" w:eastAsia="zh-CN"/>
              </w:rPr>
              <w:drawing>
                <wp:inline distT="0" distB="0" distL="114300" distR="114300">
                  <wp:extent cx="5160645" cy="5708015"/>
                  <wp:effectExtent l="0" t="0" r="0" b="0"/>
                  <wp:docPr id="12" name="图片 12" descr="燃油车工艺流程及产污环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燃油车工艺流程及产污环节"/>
                          <pic:cNvPicPr>
                            <a:picLocks noChangeAspect="1"/>
                          </pic:cNvPicPr>
                        </pic:nvPicPr>
                        <pic:blipFill>
                          <a:blip r:embed="rId11"/>
                          <a:stretch>
                            <a:fillRect/>
                          </a:stretch>
                        </pic:blipFill>
                        <pic:spPr>
                          <a:xfrm>
                            <a:off x="0" y="0"/>
                            <a:ext cx="5160645" cy="5708015"/>
                          </a:xfrm>
                          <a:prstGeom prst="rect">
                            <a:avLst/>
                          </a:prstGeom>
                          <a:noFill/>
                          <a:ln>
                            <a:noFill/>
                          </a:ln>
                        </pic:spPr>
                      </pic:pic>
                    </a:graphicData>
                  </a:graphic>
                </wp:inline>
              </w:drawing>
            </w:r>
          </w:p>
          <w:p>
            <w:pPr>
              <w:pStyle w:val="27"/>
              <w:bidi w:val="0"/>
              <w:jc w:val="center"/>
              <w:rPr>
                <w:rFonts w:hint="default"/>
                <w:lang w:val="en-US" w:eastAsia="zh-CN"/>
              </w:rPr>
            </w:pPr>
            <w:r>
              <w:rPr>
                <w:rFonts w:hint="eastAsia"/>
                <w:lang w:val="en-US" w:eastAsia="zh-CN"/>
              </w:rPr>
              <w:t>图2-3 项目燃油车拆解流程及产污环节</w:t>
            </w:r>
          </w:p>
          <w:p>
            <w:pPr>
              <w:pStyle w:val="25"/>
              <w:bidi w:val="0"/>
              <w:jc w:val="both"/>
              <w:rPr>
                <w:rFonts w:hint="eastAsia"/>
                <w:lang w:val="en-US" w:eastAsia="zh-CN"/>
              </w:rPr>
            </w:pPr>
            <w:r>
              <w:rPr>
                <w:rFonts w:hint="eastAsia"/>
                <w:lang w:val="en-US" w:eastAsia="zh-CN"/>
              </w:rPr>
              <w:t>燃油车拆解流程简述：</w:t>
            </w:r>
          </w:p>
          <w:p>
            <w:pPr>
              <w:pStyle w:val="25"/>
              <w:bidi w:val="0"/>
              <w:jc w:val="both"/>
              <w:rPr>
                <w:rFonts w:hint="eastAsia"/>
                <w:lang w:val="en-US" w:eastAsia="zh-CN"/>
              </w:rPr>
            </w:pPr>
            <w:r>
              <w:rPr>
                <w:rFonts w:hint="eastAsia"/>
                <w:lang w:val="en-US" w:eastAsia="zh-CN"/>
              </w:rPr>
              <w:t>（1）检查和登记</w:t>
            </w:r>
          </w:p>
          <w:p>
            <w:pPr>
              <w:pStyle w:val="25"/>
              <w:bidi w:val="0"/>
              <w:jc w:val="both"/>
              <w:rPr>
                <w:rFonts w:hint="default"/>
                <w:lang w:val="en-US" w:eastAsia="zh-CN"/>
              </w:rPr>
            </w:pPr>
            <w:r>
              <w:rPr>
                <w:rFonts w:hint="eastAsia"/>
                <w:lang w:val="en-US" w:eastAsia="zh-CN"/>
              </w:rPr>
              <w:t>①报废汽车进厂后</w:t>
            </w:r>
            <w:r>
              <w:rPr>
                <w:rFonts w:hint="eastAsia" w:ascii="宋体" w:hAnsi="宋体" w:eastAsia="宋体" w:cs="宋体"/>
                <w:lang w:val="en-US" w:eastAsia="zh-CN"/>
              </w:rPr>
              <w:t>，</w:t>
            </w:r>
            <w:r>
              <w:rPr>
                <w:rFonts w:hint="eastAsia"/>
                <w:lang w:val="en-US" w:eastAsia="zh-CN"/>
              </w:rPr>
              <w:t>取出灭火器、三角锥、车载工具等</w:t>
            </w:r>
            <w:r>
              <w:rPr>
                <w:rFonts w:hint="eastAsia" w:ascii="宋体" w:hAnsi="宋体" w:eastAsia="宋体" w:cs="宋体"/>
                <w:lang w:val="en-US" w:eastAsia="zh-CN"/>
              </w:rPr>
              <w:t>，</w:t>
            </w:r>
            <w:r>
              <w:rPr>
                <w:rFonts w:hint="eastAsia"/>
                <w:lang w:val="en-US" w:eastAsia="zh-CN"/>
              </w:rPr>
              <w:t>人工检查报废汽车发动机、散热器、变速器、差速器、油箱等总成部件的密封破损情况</w:t>
            </w:r>
            <w:r>
              <w:rPr>
                <w:rFonts w:hint="eastAsia" w:ascii="宋体" w:hAnsi="宋体" w:eastAsia="宋体" w:cs="宋体"/>
                <w:lang w:val="en-US" w:eastAsia="zh-CN"/>
              </w:rPr>
              <w:t>。</w:t>
            </w:r>
            <w:r>
              <w:rPr>
                <w:rFonts w:hint="eastAsia"/>
                <w:lang w:val="en-US" w:eastAsia="zh-CN"/>
              </w:rPr>
              <w:t>对于出现有泄漏的总成部件</w:t>
            </w:r>
            <w:r>
              <w:rPr>
                <w:rFonts w:hint="eastAsia" w:ascii="宋体" w:hAnsi="宋体" w:eastAsia="宋体" w:cs="宋体"/>
                <w:lang w:val="en-US" w:eastAsia="zh-CN"/>
              </w:rPr>
              <w:t>，</w:t>
            </w:r>
            <w:r>
              <w:rPr>
                <w:rFonts w:hint="eastAsia"/>
                <w:lang w:val="en-US" w:eastAsia="zh-CN"/>
              </w:rPr>
              <w:t>采用相应的收集桶先收集泄漏的液体</w:t>
            </w:r>
            <w:r>
              <w:rPr>
                <w:rFonts w:hint="eastAsia" w:ascii="宋体" w:hAnsi="宋体" w:eastAsia="宋体" w:cs="宋体"/>
                <w:lang w:val="en-US" w:eastAsia="zh-CN"/>
              </w:rPr>
              <w:t>，</w:t>
            </w:r>
            <w:r>
              <w:rPr>
                <w:rFonts w:hint="eastAsia"/>
                <w:lang w:val="en-US" w:eastAsia="zh-CN"/>
              </w:rPr>
              <w:t>防止废液跑冒滴漏</w:t>
            </w:r>
            <w:r>
              <w:rPr>
                <w:rFonts w:hint="eastAsia" w:ascii="宋体" w:hAnsi="宋体" w:eastAsia="宋体" w:cs="宋体"/>
                <w:lang w:val="en-US" w:eastAsia="zh-CN"/>
              </w:rPr>
              <w:t>；</w:t>
            </w:r>
          </w:p>
          <w:p>
            <w:pPr>
              <w:pStyle w:val="25"/>
              <w:bidi w:val="0"/>
              <w:jc w:val="both"/>
              <w:rPr>
                <w:rFonts w:hint="default"/>
                <w:lang w:val="en-US" w:eastAsia="zh-CN"/>
              </w:rPr>
            </w:pPr>
            <w:r>
              <w:rPr>
                <w:rFonts w:hint="eastAsia"/>
                <w:lang w:val="en-US" w:eastAsia="zh-CN"/>
              </w:rPr>
              <w:t>②对报废燃油汽车进行登记注册并拍照</w:t>
            </w:r>
            <w:r>
              <w:rPr>
                <w:rFonts w:hint="eastAsia" w:ascii="宋体" w:hAnsi="宋体" w:eastAsia="宋体" w:cs="宋体"/>
                <w:lang w:val="en-US" w:eastAsia="zh-CN"/>
              </w:rPr>
              <w:t>，</w:t>
            </w:r>
            <w:r>
              <w:rPr>
                <w:rFonts w:hint="eastAsia"/>
                <w:lang w:val="en-US" w:eastAsia="zh-CN"/>
              </w:rPr>
              <w:t>将其主要信息录入电脑数据库并在车身醒目位置贴上显示信息的标签</w:t>
            </w:r>
            <w:r>
              <w:rPr>
                <w:rFonts w:hint="eastAsia" w:ascii="宋体" w:hAnsi="宋体" w:eastAsia="宋体" w:cs="宋体"/>
                <w:lang w:val="en-US" w:eastAsia="zh-CN"/>
              </w:rPr>
              <w:t>。</w:t>
            </w:r>
            <w:r>
              <w:rPr>
                <w:rFonts w:hint="eastAsia"/>
                <w:lang w:val="en-US" w:eastAsia="zh-CN"/>
              </w:rPr>
              <w:t>主要信息包括：报废汽车车主（单位或个人）名称、证件号码、牌照号码、车型、品牌型号、车身颜色、重量、发动机号、车辆识别代号（或车架号）、出厂年份、接收或收购日期</w:t>
            </w:r>
            <w:r>
              <w:rPr>
                <w:rFonts w:hint="eastAsia" w:ascii="宋体" w:hAnsi="宋体" w:eastAsia="宋体" w:cs="宋体"/>
                <w:lang w:val="en-US" w:eastAsia="zh-CN"/>
              </w:rPr>
              <w:t>；</w:t>
            </w:r>
          </w:p>
          <w:p>
            <w:pPr>
              <w:pStyle w:val="25"/>
              <w:bidi w:val="0"/>
              <w:jc w:val="both"/>
              <w:rPr>
                <w:rFonts w:hint="default"/>
                <w:lang w:val="en-US" w:eastAsia="zh-CN"/>
              </w:rPr>
            </w:pPr>
            <w:r>
              <w:rPr>
                <w:rFonts w:hint="eastAsia"/>
                <w:lang w:val="en-US" w:eastAsia="zh-CN"/>
              </w:rPr>
              <w:t>③将报废燃油汽车的机动车登记证书、号牌、行驶证交公安机关交通管理部门办理注销登记</w:t>
            </w:r>
            <w:r>
              <w:rPr>
                <w:rFonts w:hint="eastAsia" w:ascii="宋体" w:hAnsi="宋体" w:eastAsia="宋体" w:cs="宋体"/>
                <w:lang w:val="en-US" w:eastAsia="zh-CN"/>
              </w:rPr>
              <w:t>；</w:t>
            </w:r>
          </w:p>
          <w:p>
            <w:pPr>
              <w:pStyle w:val="25"/>
              <w:bidi w:val="0"/>
              <w:jc w:val="both"/>
              <w:rPr>
                <w:rFonts w:hint="default"/>
                <w:lang w:val="en-US" w:eastAsia="zh-CN"/>
              </w:rPr>
            </w:pPr>
            <w:r>
              <w:rPr>
                <w:rFonts w:hint="eastAsia"/>
                <w:lang w:val="en-US" w:eastAsia="zh-CN"/>
              </w:rPr>
              <w:t>④向报废燃油汽车车主发放《报废汽车回收证明》及有关注销书面材料</w:t>
            </w:r>
            <w:r>
              <w:rPr>
                <w:rFonts w:hint="eastAsia" w:ascii="宋体" w:hAnsi="宋体" w:eastAsia="宋体" w:cs="宋体"/>
                <w:lang w:val="en-US" w:eastAsia="zh-CN"/>
              </w:rPr>
              <w:t>。</w:t>
            </w:r>
          </w:p>
          <w:p>
            <w:pPr>
              <w:pStyle w:val="25"/>
              <w:bidi w:val="0"/>
              <w:jc w:val="both"/>
              <w:rPr>
                <w:rFonts w:hint="eastAsia"/>
                <w:lang w:val="en-US" w:eastAsia="zh-CN"/>
              </w:rPr>
            </w:pPr>
            <w:r>
              <w:rPr>
                <w:rFonts w:hint="eastAsia"/>
                <w:lang w:val="en-US" w:eastAsia="zh-CN"/>
              </w:rPr>
              <w:t>（2）报废汽车暂存</w:t>
            </w:r>
          </w:p>
          <w:p>
            <w:pPr>
              <w:pStyle w:val="25"/>
              <w:bidi w:val="0"/>
              <w:jc w:val="both"/>
              <w:rPr>
                <w:rFonts w:hint="default"/>
                <w:lang w:val="en-US" w:eastAsia="zh-CN"/>
              </w:rPr>
            </w:pPr>
            <w:r>
              <w:rPr>
                <w:rFonts w:hint="eastAsia"/>
                <w:lang w:val="en-US" w:eastAsia="zh-CN"/>
              </w:rPr>
              <w:t>①应避免侧放、倒放</w:t>
            </w:r>
            <w:r>
              <w:rPr>
                <w:rFonts w:hint="eastAsia" w:ascii="宋体" w:hAnsi="宋体" w:eastAsia="宋体" w:cs="宋体"/>
                <w:lang w:val="en-US" w:eastAsia="zh-CN"/>
              </w:rPr>
              <w:t>。</w:t>
            </w:r>
            <w:r>
              <w:rPr>
                <w:rFonts w:hint="eastAsia"/>
                <w:lang w:val="en-US" w:eastAsia="zh-CN"/>
              </w:rPr>
              <w:t>车辆如需叠放</w:t>
            </w:r>
            <w:r>
              <w:rPr>
                <w:rFonts w:hint="eastAsia" w:ascii="宋体" w:hAnsi="宋体" w:eastAsia="宋体" w:cs="宋体"/>
                <w:lang w:val="en-US" w:eastAsia="zh-CN"/>
              </w:rPr>
              <w:t>，</w:t>
            </w:r>
            <w:r>
              <w:rPr>
                <w:rFonts w:hint="eastAsia"/>
                <w:lang w:val="en-US" w:eastAsia="zh-CN"/>
              </w:rPr>
              <w:t>应使上下车辆的重心尽量重合</w:t>
            </w:r>
            <w:r>
              <w:rPr>
                <w:rFonts w:hint="eastAsia" w:ascii="宋体" w:hAnsi="宋体" w:eastAsia="宋体" w:cs="宋体"/>
                <w:lang w:val="en-US" w:eastAsia="zh-CN"/>
              </w:rPr>
              <w:t>，</w:t>
            </w:r>
            <w:r>
              <w:rPr>
                <w:rFonts w:hint="eastAsia"/>
                <w:lang w:val="en-US" w:eastAsia="zh-CN"/>
              </w:rPr>
              <w:t>且不应超过3层</w:t>
            </w:r>
            <w:r>
              <w:rPr>
                <w:rFonts w:hint="eastAsia" w:ascii="宋体" w:hAnsi="宋体" w:eastAsia="宋体" w:cs="宋体"/>
                <w:lang w:val="en-US" w:eastAsia="zh-CN"/>
              </w:rPr>
              <w:t>。</w:t>
            </w:r>
            <w:r>
              <w:rPr>
                <w:rFonts w:hint="eastAsia"/>
                <w:lang w:val="en-US" w:eastAsia="zh-CN"/>
              </w:rPr>
              <w:t>2层和3层叠放时</w:t>
            </w:r>
            <w:r>
              <w:rPr>
                <w:rFonts w:hint="eastAsia" w:ascii="宋体" w:hAnsi="宋体" w:eastAsia="宋体" w:cs="宋体"/>
                <w:lang w:val="en-US" w:eastAsia="zh-CN"/>
              </w:rPr>
              <w:t>，</w:t>
            </w:r>
            <w:r>
              <w:rPr>
                <w:rFonts w:hint="eastAsia"/>
                <w:lang w:val="en-US" w:eastAsia="zh-CN"/>
              </w:rPr>
              <w:t>高度分别不应超过3m和4.5m</w:t>
            </w:r>
            <w:r>
              <w:rPr>
                <w:rFonts w:hint="eastAsia" w:ascii="宋体" w:hAnsi="宋体" w:eastAsia="宋体" w:cs="宋体"/>
                <w:lang w:val="en-US" w:eastAsia="zh-CN"/>
              </w:rPr>
              <w:t>。</w:t>
            </w:r>
            <w:r>
              <w:rPr>
                <w:rFonts w:hint="eastAsia"/>
                <w:lang w:val="en-US" w:eastAsia="zh-CN"/>
              </w:rPr>
              <w:t>对于大型车辆应单层平置</w:t>
            </w:r>
            <w:r>
              <w:rPr>
                <w:rFonts w:hint="eastAsia" w:ascii="宋体" w:hAnsi="宋体" w:eastAsia="宋体" w:cs="宋体"/>
                <w:lang w:val="en-US" w:eastAsia="zh-CN"/>
              </w:rPr>
              <w:t>。</w:t>
            </w:r>
            <w:r>
              <w:rPr>
                <w:rFonts w:hint="eastAsia"/>
                <w:lang w:val="en-US" w:eastAsia="zh-CN"/>
              </w:rPr>
              <w:t>采用框架结构存放的</w:t>
            </w:r>
            <w:r>
              <w:rPr>
                <w:rFonts w:hint="eastAsia" w:ascii="宋体" w:hAnsi="宋体" w:eastAsia="宋体" w:cs="宋体"/>
                <w:lang w:val="en-US" w:eastAsia="zh-CN"/>
              </w:rPr>
              <w:t>，</w:t>
            </w:r>
            <w:r>
              <w:rPr>
                <w:rFonts w:hint="eastAsia"/>
                <w:lang w:val="en-US" w:eastAsia="zh-CN"/>
              </w:rPr>
              <w:t>要保证安全性</w:t>
            </w:r>
            <w:r>
              <w:rPr>
                <w:rFonts w:hint="eastAsia" w:ascii="宋体" w:hAnsi="宋体" w:eastAsia="宋体" w:cs="宋体"/>
                <w:lang w:val="en-US" w:eastAsia="zh-CN"/>
              </w:rPr>
              <w:t>，</w:t>
            </w:r>
            <w:r>
              <w:rPr>
                <w:rFonts w:hint="eastAsia"/>
                <w:lang w:val="en-US" w:eastAsia="zh-CN"/>
              </w:rPr>
              <w:t>并易于装卸</w:t>
            </w:r>
            <w:r>
              <w:rPr>
                <w:rFonts w:hint="eastAsia" w:ascii="宋体" w:hAnsi="宋体" w:eastAsia="宋体" w:cs="宋体"/>
                <w:lang w:val="en-US" w:eastAsia="zh-CN"/>
              </w:rPr>
              <w:t>；</w:t>
            </w:r>
          </w:p>
          <w:p>
            <w:pPr>
              <w:pStyle w:val="25"/>
              <w:bidi w:val="0"/>
              <w:jc w:val="both"/>
              <w:rPr>
                <w:rFonts w:hint="eastAsia"/>
                <w:lang w:val="en-US" w:eastAsia="zh-CN"/>
              </w:rPr>
            </w:pPr>
            <w:r>
              <w:rPr>
                <w:rFonts w:hint="eastAsia"/>
                <w:lang w:val="en-US" w:eastAsia="zh-CN"/>
              </w:rPr>
              <w:t>②与其它废弃物分开暂存</w:t>
            </w:r>
            <w:r>
              <w:rPr>
                <w:rFonts w:hint="eastAsia" w:ascii="宋体" w:hAnsi="宋体" w:eastAsia="宋体" w:cs="宋体"/>
                <w:lang w:val="en-US" w:eastAsia="zh-CN"/>
              </w:rPr>
              <w:t>；</w:t>
            </w:r>
          </w:p>
          <w:p>
            <w:pPr>
              <w:pStyle w:val="25"/>
              <w:bidi w:val="0"/>
              <w:jc w:val="both"/>
              <w:rPr>
                <w:rFonts w:hint="default"/>
                <w:lang w:val="en-US" w:eastAsia="zh-CN"/>
              </w:rPr>
            </w:pPr>
            <w:r>
              <w:rPr>
                <w:rFonts w:hint="eastAsia"/>
                <w:lang w:val="en-US" w:eastAsia="zh-CN"/>
              </w:rPr>
              <w:t>③报废燃油汽车进厂后</w:t>
            </w:r>
            <w:r>
              <w:rPr>
                <w:rFonts w:hint="eastAsia" w:ascii="宋体" w:hAnsi="宋体" w:eastAsia="宋体" w:cs="宋体"/>
                <w:lang w:val="en-US" w:eastAsia="zh-CN"/>
              </w:rPr>
              <w:t>，</w:t>
            </w:r>
            <w:r>
              <w:rPr>
                <w:rFonts w:hint="eastAsia"/>
                <w:lang w:val="en-US" w:eastAsia="zh-CN"/>
              </w:rPr>
              <w:t>人工检查报废汽车油液泄漏情况</w:t>
            </w:r>
            <w:r>
              <w:rPr>
                <w:rFonts w:hint="eastAsia" w:ascii="宋体" w:hAnsi="宋体" w:eastAsia="宋体" w:cs="宋体"/>
                <w:lang w:val="en-US" w:eastAsia="zh-CN"/>
              </w:rPr>
              <w:t>，</w:t>
            </w:r>
            <w:r>
              <w:rPr>
                <w:rFonts w:hint="eastAsia"/>
                <w:lang w:val="en-US" w:eastAsia="zh-CN"/>
              </w:rPr>
              <w:t>如进厂的报废汽车有漏油液现象</w:t>
            </w:r>
            <w:r>
              <w:rPr>
                <w:rFonts w:hint="eastAsia" w:ascii="宋体" w:hAnsi="宋体" w:eastAsia="宋体" w:cs="宋体"/>
                <w:lang w:val="en-US" w:eastAsia="zh-CN"/>
              </w:rPr>
              <w:t>，</w:t>
            </w:r>
            <w:r>
              <w:rPr>
                <w:rFonts w:hint="eastAsia"/>
                <w:lang w:val="en-US" w:eastAsia="zh-CN"/>
              </w:rPr>
              <w:t>立即将报废汽车转移至拆解车间预处理区</w:t>
            </w:r>
            <w:r>
              <w:rPr>
                <w:rFonts w:hint="eastAsia" w:ascii="宋体" w:hAnsi="宋体" w:eastAsia="宋体" w:cs="宋体"/>
                <w:lang w:val="en-US" w:eastAsia="zh-CN"/>
              </w:rPr>
              <w:t>，</w:t>
            </w:r>
            <w:r>
              <w:rPr>
                <w:rFonts w:hint="eastAsia"/>
                <w:lang w:val="en-US" w:eastAsia="zh-CN"/>
              </w:rPr>
              <w:t>使用废油抽取设备和冷媒回收设备对废油液进行回收</w:t>
            </w:r>
            <w:r>
              <w:rPr>
                <w:rFonts w:hint="eastAsia" w:ascii="宋体" w:hAnsi="宋体" w:eastAsia="宋体" w:cs="宋体"/>
                <w:lang w:val="en-US" w:eastAsia="zh-CN"/>
              </w:rPr>
              <w:t>，</w:t>
            </w:r>
            <w:r>
              <w:rPr>
                <w:rFonts w:hint="eastAsia"/>
                <w:lang w:val="en-US" w:eastAsia="zh-CN"/>
              </w:rPr>
              <w:t>废油液回收完毕后立即转移至拆解区安排拆解</w:t>
            </w:r>
            <w:r>
              <w:rPr>
                <w:rFonts w:hint="eastAsia" w:ascii="宋体" w:hAnsi="宋体" w:eastAsia="宋体" w:cs="宋体"/>
                <w:lang w:val="en-US" w:eastAsia="zh-CN"/>
              </w:rPr>
              <w:t>，</w:t>
            </w:r>
            <w:r>
              <w:rPr>
                <w:rFonts w:hint="eastAsia"/>
                <w:lang w:val="en-US" w:eastAsia="zh-CN"/>
              </w:rPr>
              <w:t>不得在室外贮存</w:t>
            </w:r>
            <w:r>
              <w:rPr>
                <w:rFonts w:hint="eastAsia" w:ascii="宋体" w:hAnsi="宋体" w:eastAsia="宋体" w:cs="宋体"/>
                <w:lang w:val="en-US" w:eastAsia="zh-CN"/>
              </w:rPr>
              <w:t>，</w:t>
            </w:r>
            <w:r>
              <w:rPr>
                <w:rFonts w:hint="eastAsia"/>
                <w:lang w:val="en-US" w:eastAsia="zh-CN"/>
              </w:rPr>
              <w:t>以此减少废油液跑、冒、滴、漏</w:t>
            </w:r>
            <w:r>
              <w:rPr>
                <w:rFonts w:hint="eastAsia" w:ascii="宋体" w:hAnsi="宋体" w:eastAsia="宋体" w:cs="宋体"/>
                <w:lang w:val="en-US" w:eastAsia="zh-CN"/>
              </w:rPr>
              <w:t>。</w:t>
            </w:r>
            <w:r>
              <w:rPr>
                <w:rFonts w:hint="eastAsia"/>
                <w:lang w:val="en-US" w:eastAsia="zh-CN"/>
              </w:rPr>
              <w:t>具体操作流程与正常报废燃油汽车拆解工艺一致</w:t>
            </w:r>
            <w:r>
              <w:rPr>
                <w:rFonts w:hint="eastAsia" w:ascii="宋体" w:hAnsi="宋体" w:eastAsia="宋体" w:cs="宋体"/>
                <w:lang w:val="en-US" w:eastAsia="zh-CN"/>
              </w:rPr>
              <w:t>；</w:t>
            </w:r>
          </w:p>
          <w:p>
            <w:pPr>
              <w:pStyle w:val="25"/>
              <w:bidi w:val="0"/>
              <w:jc w:val="both"/>
              <w:rPr>
                <w:rFonts w:hint="default"/>
                <w:lang w:val="en-US" w:eastAsia="zh-CN"/>
              </w:rPr>
            </w:pPr>
            <w:r>
              <w:rPr>
                <w:rFonts w:hint="eastAsia"/>
                <w:lang w:val="en-US" w:eastAsia="zh-CN"/>
              </w:rPr>
              <w:t>④报废燃油机动车堆放区地面进行防渗处理</w:t>
            </w:r>
            <w:r>
              <w:rPr>
                <w:rFonts w:hint="eastAsia" w:ascii="宋体" w:hAnsi="宋体" w:eastAsia="宋体" w:cs="宋体"/>
                <w:lang w:val="en-US" w:eastAsia="zh-CN"/>
              </w:rPr>
              <w:t>，</w:t>
            </w:r>
            <w:r>
              <w:rPr>
                <w:rFonts w:hint="eastAsia"/>
                <w:lang w:val="en-US" w:eastAsia="zh-CN"/>
              </w:rPr>
              <w:t>并设置彩钢瓦顶棚</w:t>
            </w:r>
            <w:r>
              <w:rPr>
                <w:rFonts w:hint="eastAsia" w:ascii="宋体" w:hAnsi="宋体" w:eastAsia="宋体" w:cs="宋体"/>
                <w:lang w:val="en-US" w:eastAsia="zh-CN"/>
              </w:rPr>
              <w:t>，</w:t>
            </w:r>
            <w:r>
              <w:rPr>
                <w:rFonts w:hint="eastAsia"/>
                <w:lang w:val="en-US" w:eastAsia="zh-CN"/>
              </w:rPr>
              <w:t>防止雨水淋溶</w:t>
            </w:r>
            <w:r>
              <w:rPr>
                <w:rFonts w:hint="eastAsia" w:ascii="宋体" w:hAnsi="宋体" w:eastAsia="宋体" w:cs="宋体"/>
                <w:lang w:val="en-US" w:eastAsia="zh-CN"/>
              </w:rPr>
              <w:t>。</w:t>
            </w:r>
          </w:p>
          <w:p>
            <w:pPr>
              <w:pStyle w:val="25"/>
              <w:bidi w:val="0"/>
              <w:jc w:val="both"/>
              <w:rPr>
                <w:rFonts w:hint="eastAsia"/>
                <w:lang w:val="en-US" w:eastAsia="zh-CN"/>
              </w:rPr>
            </w:pPr>
            <w:r>
              <w:rPr>
                <w:rFonts w:hint="eastAsia"/>
                <w:lang w:val="en-US" w:eastAsia="zh-CN"/>
              </w:rPr>
              <w:t>（3）拆解预处理</w:t>
            </w:r>
          </w:p>
          <w:p>
            <w:pPr>
              <w:pStyle w:val="25"/>
              <w:bidi w:val="0"/>
              <w:jc w:val="both"/>
              <w:rPr>
                <w:rFonts w:hint="eastAsia"/>
                <w:lang w:val="en-US" w:eastAsia="zh-CN"/>
              </w:rPr>
            </w:pPr>
            <w:r>
              <w:rPr>
                <w:rFonts w:hint="eastAsia"/>
                <w:lang w:val="en-US" w:eastAsia="zh-CN"/>
              </w:rPr>
              <w:t>在进行报废汽车总体拆卸前</w:t>
            </w:r>
            <w:r>
              <w:rPr>
                <w:rFonts w:hint="eastAsia" w:ascii="宋体" w:hAnsi="宋体" w:eastAsia="宋体" w:cs="宋体"/>
                <w:lang w:val="en-US" w:eastAsia="zh-CN"/>
              </w:rPr>
              <w:t>，</w:t>
            </w:r>
            <w:r>
              <w:rPr>
                <w:rFonts w:hint="eastAsia"/>
                <w:lang w:val="en-US" w:eastAsia="zh-CN"/>
              </w:rPr>
              <w:t>应对报废汽车进行必要的预处理</w:t>
            </w:r>
            <w:r>
              <w:rPr>
                <w:rFonts w:hint="eastAsia" w:ascii="宋体" w:hAnsi="宋体" w:eastAsia="宋体" w:cs="宋体"/>
                <w:lang w:val="en-US" w:eastAsia="zh-CN"/>
              </w:rPr>
              <w:t>，</w:t>
            </w:r>
            <w:r>
              <w:rPr>
                <w:rFonts w:hint="eastAsia"/>
                <w:lang w:val="en-US" w:eastAsia="zh-CN"/>
              </w:rPr>
              <w:t>根据车辆的不同属性及大小</w:t>
            </w:r>
            <w:r>
              <w:rPr>
                <w:rFonts w:hint="eastAsia" w:ascii="宋体" w:hAnsi="宋体" w:eastAsia="宋体" w:cs="宋体"/>
                <w:lang w:val="en-US" w:eastAsia="zh-CN"/>
              </w:rPr>
              <w:t>，</w:t>
            </w:r>
            <w:r>
              <w:rPr>
                <w:rFonts w:hint="eastAsia"/>
                <w:lang w:val="en-US" w:eastAsia="zh-CN"/>
              </w:rPr>
              <w:t>送至汽车拆解厂房预处理区</w:t>
            </w:r>
            <w:r>
              <w:rPr>
                <w:rFonts w:hint="eastAsia" w:ascii="宋体" w:hAnsi="宋体" w:eastAsia="宋体" w:cs="宋体"/>
                <w:lang w:val="en-US" w:eastAsia="zh-CN"/>
              </w:rPr>
              <w:t>。</w:t>
            </w:r>
            <w:r>
              <w:rPr>
                <w:rFonts w:hint="eastAsia"/>
                <w:lang w:val="en-US" w:eastAsia="zh-CN"/>
              </w:rPr>
              <w:t>拆解工作按照车辆生产企业所提供的拆解信息或拆解手册进行合理拆解</w:t>
            </w:r>
            <w:r>
              <w:rPr>
                <w:rFonts w:hint="eastAsia" w:ascii="宋体" w:hAnsi="宋体" w:eastAsia="宋体" w:cs="宋体"/>
                <w:lang w:val="en-US" w:eastAsia="zh-CN"/>
              </w:rPr>
              <w:t>，</w:t>
            </w:r>
            <w:r>
              <w:rPr>
                <w:rFonts w:hint="eastAsia"/>
                <w:lang w:val="en-US" w:eastAsia="zh-CN"/>
              </w:rPr>
              <w:t>没有拆解手册的</w:t>
            </w:r>
            <w:r>
              <w:rPr>
                <w:rFonts w:hint="eastAsia" w:ascii="宋体" w:hAnsi="宋体" w:eastAsia="宋体" w:cs="宋体"/>
                <w:lang w:val="en-US" w:eastAsia="zh-CN"/>
              </w:rPr>
              <w:t>，</w:t>
            </w:r>
            <w:r>
              <w:rPr>
                <w:rFonts w:hint="eastAsia"/>
                <w:lang w:val="en-US" w:eastAsia="zh-CN"/>
              </w:rPr>
              <w:t>参照同类其他车辆的规定拆解</w:t>
            </w:r>
            <w:r>
              <w:rPr>
                <w:rFonts w:hint="eastAsia" w:ascii="宋体" w:hAnsi="宋体" w:eastAsia="宋体" w:cs="宋体"/>
                <w:lang w:val="en-US" w:eastAsia="zh-CN"/>
              </w:rPr>
              <w:t>。</w:t>
            </w:r>
          </w:p>
          <w:p>
            <w:pPr>
              <w:pStyle w:val="25"/>
              <w:bidi w:val="0"/>
              <w:jc w:val="both"/>
              <w:rPr>
                <w:rFonts w:hint="eastAsia"/>
                <w:lang w:val="en-US" w:eastAsia="zh-CN"/>
              </w:rPr>
            </w:pPr>
            <w:r>
              <w:rPr>
                <w:rFonts w:hint="eastAsia"/>
                <w:lang w:val="en-US" w:eastAsia="zh-CN"/>
              </w:rPr>
              <w:t>①拆除蓄电池</w:t>
            </w:r>
          </w:p>
          <w:p>
            <w:pPr>
              <w:pStyle w:val="25"/>
              <w:bidi w:val="0"/>
              <w:jc w:val="both"/>
              <w:rPr>
                <w:rFonts w:hint="default"/>
                <w:lang w:val="en-US" w:eastAsia="zh-CN"/>
              </w:rPr>
            </w:pPr>
            <w:r>
              <w:rPr>
                <w:rFonts w:hint="default"/>
                <w:lang w:val="en-US" w:eastAsia="zh-CN"/>
              </w:rPr>
              <w:t>关闭电气总开关</w:t>
            </w:r>
            <w:r>
              <w:rPr>
                <w:rFonts w:hint="eastAsia" w:ascii="宋体" w:hAnsi="宋体" w:eastAsia="宋体" w:cs="宋体"/>
                <w:lang w:val="en-US" w:eastAsia="zh-CN"/>
              </w:rPr>
              <w:t>，</w:t>
            </w:r>
            <w:r>
              <w:rPr>
                <w:rFonts w:hint="default"/>
                <w:lang w:val="en-US" w:eastAsia="zh-CN"/>
              </w:rPr>
              <w:t>人工拆除蓄电池和蓄电池连接线</w:t>
            </w:r>
            <w:r>
              <w:rPr>
                <w:rFonts w:hint="eastAsia" w:ascii="宋体" w:hAnsi="宋体" w:eastAsia="宋体" w:cs="宋体"/>
                <w:lang w:val="en-US" w:eastAsia="zh-CN"/>
              </w:rPr>
              <w:t>，</w:t>
            </w:r>
            <w:r>
              <w:rPr>
                <w:rFonts w:hint="default"/>
                <w:lang w:val="en-US" w:eastAsia="zh-CN"/>
              </w:rPr>
              <w:t>将整个蓄电池存放至耐酸碱塑料容器中</w:t>
            </w:r>
            <w:r>
              <w:rPr>
                <w:rFonts w:hint="eastAsia" w:ascii="宋体" w:hAnsi="宋体" w:eastAsia="宋体" w:cs="宋体"/>
                <w:lang w:val="en-US" w:eastAsia="zh-CN"/>
              </w:rPr>
              <w:t>，</w:t>
            </w:r>
            <w:r>
              <w:rPr>
                <w:rFonts w:hint="default"/>
                <w:lang w:val="en-US" w:eastAsia="zh-CN"/>
              </w:rPr>
              <w:t>再送至</w:t>
            </w:r>
            <w:r>
              <w:rPr>
                <w:rFonts w:hint="eastAsia"/>
                <w:lang w:val="en-US" w:eastAsia="zh-CN"/>
              </w:rPr>
              <w:t>危废</w:t>
            </w:r>
            <w:r>
              <w:rPr>
                <w:rFonts w:hint="default"/>
                <w:lang w:val="en-US" w:eastAsia="zh-CN"/>
              </w:rPr>
              <w:t>暂存间暂存</w:t>
            </w:r>
            <w:r>
              <w:rPr>
                <w:rFonts w:hint="eastAsia" w:ascii="宋体" w:hAnsi="宋体" w:eastAsia="宋体" w:cs="宋体"/>
                <w:lang w:val="en-US" w:eastAsia="zh-CN"/>
              </w:rPr>
              <w:t>。</w:t>
            </w:r>
            <w:r>
              <w:rPr>
                <w:rFonts w:hint="default"/>
                <w:lang w:val="en-US" w:eastAsia="zh-CN"/>
              </w:rPr>
              <w:t>拆除后的蓄电池不再进行进一步拆解</w:t>
            </w:r>
            <w:r>
              <w:rPr>
                <w:rFonts w:hint="eastAsia" w:ascii="宋体" w:hAnsi="宋体" w:eastAsia="宋体" w:cs="宋体"/>
                <w:lang w:val="en-US" w:eastAsia="zh-CN"/>
              </w:rPr>
              <w:t>，</w:t>
            </w:r>
            <w:r>
              <w:rPr>
                <w:rFonts w:hint="default"/>
                <w:lang w:val="en-US" w:eastAsia="zh-CN"/>
              </w:rPr>
              <w:t>直接交资质单位处置</w:t>
            </w:r>
            <w:r>
              <w:rPr>
                <w:rFonts w:hint="eastAsia" w:ascii="宋体" w:hAnsi="宋体" w:eastAsia="宋体" w:cs="宋体"/>
                <w:lang w:val="en-US" w:eastAsia="zh-CN"/>
              </w:rPr>
              <w:t>。</w:t>
            </w:r>
          </w:p>
          <w:p>
            <w:pPr>
              <w:pStyle w:val="25"/>
              <w:bidi w:val="0"/>
              <w:jc w:val="both"/>
              <w:rPr>
                <w:rFonts w:hint="eastAsia"/>
                <w:lang w:val="en-US" w:eastAsia="zh-CN"/>
              </w:rPr>
            </w:pPr>
            <w:r>
              <w:rPr>
                <w:rFonts w:hint="eastAsia"/>
                <w:lang w:val="en-US" w:eastAsia="zh-CN"/>
              </w:rPr>
              <w:t>②拆除、引爆安全气囊</w:t>
            </w:r>
          </w:p>
          <w:p>
            <w:pPr>
              <w:pStyle w:val="25"/>
              <w:bidi w:val="0"/>
              <w:jc w:val="both"/>
              <w:rPr>
                <w:rFonts w:hint="default"/>
                <w:lang w:val="en-US" w:eastAsia="zh-CN"/>
              </w:rPr>
            </w:pPr>
            <w:r>
              <w:rPr>
                <w:rFonts w:hint="default"/>
                <w:lang w:val="en-US" w:eastAsia="zh-CN"/>
              </w:rPr>
              <w:t>项目单独设置安全气囊引爆室</w:t>
            </w:r>
            <w:r>
              <w:rPr>
                <w:rFonts w:hint="eastAsia" w:ascii="宋体" w:hAnsi="宋体" w:eastAsia="宋体" w:cs="宋体"/>
                <w:lang w:val="en-US" w:eastAsia="zh-CN"/>
              </w:rPr>
              <w:t>，</w:t>
            </w:r>
            <w:r>
              <w:rPr>
                <w:rFonts w:hint="default"/>
                <w:lang w:val="en-US" w:eastAsia="zh-CN"/>
              </w:rPr>
              <w:t>设有1台安全气囊引爆</w:t>
            </w:r>
            <w:r>
              <w:rPr>
                <w:rFonts w:hint="eastAsia"/>
                <w:lang w:val="en-US" w:eastAsia="zh-CN"/>
              </w:rPr>
              <w:t>装置</w:t>
            </w:r>
            <w:r>
              <w:rPr>
                <w:rFonts w:hint="default"/>
                <w:lang w:val="en-US" w:eastAsia="zh-CN"/>
              </w:rPr>
              <w:t>（电引爆</w:t>
            </w:r>
            <w:r>
              <w:rPr>
                <w:rFonts w:hint="eastAsia" w:ascii="宋体" w:hAnsi="宋体" w:eastAsia="宋体" w:cs="宋体"/>
                <w:lang w:val="en-US" w:eastAsia="zh-CN"/>
              </w:rPr>
              <w:t>，</w:t>
            </w:r>
            <w:r>
              <w:rPr>
                <w:rFonts w:hint="default"/>
                <w:lang w:val="en-US" w:eastAsia="zh-CN"/>
              </w:rPr>
              <w:t>引爆人员在引爆室外控制电源）</w:t>
            </w:r>
            <w:r>
              <w:rPr>
                <w:rFonts w:hint="eastAsia" w:ascii="宋体" w:hAnsi="宋体" w:eastAsia="宋体" w:cs="宋体"/>
                <w:lang w:val="en-US" w:eastAsia="zh-CN"/>
              </w:rPr>
              <w:t>。</w:t>
            </w:r>
            <w:r>
              <w:rPr>
                <w:rFonts w:hint="default"/>
                <w:lang w:val="en-US" w:eastAsia="zh-CN"/>
              </w:rPr>
              <w:t>人工拆除安全气囊后</w:t>
            </w:r>
            <w:r>
              <w:rPr>
                <w:rFonts w:hint="eastAsia" w:ascii="宋体" w:hAnsi="宋体" w:eastAsia="宋体" w:cs="宋体"/>
                <w:lang w:val="en-US" w:eastAsia="zh-CN"/>
              </w:rPr>
              <w:t>，</w:t>
            </w:r>
            <w:r>
              <w:rPr>
                <w:rFonts w:hint="default"/>
                <w:lang w:val="en-US" w:eastAsia="zh-CN"/>
              </w:rPr>
              <w:t>项目不对未引爆的安全气囊进行暂存</w:t>
            </w:r>
            <w:r>
              <w:rPr>
                <w:rFonts w:hint="eastAsia" w:ascii="宋体" w:hAnsi="宋体" w:eastAsia="宋体" w:cs="宋体"/>
                <w:lang w:val="en-US" w:eastAsia="zh-CN"/>
              </w:rPr>
              <w:t>，</w:t>
            </w:r>
            <w:r>
              <w:rPr>
                <w:rFonts w:hint="default"/>
                <w:lang w:val="en-US" w:eastAsia="zh-CN"/>
              </w:rPr>
              <w:t>拆除的安全气囊立即转移至安全气囊引爆室进行引爆</w:t>
            </w:r>
            <w:r>
              <w:rPr>
                <w:rFonts w:hint="eastAsia" w:ascii="宋体" w:hAnsi="宋体" w:eastAsia="宋体" w:cs="宋体"/>
                <w:lang w:val="en-US" w:eastAsia="zh-CN"/>
              </w:rPr>
              <w:t>，</w:t>
            </w:r>
            <w:r>
              <w:rPr>
                <w:rFonts w:hint="default"/>
                <w:lang w:val="en-US" w:eastAsia="zh-CN"/>
              </w:rPr>
              <w:t>引爆后的安全气囊不再具有风险性</w:t>
            </w:r>
            <w:r>
              <w:rPr>
                <w:rFonts w:hint="eastAsia" w:ascii="宋体" w:hAnsi="宋体" w:eastAsia="宋体" w:cs="宋体"/>
                <w:lang w:val="en-US" w:eastAsia="zh-CN"/>
              </w:rPr>
              <w:t>，</w:t>
            </w:r>
            <w:r>
              <w:rPr>
                <w:rFonts w:hint="default"/>
                <w:lang w:val="en-US" w:eastAsia="zh-CN"/>
              </w:rPr>
              <w:t>作为一般固废</w:t>
            </w:r>
            <w:r>
              <w:rPr>
                <w:rFonts w:hint="eastAsia" w:ascii="宋体" w:hAnsi="宋体" w:eastAsia="宋体" w:cs="宋体"/>
                <w:lang w:val="en-US" w:eastAsia="zh-CN"/>
              </w:rPr>
              <w:t>，</w:t>
            </w:r>
            <w:r>
              <w:rPr>
                <w:rFonts w:hint="default"/>
                <w:lang w:val="en-US" w:eastAsia="zh-CN"/>
              </w:rPr>
              <w:t>经收集后由环卫部门统一清运处置</w:t>
            </w:r>
            <w:r>
              <w:rPr>
                <w:rFonts w:hint="eastAsia" w:ascii="宋体" w:hAnsi="宋体" w:eastAsia="宋体" w:cs="宋体"/>
                <w:lang w:val="en-US" w:eastAsia="zh-CN"/>
              </w:rPr>
              <w:t>。</w:t>
            </w:r>
          </w:p>
          <w:p>
            <w:pPr>
              <w:pStyle w:val="25"/>
              <w:bidi w:val="0"/>
              <w:jc w:val="both"/>
              <w:rPr>
                <w:rFonts w:hint="default"/>
                <w:lang w:val="en-US" w:eastAsia="zh-CN"/>
              </w:rPr>
            </w:pPr>
            <w:r>
              <w:rPr>
                <w:rFonts w:hint="default"/>
                <w:lang w:val="en-US" w:eastAsia="zh-CN"/>
              </w:rPr>
              <w:t>安全气囊引爆工艺说明：安全气囊内主要化学成分包括叠氮化钠、硝酸钾和二氧化硅</w:t>
            </w:r>
            <w:r>
              <w:rPr>
                <w:rFonts w:hint="eastAsia" w:ascii="宋体" w:hAnsi="宋体" w:eastAsia="宋体" w:cs="宋体"/>
                <w:lang w:val="en-US" w:eastAsia="zh-CN"/>
              </w:rPr>
              <w:t>。</w:t>
            </w:r>
            <w:r>
              <w:rPr>
                <w:rFonts w:hint="default"/>
                <w:lang w:val="en-US" w:eastAsia="zh-CN"/>
              </w:rPr>
              <w:t>引爆时</w:t>
            </w:r>
            <w:r>
              <w:rPr>
                <w:rFonts w:hint="eastAsia" w:ascii="宋体" w:hAnsi="宋体" w:eastAsia="宋体" w:cs="宋体"/>
                <w:lang w:val="en-US" w:eastAsia="zh-CN"/>
              </w:rPr>
              <w:t>，</w:t>
            </w:r>
            <w:r>
              <w:rPr>
                <w:rFonts w:hint="default"/>
                <w:lang w:val="en-US" w:eastAsia="zh-CN"/>
              </w:rPr>
              <w:t>安全气囊内的叠氮化钠发生反应生成大量的氮气和钠</w:t>
            </w:r>
            <w:r>
              <w:rPr>
                <w:rFonts w:hint="eastAsia" w:ascii="宋体" w:hAnsi="宋体" w:eastAsia="宋体" w:cs="宋体"/>
                <w:lang w:val="en-US" w:eastAsia="zh-CN"/>
              </w:rPr>
              <w:t>，</w:t>
            </w:r>
            <w:r>
              <w:rPr>
                <w:rFonts w:hint="default"/>
                <w:lang w:val="en-US" w:eastAsia="zh-CN"/>
              </w:rPr>
              <w:t>金属钠和硝酸钾反应释放出更多的氮气并形成氧化钾和氧化钠</w:t>
            </w:r>
            <w:r>
              <w:rPr>
                <w:rFonts w:hint="eastAsia" w:ascii="宋体" w:hAnsi="宋体" w:eastAsia="宋体" w:cs="宋体"/>
                <w:lang w:val="en-US" w:eastAsia="zh-CN"/>
              </w:rPr>
              <w:t>，</w:t>
            </w:r>
            <w:r>
              <w:rPr>
                <w:rFonts w:hint="default"/>
                <w:lang w:val="en-US" w:eastAsia="zh-CN"/>
              </w:rPr>
              <w:t>这些氧化物会立即与二氧化硅反应生成硅酸盐</w:t>
            </w:r>
            <w:r>
              <w:rPr>
                <w:rFonts w:hint="eastAsia" w:ascii="宋体" w:hAnsi="宋体" w:eastAsia="宋体" w:cs="宋体"/>
                <w:lang w:val="en-US" w:eastAsia="zh-CN"/>
              </w:rPr>
              <w:t>，</w:t>
            </w:r>
            <w:r>
              <w:rPr>
                <w:rFonts w:hint="default"/>
                <w:lang w:val="en-US" w:eastAsia="zh-CN"/>
              </w:rPr>
              <w:t>氮气则充入气囊</w:t>
            </w:r>
            <w:r>
              <w:rPr>
                <w:rFonts w:hint="eastAsia" w:ascii="宋体" w:hAnsi="宋体" w:eastAsia="宋体" w:cs="宋体"/>
                <w:lang w:val="en-US" w:eastAsia="zh-CN"/>
              </w:rPr>
              <w:t>，</w:t>
            </w:r>
            <w:r>
              <w:rPr>
                <w:rFonts w:hint="default"/>
                <w:lang w:val="en-US" w:eastAsia="zh-CN"/>
              </w:rPr>
              <w:t>引爆气囊</w:t>
            </w:r>
            <w:r>
              <w:rPr>
                <w:rFonts w:hint="eastAsia"/>
                <w:lang w:val="en-US" w:eastAsia="zh-CN"/>
              </w:rPr>
              <w:t>（叠氮化钠一经引爆分解非常完全</w:t>
            </w:r>
            <w:r>
              <w:rPr>
                <w:rFonts w:hint="eastAsia" w:ascii="宋体" w:hAnsi="宋体" w:eastAsia="宋体" w:cs="宋体"/>
                <w:lang w:val="en-US" w:eastAsia="zh-CN"/>
              </w:rPr>
              <w:t>，</w:t>
            </w:r>
            <w:r>
              <w:rPr>
                <w:rFonts w:hint="eastAsia"/>
                <w:lang w:val="en-US" w:eastAsia="zh-CN"/>
              </w:rPr>
              <w:t>不会剩余）</w:t>
            </w:r>
            <w:r>
              <w:rPr>
                <w:rFonts w:hint="eastAsia" w:ascii="宋体" w:hAnsi="宋体" w:eastAsia="宋体" w:cs="宋体"/>
                <w:lang w:val="en-US" w:eastAsia="zh-CN"/>
              </w:rPr>
              <w:t>。</w:t>
            </w:r>
          </w:p>
          <w:p>
            <w:pPr>
              <w:pStyle w:val="25"/>
              <w:bidi w:val="0"/>
              <w:jc w:val="both"/>
              <w:rPr>
                <w:rFonts w:hint="default"/>
                <w:lang w:val="en-US" w:eastAsia="zh-CN"/>
              </w:rPr>
            </w:pPr>
            <w:r>
              <w:rPr>
                <w:rFonts w:hint="default"/>
                <w:lang w:val="en-US" w:eastAsia="zh-CN"/>
              </w:rPr>
              <w:t>本项目安全气囊引爆室未完全密封</w:t>
            </w:r>
            <w:r>
              <w:rPr>
                <w:rFonts w:hint="eastAsia" w:ascii="宋体" w:hAnsi="宋体" w:eastAsia="宋体" w:cs="宋体"/>
                <w:lang w:val="en-US" w:eastAsia="zh-CN"/>
              </w:rPr>
              <w:t>，</w:t>
            </w:r>
            <w:r>
              <w:rPr>
                <w:rFonts w:hint="default"/>
                <w:lang w:val="en-US" w:eastAsia="zh-CN"/>
              </w:rPr>
              <w:t>引爆过程中产生的氮气量小</w:t>
            </w:r>
            <w:r>
              <w:rPr>
                <w:rFonts w:hint="eastAsia" w:ascii="宋体" w:hAnsi="宋体" w:eastAsia="宋体" w:cs="宋体"/>
                <w:lang w:val="en-US" w:eastAsia="zh-CN"/>
              </w:rPr>
              <w:t>，</w:t>
            </w:r>
            <w:r>
              <w:rPr>
                <w:rFonts w:hint="default"/>
                <w:lang w:val="en-US" w:eastAsia="zh-CN"/>
              </w:rPr>
              <w:t>氮气通过缝隙进入大气环境</w:t>
            </w:r>
            <w:r>
              <w:rPr>
                <w:rFonts w:hint="eastAsia" w:ascii="宋体" w:hAnsi="宋体" w:eastAsia="宋体" w:cs="宋体"/>
                <w:lang w:val="en-US" w:eastAsia="zh-CN"/>
              </w:rPr>
              <w:t>，</w:t>
            </w:r>
            <w:r>
              <w:rPr>
                <w:rFonts w:hint="default"/>
                <w:lang w:val="en-US" w:eastAsia="zh-CN"/>
              </w:rPr>
              <w:t>安全气囊引爆过程</w:t>
            </w:r>
            <w:r>
              <w:rPr>
                <w:rFonts w:hint="eastAsia"/>
                <w:lang w:val="en-US" w:eastAsia="zh-CN"/>
              </w:rPr>
              <w:t>中</w:t>
            </w:r>
            <w:r>
              <w:rPr>
                <w:rFonts w:hint="default"/>
                <w:lang w:val="en-US" w:eastAsia="zh-CN"/>
              </w:rPr>
              <w:t>引爆室内压力变化不大</w:t>
            </w:r>
            <w:r>
              <w:rPr>
                <w:rFonts w:hint="eastAsia" w:ascii="宋体" w:hAnsi="宋体" w:eastAsia="宋体" w:cs="宋体"/>
                <w:lang w:val="en-US" w:eastAsia="zh-CN"/>
              </w:rPr>
              <w:t>，</w:t>
            </w:r>
            <w:r>
              <w:rPr>
                <w:rFonts w:hint="default"/>
                <w:lang w:val="en-US" w:eastAsia="zh-CN"/>
              </w:rPr>
              <w:t>对环境的冲击小</w:t>
            </w:r>
            <w:r>
              <w:rPr>
                <w:rFonts w:hint="eastAsia" w:ascii="宋体" w:hAnsi="宋体" w:eastAsia="宋体" w:cs="宋体"/>
                <w:lang w:val="en-US" w:eastAsia="zh-CN"/>
              </w:rPr>
              <w:t>。</w:t>
            </w:r>
          </w:p>
          <w:p>
            <w:pPr>
              <w:pStyle w:val="25"/>
              <w:bidi w:val="0"/>
              <w:jc w:val="both"/>
              <w:rPr>
                <w:rFonts w:hint="eastAsia"/>
                <w:lang w:val="en-US" w:eastAsia="zh-CN"/>
              </w:rPr>
            </w:pPr>
            <w:r>
              <w:rPr>
                <w:rFonts w:hint="eastAsia"/>
                <w:lang w:val="en-US" w:eastAsia="zh-CN"/>
              </w:rPr>
              <w:t>③拆除三元催化器、电容器</w:t>
            </w:r>
          </w:p>
          <w:p>
            <w:pPr>
              <w:pStyle w:val="25"/>
              <w:bidi w:val="0"/>
              <w:jc w:val="both"/>
              <w:rPr>
                <w:rFonts w:hint="default"/>
                <w:lang w:val="en-US" w:eastAsia="zh-CN"/>
              </w:rPr>
            </w:pPr>
            <w:r>
              <w:rPr>
                <w:rFonts w:hint="default"/>
                <w:lang w:val="en-US" w:eastAsia="zh-CN"/>
              </w:rPr>
              <w:t>三元催化器即尾气净化催化器</w:t>
            </w:r>
            <w:r>
              <w:rPr>
                <w:rFonts w:hint="eastAsia" w:ascii="宋体" w:hAnsi="宋体" w:eastAsia="宋体" w:cs="宋体"/>
                <w:lang w:val="en-US" w:eastAsia="zh-CN"/>
              </w:rPr>
              <w:t>，</w:t>
            </w:r>
            <w:r>
              <w:rPr>
                <w:rFonts w:hint="default"/>
                <w:lang w:val="en-US" w:eastAsia="zh-CN"/>
              </w:rPr>
              <w:t>是安装在汽车排气系统中机外净化装置</w:t>
            </w:r>
            <w:r>
              <w:rPr>
                <w:rFonts w:hint="eastAsia" w:ascii="宋体" w:hAnsi="宋体" w:eastAsia="宋体" w:cs="宋体"/>
                <w:lang w:val="en-US" w:eastAsia="zh-CN"/>
              </w:rPr>
              <w:t>。</w:t>
            </w:r>
            <w:r>
              <w:rPr>
                <w:rFonts w:hint="eastAsia"/>
                <w:lang w:val="en-US" w:eastAsia="zh-CN"/>
              </w:rPr>
              <w:t>一般由三氧化二铝制成</w:t>
            </w:r>
            <w:r>
              <w:rPr>
                <w:rFonts w:hint="eastAsia" w:ascii="宋体" w:hAnsi="宋体" w:eastAsia="宋体" w:cs="宋体"/>
                <w:lang w:val="en-US" w:eastAsia="zh-CN"/>
              </w:rPr>
              <w:t>，</w:t>
            </w:r>
            <w:r>
              <w:rPr>
                <w:rFonts w:hint="eastAsia"/>
                <w:lang w:val="en-US" w:eastAsia="zh-CN"/>
              </w:rPr>
              <w:t>催化剂用的是金属铂、铑、钯</w:t>
            </w:r>
            <w:r>
              <w:rPr>
                <w:rFonts w:hint="eastAsia" w:ascii="宋体" w:hAnsi="宋体" w:eastAsia="宋体" w:cs="宋体"/>
                <w:lang w:val="en-US" w:eastAsia="zh-CN"/>
              </w:rPr>
              <w:t>，</w:t>
            </w:r>
            <w:r>
              <w:rPr>
                <w:rFonts w:hint="eastAsia"/>
                <w:lang w:val="en-US" w:eastAsia="zh-CN"/>
              </w:rPr>
              <w:t>将其中一种喷涂在载体上</w:t>
            </w:r>
            <w:r>
              <w:rPr>
                <w:rFonts w:hint="eastAsia" w:ascii="宋体" w:hAnsi="宋体" w:eastAsia="宋体" w:cs="宋体"/>
                <w:lang w:val="en-US" w:eastAsia="zh-CN"/>
              </w:rPr>
              <w:t>，</w:t>
            </w:r>
            <w:r>
              <w:rPr>
                <w:rFonts w:hint="eastAsia"/>
                <w:lang w:val="en-US" w:eastAsia="zh-CN"/>
              </w:rPr>
              <w:t>就构成了净化剂</w:t>
            </w:r>
            <w:r>
              <w:rPr>
                <w:rFonts w:hint="eastAsia" w:ascii="宋体" w:hAnsi="宋体" w:eastAsia="宋体" w:cs="宋体"/>
                <w:lang w:val="en-US" w:eastAsia="zh-CN"/>
              </w:rPr>
              <w:t>。</w:t>
            </w:r>
          </w:p>
          <w:p>
            <w:pPr>
              <w:pStyle w:val="25"/>
              <w:bidi w:val="0"/>
              <w:jc w:val="both"/>
              <w:rPr>
                <w:rFonts w:hint="eastAsia"/>
                <w:lang w:val="en-US" w:eastAsia="zh-CN"/>
              </w:rPr>
            </w:pPr>
            <w:r>
              <w:rPr>
                <w:rFonts w:hint="eastAsia"/>
                <w:lang w:val="en-US" w:eastAsia="zh-CN"/>
              </w:rPr>
              <w:t>拆除后的三元催化器整个送危废暂存间暂存</w:t>
            </w:r>
            <w:r>
              <w:rPr>
                <w:rFonts w:hint="eastAsia" w:ascii="宋体" w:hAnsi="宋体" w:eastAsia="宋体" w:cs="宋体"/>
                <w:lang w:val="en-US" w:eastAsia="zh-CN"/>
              </w:rPr>
              <w:t>，</w:t>
            </w:r>
            <w:r>
              <w:rPr>
                <w:rFonts w:hint="eastAsia"/>
                <w:lang w:val="en-US" w:eastAsia="zh-CN"/>
              </w:rPr>
              <w:t>不再进行拆解</w:t>
            </w:r>
            <w:r>
              <w:rPr>
                <w:rFonts w:hint="eastAsia" w:ascii="宋体" w:hAnsi="宋体" w:eastAsia="宋体" w:cs="宋体"/>
                <w:lang w:val="en-US" w:eastAsia="zh-CN"/>
              </w:rPr>
              <w:t>，</w:t>
            </w:r>
            <w:r>
              <w:rPr>
                <w:rFonts w:hint="eastAsia"/>
                <w:lang w:val="en-US" w:eastAsia="zh-CN"/>
              </w:rPr>
              <w:t>定期送资质单位处置</w:t>
            </w:r>
            <w:r>
              <w:rPr>
                <w:rFonts w:hint="eastAsia" w:ascii="宋体" w:hAnsi="宋体" w:eastAsia="宋体" w:cs="宋体"/>
                <w:lang w:val="en-US" w:eastAsia="zh-CN"/>
              </w:rPr>
              <w:t>。</w:t>
            </w:r>
          </w:p>
          <w:p>
            <w:pPr>
              <w:pStyle w:val="25"/>
              <w:bidi w:val="0"/>
              <w:jc w:val="both"/>
              <w:rPr>
                <w:rFonts w:hint="default"/>
                <w:lang w:val="en-US" w:eastAsia="zh-CN"/>
              </w:rPr>
            </w:pPr>
            <w:r>
              <w:rPr>
                <w:rFonts w:hint="eastAsia"/>
                <w:lang w:val="en-US" w:eastAsia="zh-CN"/>
              </w:rPr>
              <w:t>汽车电容器属于危险废物</w:t>
            </w:r>
            <w:r>
              <w:rPr>
                <w:rFonts w:hint="eastAsia" w:ascii="宋体" w:hAnsi="宋体" w:eastAsia="宋体" w:cs="宋体"/>
                <w:lang w:val="en-US" w:eastAsia="zh-CN"/>
              </w:rPr>
              <w:t>。</w:t>
            </w:r>
            <w:r>
              <w:rPr>
                <w:rFonts w:hint="eastAsia"/>
                <w:lang w:val="en-US" w:eastAsia="zh-CN"/>
              </w:rPr>
              <w:t>拆除后的汽车电容器不再拆解</w:t>
            </w:r>
            <w:r>
              <w:rPr>
                <w:rFonts w:hint="eastAsia" w:ascii="宋体" w:hAnsi="宋体" w:eastAsia="宋体" w:cs="宋体"/>
                <w:lang w:val="en-US" w:eastAsia="zh-CN"/>
              </w:rPr>
              <w:t>，</w:t>
            </w:r>
            <w:r>
              <w:rPr>
                <w:rFonts w:hint="eastAsia"/>
                <w:lang w:val="en-US" w:eastAsia="zh-CN"/>
              </w:rPr>
              <w:t>送危废暂存间</w:t>
            </w:r>
            <w:r>
              <w:rPr>
                <w:rFonts w:hint="eastAsia" w:ascii="宋体" w:hAnsi="宋体" w:eastAsia="宋体" w:cs="宋体"/>
                <w:lang w:val="en-US" w:eastAsia="zh-CN"/>
              </w:rPr>
              <w:t>，</w:t>
            </w:r>
            <w:r>
              <w:rPr>
                <w:rFonts w:hint="eastAsia"/>
                <w:lang w:val="en-US" w:eastAsia="zh-CN"/>
              </w:rPr>
              <w:t>与三元催化器分区储存</w:t>
            </w:r>
            <w:r>
              <w:rPr>
                <w:rFonts w:hint="eastAsia" w:ascii="宋体" w:hAnsi="宋体" w:eastAsia="宋体" w:cs="宋体"/>
                <w:lang w:val="en-US" w:eastAsia="zh-CN"/>
              </w:rPr>
              <w:t>，</w:t>
            </w:r>
            <w:r>
              <w:rPr>
                <w:rFonts w:hint="eastAsia"/>
                <w:lang w:val="en-US" w:eastAsia="zh-CN"/>
              </w:rPr>
              <w:t>定期送资质单位处置</w:t>
            </w:r>
            <w:r>
              <w:rPr>
                <w:rFonts w:hint="eastAsia" w:ascii="宋体" w:hAnsi="宋体" w:eastAsia="宋体" w:cs="宋体"/>
                <w:lang w:val="en-US" w:eastAsia="zh-CN"/>
              </w:rPr>
              <w:t>。</w:t>
            </w:r>
          </w:p>
          <w:p>
            <w:pPr>
              <w:pStyle w:val="25"/>
              <w:bidi w:val="0"/>
              <w:jc w:val="both"/>
              <w:rPr>
                <w:rFonts w:hint="default"/>
                <w:lang w:val="en-US" w:eastAsia="zh-CN"/>
              </w:rPr>
            </w:pPr>
            <w:r>
              <w:rPr>
                <w:rFonts w:hint="eastAsia"/>
                <w:lang w:val="en-US" w:eastAsia="zh-CN"/>
              </w:rPr>
              <w:t xml:space="preserve">④收集废油液、拆除油箱和滤清器 </w:t>
            </w:r>
          </w:p>
          <w:p>
            <w:pPr>
              <w:pStyle w:val="25"/>
              <w:bidi w:val="0"/>
              <w:jc w:val="both"/>
              <w:rPr>
                <w:rFonts w:hint="eastAsia"/>
                <w:lang w:val="en-US" w:eastAsia="zh-CN"/>
              </w:rPr>
            </w:pPr>
            <w:r>
              <w:rPr>
                <w:rFonts w:hint="eastAsia"/>
                <w:lang w:val="en-US" w:eastAsia="zh-CN"/>
              </w:rPr>
              <w:t>项目采用废油液抽取设备将各类废油液（汽油、柴油、机油、润滑油、制动液、防冻剂等）</w:t>
            </w:r>
            <w:r>
              <w:rPr>
                <w:rFonts w:hint="eastAsia" w:ascii="宋体" w:hAnsi="宋体" w:eastAsia="宋体" w:cs="宋体"/>
                <w:lang w:val="en-US" w:eastAsia="zh-CN"/>
              </w:rPr>
              <w:t>，</w:t>
            </w:r>
            <w:r>
              <w:rPr>
                <w:rFonts w:hint="eastAsia"/>
                <w:lang w:val="en-US" w:eastAsia="zh-CN"/>
              </w:rPr>
              <w:t>分别抽至专用容器内</w:t>
            </w:r>
            <w:r>
              <w:rPr>
                <w:rFonts w:hint="eastAsia" w:ascii="宋体" w:hAnsi="宋体" w:eastAsia="宋体" w:cs="宋体"/>
                <w:lang w:val="en-US" w:eastAsia="zh-CN"/>
              </w:rPr>
              <w:t>，</w:t>
            </w:r>
            <w:r>
              <w:rPr>
                <w:rFonts w:hint="eastAsia"/>
                <w:lang w:val="en-US" w:eastAsia="zh-CN"/>
              </w:rPr>
              <w:t>各种废油液的排空率应大于90%</w:t>
            </w:r>
            <w:r>
              <w:rPr>
                <w:rFonts w:hint="eastAsia" w:ascii="宋体" w:hAnsi="宋体" w:eastAsia="宋体" w:cs="宋体"/>
                <w:lang w:val="en-US" w:eastAsia="zh-CN"/>
              </w:rPr>
              <w:t>。</w:t>
            </w:r>
            <w:r>
              <w:rPr>
                <w:rFonts w:hint="eastAsia"/>
                <w:lang w:val="en-US" w:eastAsia="zh-CN"/>
              </w:rPr>
              <w:t>收集的柴油和废机油转移至危废暂存间内柴油储罐及废机油储罐内暂存</w:t>
            </w:r>
            <w:r>
              <w:rPr>
                <w:rFonts w:hint="eastAsia" w:ascii="宋体" w:hAnsi="宋体" w:eastAsia="宋体" w:cs="宋体"/>
                <w:lang w:val="en-US" w:eastAsia="zh-CN"/>
              </w:rPr>
              <w:t>，</w:t>
            </w:r>
            <w:r>
              <w:rPr>
                <w:rFonts w:hint="eastAsia"/>
                <w:lang w:val="en-US" w:eastAsia="zh-CN"/>
              </w:rPr>
              <w:t>其它废油液采用专用容器</w:t>
            </w:r>
            <w:r>
              <w:rPr>
                <w:rFonts w:hint="eastAsia" w:ascii="宋体" w:hAnsi="宋体" w:eastAsia="宋体" w:cs="宋体"/>
                <w:lang w:val="en-US" w:eastAsia="zh-CN"/>
              </w:rPr>
              <w:t>，</w:t>
            </w:r>
            <w:r>
              <w:rPr>
                <w:rFonts w:hint="eastAsia"/>
                <w:lang w:val="en-US" w:eastAsia="zh-CN"/>
              </w:rPr>
              <w:t>密闭储存于危废暂存间内</w:t>
            </w:r>
            <w:r>
              <w:rPr>
                <w:rFonts w:hint="eastAsia" w:ascii="宋体" w:hAnsi="宋体" w:eastAsia="宋体" w:cs="宋体"/>
                <w:lang w:val="en-US" w:eastAsia="zh-CN"/>
              </w:rPr>
              <w:t>，</w:t>
            </w:r>
            <w:r>
              <w:rPr>
                <w:rFonts w:hint="eastAsia"/>
                <w:lang w:val="en-US" w:eastAsia="zh-CN"/>
              </w:rPr>
              <w:t>收集的汽柴油用于厂区车辆自用</w:t>
            </w:r>
            <w:r>
              <w:rPr>
                <w:rFonts w:hint="eastAsia" w:ascii="宋体" w:hAnsi="宋体" w:eastAsia="宋体" w:cs="宋体"/>
                <w:lang w:val="en-US" w:eastAsia="zh-CN"/>
              </w:rPr>
              <w:t>，</w:t>
            </w:r>
            <w:r>
              <w:rPr>
                <w:rFonts w:hint="eastAsia"/>
                <w:lang w:val="en-US" w:eastAsia="zh-CN"/>
              </w:rPr>
              <w:t>其它废油液定期交有资质单位处理</w:t>
            </w:r>
            <w:r>
              <w:rPr>
                <w:rFonts w:hint="eastAsia" w:ascii="宋体" w:hAnsi="宋体" w:eastAsia="宋体" w:cs="宋体"/>
                <w:lang w:val="en-US" w:eastAsia="zh-CN"/>
              </w:rPr>
              <w:t>。</w:t>
            </w:r>
          </w:p>
          <w:p>
            <w:pPr>
              <w:pStyle w:val="25"/>
              <w:bidi w:val="0"/>
              <w:jc w:val="both"/>
              <w:rPr>
                <w:rFonts w:hint="eastAsia"/>
                <w:lang w:val="en-US" w:eastAsia="zh-CN"/>
              </w:rPr>
            </w:pPr>
            <w:r>
              <w:rPr>
                <w:rFonts w:hint="eastAsia"/>
                <w:lang w:val="en-US" w:eastAsia="zh-CN"/>
              </w:rPr>
              <w:t>报废汽车中主要存在以下几种废油、废液：</w:t>
            </w:r>
          </w:p>
          <w:p>
            <w:pPr>
              <w:pStyle w:val="25"/>
              <w:bidi w:val="0"/>
              <w:jc w:val="both"/>
              <w:rPr>
                <w:rFonts w:hint="eastAsia"/>
                <w:lang w:val="en-US" w:eastAsia="zh-CN"/>
              </w:rPr>
            </w:pPr>
            <w:r>
              <w:rPr>
                <w:rFonts w:hint="eastAsia"/>
                <w:lang w:val="en-US" w:eastAsia="zh-CN"/>
              </w:rPr>
              <w:t>a.机油：作为降低发动机摩擦</w:t>
            </w:r>
            <w:r>
              <w:rPr>
                <w:rFonts w:hint="eastAsia" w:ascii="宋体" w:hAnsi="宋体" w:eastAsia="宋体" w:cs="宋体"/>
                <w:lang w:val="en-US" w:eastAsia="zh-CN"/>
              </w:rPr>
              <w:t>，</w:t>
            </w:r>
            <w:r>
              <w:rPr>
                <w:rFonts w:hint="eastAsia"/>
                <w:lang w:val="en-US" w:eastAsia="zh-CN"/>
              </w:rPr>
              <w:t>减缓磨损</w:t>
            </w:r>
            <w:r>
              <w:rPr>
                <w:rFonts w:hint="eastAsia" w:ascii="宋体" w:hAnsi="宋体" w:eastAsia="宋体" w:cs="宋体"/>
                <w:lang w:val="en-US" w:eastAsia="zh-CN"/>
              </w:rPr>
              <w:t>，</w:t>
            </w:r>
            <w:r>
              <w:rPr>
                <w:rFonts w:hint="eastAsia"/>
                <w:lang w:val="en-US" w:eastAsia="zh-CN"/>
              </w:rPr>
              <w:t>储存于发动机内</w:t>
            </w:r>
            <w:r>
              <w:rPr>
                <w:rFonts w:hint="eastAsia" w:ascii="宋体" w:hAnsi="宋体" w:eastAsia="宋体" w:cs="宋体"/>
                <w:lang w:val="en-US" w:eastAsia="zh-CN"/>
              </w:rPr>
              <w:t>，</w:t>
            </w:r>
            <w:r>
              <w:rPr>
                <w:rFonts w:hint="eastAsia"/>
                <w:lang w:val="en-US" w:eastAsia="zh-CN"/>
              </w:rPr>
              <w:t>呈油状</w:t>
            </w:r>
            <w:r>
              <w:rPr>
                <w:rFonts w:hint="eastAsia" w:ascii="宋体" w:hAnsi="宋体" w:eastAsia="宋体" w:cs="宋体"/>
                <w:lang w:val="en-US" w:eastAsia="zh-CN"/>
              </w:rPr>
              <w:t>；</w:t>
            </w:r>
          </w:p>
          <w:p>
            <w:pPr>
              <w:pStyle w:val="25"/>
              <w:bidi w:val="0"/>
              <w:jc w:val="both"/>
              <w:rPr>
                <w:rFonts w:hint="eastAsia"/>
                <w:lang w:val="en-US" w:eastAsia="zh-CN"/>
              </w:rPr>
            </w:pPr>
            <w:r>
              <w:rPr>
                <w:rFonts w:hint="eastAsia"/>
                <w:lang w:val="en-US" w:eastAsia="zh-CN"/>
              </w:rPr>
              <w:t>b.润滑油：作为减少摩擦</w:t>
            </w:r>
            <w:r>
              <w:rPr>
                <w:rFonts w:hint="eastAsia" w:ascii="宋体" w:hAnsi="宋体" w:eastAsia="宋体" w:cs="宋体"/>
                <w:lang w:val="en-US" w:eastAsia="zh-CN"/>
              </w:rPr>
              <w:t>，</w:t>
            </w:r>
            <w:r>
              <w:rPr>
                <w:rFonts w:hint="eastAsia"/>
                <w:lang w:val="en-US" w:eastAsia="zh-CN"/>
              </w:rPr>
              <w:t>润滑汽车零部件</w:t>
            </w:r>
            <w:r>
              <w:rPr>
                <w:rFonts w:hint="eastAsia" w:ascii="宋体" w:hAnsi="宋体" w:eastAsia="宋体" w:cs="宋体"/>
                <w:lang w:val="en-US" w:eastAsia="zh-CN"/>
              </w:rPr>
              <w:t>，</w:t>
            </w:r>
            <w:r>
              <w:rPr>
                <w:rFonts w:hint="eastAsia"/>
                <w:lang w:val="en-US" w:eastAsia="zh-CN"/>
              </w:rPr>
              <w:t>一般位于变速器、差速器内</w:t>
            </w:r>
            <w:r>
              <w:rPr>
                <w:rFonts w:hint="eastAsia" w:ascii="宋体" w:hAnsi="宋体" w:eastAsia="宋体" w:cs="宋体"/>
                <w:lang w:val="en-US" w:eastAsia="zh-CN"/>
              </w:rPr>
              <w:t>，</w:t>
            </w:r>
            <w:r>
              <w:rPr>
                <w:rFonts w:hint="eastAsia"/>
                <w:lang w:val="en-US" w:eastAsia="zh-CN"/>
              </w:rPr>
              <w:t>呈油状</w:t>
            </w:r>
            <w:r>
              <w:rPr>
                <w:rFonts w:hint="eastAsia" w:ascii="宋体" w:hAnsi="宋体" w:eastAsia="宋体" w:cs="宋体"/>
                <w:lang w:val="en-US" w:eastAsia="zh-CN"/>
              </w:rPr>
              <w:t>；</w:t>
            </w:r>
          </w:p>
          <w:p>
            <w:pPr>
              <w:pStyle w:val="25"/>
              <w:bidi w:val="0"/>
              <w:jc w:val="both"/>
              <w:rPr>
                <w:rFonts w:hint="eastAsia"/>
                <w:lang w:val="en-US" w:eastAsia="zh-CN"/>
              </w:rPr>
            </w:pPr>
            <w:r>
              <w:rPr>
                <w:rFonts w:hint="eastAsia"/>
                <w:lang w:val="en-US" w:eastAsia="zh-CN"/>
              </w:rPr>
              <w:t>c.汽油、柴油：作为传统机动车的动力燃料</w:t>
            </w:r>
            <w:r>
              <w:rPr>
                <w:rFonts w:hint="eastAsia" w:ascii="宋体" w:hAnsi="宋体" w:eastAsia="宋体" w:cs="宋体"/>
                <w:lang w:val="en-US" w:eastAsia="zh-CN"/>
              </w:rPr>
              <w:t>，</w:t>
            </w:r>
            <w:r>
              <w:rPr>
                <w:rFonts w:hint="eastAsia"/>
                <w:lang w:val="en-US" w:eastAsia="zh-CN"/>
              </w:rPr>
              <w:t>储存于油箱内</w:t>
            </w:r>
            <w:r>
              <w:rPr>
                <w:rFonts w:hint="eastAsia" w:ascii="宋体" w:hAnsi="宋体" w:eastAsia="宋体" w:cs="宋体"/>
                <w:lang w:val="en-US" w:eastAsia="zh-CN"/>
              </w:rPr>
              <w:t>，</w:t>
            </w:r>
            <w:r>
              <w:rPr>
                <w:rFonts w:hint="eastAsia"/>
                <w:lang w:val="en-US" w:eastAsia="zh-CN"/>
              </w:rPr>
              <w:t>呈油状</w:t>
            </w:r>
            <w:r>
              <w:rPr>
                <w:rFonts w:hint="eastAsia" w:ascii="宋体" w:hAnsi="宋体" w:eastAsia="宋体" w:cs="宋体"/>
                <w:lang w:val="en-US" w:eastAsia="zh-CN"/>
              </w:rPr>
              <w:t>；</w:t>
            </w:r>
          </w:p>
          <w:p>
            <w:pPr>
              <w:pStyle w:val="25"/>
              <w:bidi w:val="0"/>
              <w:jc w:val="both"/>
              <w:rPr>
                <w:rFonts w:hint="eastAsia"/>
                <w:lang w:val="en-US" w:eastAsia="zh-CN"/>
              </w:rPr>
            </w:pPr>
            <w:r>
              <w:rPr>
                <w:rFonts w:hint="eastAsia"/>
                <w:lang w:val="en-US" w:eastAsia="zh-CN"/>
              </w:rPr>
              <w:t>d.制动液（刹车油）：作为传递刹车的压力</w:t>
            </w:r>
            <w:r>
              <w:rPr>
                <w:rFonts w:hint="eastAsia" w:ascii="宋体" w:hAnsi="宋体" w:eastAsia="宋体" w:cs="宋体"/>
                <w:lang w:val="en-US" w:eastAsia="zh-CN"/>
              </w:rPr>
              <w:t>，</w:t>
            </w:r>
            <w:r>
              <w:rPr>
                <w:rFonts w:hint="eastAsia"/>
                <w:lang w:val="en-US" w:eastAsia="zh-CN"/>
              </w:rPr>
              <w:t>其储液罐位于刹车助力泵上面</w:t>
            </w:r>
            <w:r>
              <w:rPr>
                <w:rFonts w:hint="eastAsia" w:ascii="宋体" w:hAnsi="宋体" w:eastAsia="宋体" w:cs="宋体"/>
                <w:lang w:val="en-US" w:eastAsia="zh-CN"/>
              </w:rPr>
              <w:t>，</w:t>
            </w:r>
            <w:r>
              <w:rPr>
                <w:rFonts w:hint="eastAsia"/>
                <w:lang w:val="en-US" w:eastAsia="zh-CN"/>
              </w:rPr>
              <w:t>主要成分为润滑剂（乙二醇等）、稀释剂（二甘醇醚等）和添加剂（抗氧剂等）组成</w:t>
            </w:r>
            <w:r>
              <w:rPr>
                <w:rFonts w:hint="eastAsia" w:ascii="宋体" w:hAnsi="宋体" w:eastAsia="宋体" w:cs="宋体"/>
                <w:lang w:val="en-US" w:eastAsia="zh-CN"/>
              </w:rPr>
              <w:t>，</w:t>
            </w:r>
            <w:r>
              <w:rPr>
                <w:rFonts w:hint="eastAsia"/>
                <w:lang w:val="en-US" w:eastAsia="zh-CN"/>
              </w:rPr>
              <w:t>呈油状</w:t>
            </w:r>
            <w:r>
              <w:rPr>
                <w:rFonts w:hint="eastAsia" w:ascii="宋体" w:hAnsi="宋体" w:eastAsia="宋体" w:cs="宋体"/>
                <w:lang w:val="en-US" w:eastAsia="zh-CN"/>
              </w:rPr>
              <w:t>；</w:t>
            </w:r>
          </w:p>
          <w:p>
            <w:pPr>
              <w:pStyle w:val="25"/>
              <w:bidi w:val="0"/>
              <w:jc w:val="both"/>
              <w:rPr>
                <w:rFonts w:hint="eastAsia"/>
                <w:lang w:val="en-US" w:eastAsia="zh-CN"/>
              </w:rPr>
            </w:pPr>
            <w:r>
              <w:rPr>
                <w:rFonts w:hint="eastAsia"/>
                <w:lang w:val="en-US" w:eastAsia="zh-CN"/>
              </w:rPr>
              <w:t>e.冷却液（防冻剂、水箱水）：防冻剂沸点高</w:t>
            </w:r>
            <w:r>
              <w:rPr>
                <w:rFonts w:hint="eastAsia" w:ascii="宋体" w:hAnsi="宋体" w:eastAsia="宋体" w:cs="宋体"/>
                <w:lang w:val="en-US" w:eastAsia="zh-CN"/>
              </w:rPr>
              <w:t>，</w:t>
            </w:r>
            <w:r>
              <w:rPr>
                <w:rFonts w:hint="eastAsia"/>
                <w:lang w:val="en-US" w:eastAsia="zh-CN"/>
              </w:rPr>
              <w:t>一般在120℃</w:t>
            </w:r>
            <w:r>
              <w:rPr>
                <w:rFonts w:hint="eastAsia" w:ascii="宋体" w:hAnsi="宋体" w:eastAsia="宋体" w:cs="宋体"/>
                <w:lang w:val="en-US" w:eastAsia="zh-CN"/>
              </w:rPr>
              <w:t>，</w:t>
            </w:r>
            <w:r>
              <w:rPr>
                <w:rFonts w:hint="eastAsia"/>
                <w:lang w:val="en-US" w:eastAsia="zh-CN"/>
              </w:rPr>
              <w:t>而冰点则达到-40℃至-60℃</w:t>
            </w:r>
            <w:r>
              <w:rPr>
                <w:rFonts w:hint="eastAsia" w:ascii="宋体" w:hAnsi="宋体" w:eastAsia="宋体" w:cs="宋体"/>
                <w:lang w:val="en-US" w:eastAsia="zh-CN"/>
              </w:rPr>
              <w:t>，</w:t>
            </w:r>
            <w:r>
              <w:rPr>
                <w:rFonts w:hint="eastAsia"/>
                <w:lang w:val="en-US" w:eastAsia="zh-CN"/>
              </w:rPr>
              <w:t>可以有效防止车辆开锅</w:t>
            </w:r>
            <w:r>
              <w:rPr>
                <w:rFonts w:hint="eastAsia" w:ascii="宋体" w:hAnsi="宋体" w:eastAsia="宋体" w:cs="宋体"/>
                <w:lang w:val="en-US" w:eastAsia="zh-CN"/>
              </w:rPr>
              <w:t>，</w:t>
            </w:r>
            <w:r>
              <w:rPr>
                <w:rFonts w:hint="eastAsia"/>
                <w:lang w:val="en-US" w:eastAsia="zh-CN"/>
              </w:rPr>
              <w:t>并且在冬季可防止因结冰所造成的水箱或散热器损坏</w:t>
            </w:r>
            <w:r>
              <w:rPr>
                <w:rFonts w:hint="eastAsia" w:ascii="宋体" w:hAnsi="宋体" w:eastAsia="宋体" w:cs="宋体"/>
                <w:lang w:val="en-US" w:eastAsia="zh-CN"/>
              </w:rPr>
              <w:t>，</w:t>
            </w:r>
            <w:r>
              <w:rPr>
                <w:rFonts w:hint="eastAsia"/>
                <w:lang w:val="en-US" w:eastAsia="zh-CN"/>
              </w:rPr>
              <w:t>主要成分为乙二醇、防腐剂等</w:t>
            </w:r>
            <w:r>
              <w:rPr>
                <w:rFonts w:hint="eastAsia" w:ascii="宋体" w:hAnsi="宋体" w:eastAsia="宋体" w:cs="宋体"/>
                <w:lang w:val="en-US" w:eastAsia="zh-CN"/>
              </w:rPr>
              <w:t>，</w:t>
            </w:r>
            <w:r>
              <w:rPr>
                <w:rFonts w:hint="eastAsia"/>
                <w:lang w:val="en-US" w:eastAsia="zh-CN"/>
              </w:rPr>
              <w:t>呈液态</w:t>
            </w:r>
            <w:r>
              <w:rPr>
                <w:rFonts w:hint="eastAsia" w:ascii="宋体" w:hAnsi="宋体" w:eastAsia="宋体" w:cs="宋体"/>
                <w:lang w:val="en-US" w:eastAsia="zh-CN"/>
              </w:rPr>
              <w:t>。</w:t>
            </w:r>
          </w:p>
          <w:p>
            <w:pPr>
              <w:pStyle w:val="25"/>
              <w:bidi w:val="0"/>
              <w:jc w:val="both"/>
              <w:rPr>
                <w:rFonts w:hint="eastAsia"/>
                <w:lang w:val="en-US" w:eastAsia="zh-CN"/>
              </w:rPr>
            </w:pPr>
            <w:r>
              <w:rPr>
                <w:rFonts w:hint="eastAsia"/>
                <w:lang w:val="en-US" w:eastAsia="zh-CN"/>
              </w:rPr>
              <w:t>废油液的收集、排空均在拆解车间预处理区内完成</w:t>
            </w:r>
            <w:r>
              <w:rPr>
                <w:rFonts w:hint="eastAsia" w:ascii="宋体" w:hAnsi="宋体" w:eastAsia="宋体" w:cs="宋体"/>
                <w:lang w:val="en-US" w:eastAsia="zh-CN"/>
              </w:rPr>
              <w:t>，</w:t>
            </w:r>
            <w:r>
              <w:rPr>
                <w:rFonts w:hint="eastAsia"/>
                <w:lang w:val="en-US" w:eastAsia="zh-CN"/>
              </w:rPr>
              <w:t>拆解车间地坪均进行防渗处理</w:t>
            </w:r>
            <w:r>
              <w:rPr>
                <w:rFonts w:hint="eastAsia" w:ascii="宋体" w:hAnsi="宋体" w:eastAsia="宋体" w:cs="宋体"/>
                <w:lang w:val="en-US" w:eastAsia="zh-CN"/>
              </w:rPr>
              <w:t>。</w:t>
            </w:r>
            <w:r>
              <w:rPr>
                <w:rFonts w:hint="eastAsia"/>
                <w:lang w:val="en-US" w:eastAsia="zh-CN"/>
              </w:rPr>
              <w:t>少量跑冒滴漏的废油液采用接油盘收集</w:t>
            </w:r>
            <w:r>
              <w:rPr>
                <w:rFonts w:hint="eastAsia" w:ascii="宋体" w:hAnsi="宋体" w:eastAsia="宋体" w:cs="宋体"/>
                <w:lang w:val="en-US" w:eastAsia="zh-CN"/>
              </w:rPr>
              <w:t>，</w:t>
            </w:r>
            <w:r>
              <w:rPr>
                <w:rFonts w:hint="eastAsia"/>
                <w:lang w:val="en-US" w:eastAsia="zh-CN"/>
              </w:rPr>
              <w:t>并转移至相应容器内</w:t>
            </w:r>
            <w:r>
              <w:rPr>
                <w:rFonts w:hint="eastAsia" w:ascii="宋体" w:hAnsi="宋体" w:eastAsia="宋体" w:cs="宋体"/>
                <w:lang w:val="en-US" w:eastAsia="zh-CN"/>
              </w:rPr>
              <w:t>。</w:t>
            </w:r>
            <w:r>
              <w:rPr>
                <w:rFonts w:hint="eastAsia"/>
                <w:lang w:val="en-US" w:eastAsia="zh-CN"/>
              </w:rPr>
              <w:t>车间内油污清理采用一次性抹布进行清理</w:t>
            </w:r>
            <w:r>
              <w:rPr>
                <w:rFonts w:hint="eastAsia" w:ascii="宋体" w:hAnsi="宋体" w:eastAsia="宋体" w:cs="宋体"/>
                <w:lang w:val="en-US" w:eastAsia="zh-CN"/>
              </w:rPr>
              <w:t>。</w:t>
            </w:r>
          </w:p>
          <w:p>
            <w:pPr>
              <w:pStyle w:val="25"/>
              <w:bidi w:val="0"/>
              <w:jc w:val="both"/>
              <w:rPr>
                <w:rFonts w:hint="eastAsia"/>
                <w:lang w:val="en-US" w:eastAsia="zh-CN"/>
              </w:rPr>
            </w:pPr>
            <w:r>
              <w:rPr>
                <w:rFonts w:hint="eastAsia"/>
                <w:lang w:val="en-US" w:eastAsia="zh-CN"/>
              </w:rPr>
              <w:t>待燃油汽车油箱内汽油或柴油收集完毕后</w:t>
            </w:r>
            <w:r>
              <w:rPr>
                <w:rFonts w:hint="eastAsia" w:ascii="宋体" w:hAnsi="宋体" w:eastAsia="宋体" w:cs="宋体"/>
                <w:lang w:val="en-US" w:eastAsia="zh-CN"/>
              </w:rPr>
              <w:t>，</w:t>
            </w:r>
            <w:r>
              <w:rPr>
                <w:rFonts w:hint="eastAsia"/>
                <w:lang w:val="en-US" w:eastAsia="zh-CN"/>
              </w:rPr>
              <w:t>拆除油箱</w:t>
            </w:r>
            <w:r>
              <w:rPr>
                <w:rFonts w:hint="eastAsia" w:ascii="宋体" w:hAnsi="宋体" w:eastAsia="宋体" w:cs="宋体"/>
                <w:lang w:val="en-US" w:eastAsia="zh-CN"/>
              </w:rPr>
              <w:t>，</w:t>
            </w:r>
            <w:r>
              <w:rPr>
                <w:rFonts w:hint="eastAsia"/>
                <w:lang w:val="en-US" w:eastAsia="zh-CN"/>
              </w:rPr>
              <w:t>拆除滤清器</w:t>
            </w:r>
            <w:r>
              <w:rPr>
                <w:rFonts w:hint="eastAsia" w:ascii="宋体" w:hAnsi="宋体" w:eastAsia="宋体" w:cs="宋体"/>
                <w:lang w:val="en-US" w:eastAsia="zh-CN"/>
              </w:rPr>
              <w:t>。</w:t>
            </w:r>
            <w:r>
              <w:rPr>
                <w:rFonts w:hint="eastAsia"/>
                <w:lang w:val="en-US" w:eastAsia="zh-CN"/>
              </w:rPr>
              <w:t>机油滤清器和燃油滤清器含有废油</w:t>
            </w:r>
            <w:r>
              <w:rPr>
                <w:rFonts w:hint="eastAsia" w:ascii="宋体" w:hAnsi="宋体" w:eastAsia="宋体" w:cs="宋体"/>
                <w:lang w:val="en-US" w:eastAsia="zh-CN"/>
              </w:rPr>
              <w:t>，</w:t>
            </w:r>
            <w:r>
              <w:rPr>
                <w:rFonts w:hint="eastAsia"/>
                <w:lang w:val="en-US" w:eastAsia="zh-CN"/>
              </w:rPr>
              <w:t>因此作为危险固废送有资质的单位进行处置</w:t>
            </w:r>
            <w:r>
              <w:rPr>
                <w:rFonts w:hint="eastAsia" w:ascii="宋体" w:hAnsi="宋体" w:eastAsia="宋体" w:cs="宋体"/>
                <w:lang w:val="en-US" w:eastAsia="zh-CN"/>
              </w:rPr>
              <w:t>。</w:t>
            </w:r>
            <w:r>
              <w:rPr>
                <w:rFonts w:hint="eastAsia"/>
                <w:lang w:val="en-US" w:eastAsia="zh-CN"/>
              </w:rPr>
              <w:t>空气滤清器和空调滤清器作为一般工业固废处理</w:t>
            </w:r>
            <w:r>
              <w:rPr>
                <w:rFonts w:hint="eastAsia" w:ascii="宋体" w:hAnsi="宋体" w:eastAsia="宋体" w:cs="宋体"/>
                <w:lang w:val="en-US" w:eastAsia="zh-CN"/>
              </w:rPr>
              <w:t>。</w:t>
            </w:r>
          </w:p>
          <w:p>
            <w:pPr>
              <w:pStyle w:val="25"/>
              <w:bidi w:val="0"/>
              <w:jc w:val="both"/>
              <w:rPr>
                <w:rFonts w:hint="eastAsia"/>
                <w:lang w:val="en-US" w:eastAsia="zh-CN"/>
              </w:rPr>
            </w:pPr>
            <w:r>
              <w:rPr>
                <w:rFonts w:hint="eastAsia"/>
                <w:lang w:val="en-US" w:eastAsia="zh-CN"/>
              </w:rPr>
              <w:t>⑤收集汽车空调制冷剂</w:t>
            </w:r>
          </w:p>
          <w:p>
            <w:pPr>
              <w:pStyle w:val="25"/>
              <w:bidi w:val="0"/>
              <w:jc w:val="both"/>
              <w:rPr>
                <w:rFonts w:hint="default"/>
                <w:lang w:val="en-US" w:eastAsia="zh-CN"/>
              </w:rPr>
            </w:pPr>
            <w:r>
              <w:rPr>
                <w:rFonts w:hint="default"/>
                <w:lang w:val="en-US" w:eastAsia="zh-CN"/>
              </w:rPr>
              <w:t>项目采用专用的冷媒回收</w:t>
            </w:r>
            <w:r>
              <w:rPr>
                <w:rFonts w:hint="eastAsia"/>
                <w:lang w:val="en-US" w:eastAsia="zh-CN"/>
              </w:rPr>
              <w:t>装置</w:t>
            </w:r>
            <w:r>
              <w:rPr>
                <w:rFonts w:hint="default"/>
                <w:lang w:val="en-US" w:eastAsia="zh-CN"/>
              </w:rPr>
              <w:t>抽取空调系统中的制冷剂（R134a等）至专用的密闭容器（</w:t>
            </w:r>
            <w:r>
              <w:rPr>
                <w:rFonts w:hint="eastAsia"/>
                <w:lang w:val="en-US" w:eastAsia="zh-CN"/>
              </w:rPr>
              <w:t>冷媒回收瓶</w:t>
            </w:r>
            <w:r>
              <w:rPr>
                <w:rFonts w:hint="default"/>
                <w:lang w:val="en-US" w:eastAsia="zh-CN"/>
              </w:rPr>
              <w:t>）</w:t>
            </w:r>
            <w:r>
              <w:rPr>
                <w:rFonts w:hint="eastAsia" w:ascii="宋体" w:hAnsi="宋体" w:eastAsia="宋体" w:cs="宋体"/>
                <w:lang w:val="en-US" w:eastAsia="zh-CN"/>
              </w:rPr>
              <w:t>，</w:t>
            </w:r>
            <w:r>
              <w:rPr>
                <w:rFonts w:hint="default"/>
                <w:lang w:val="en-US" w:eastAsia="zh-CN"/>
              </w:rPr>
              <w:t>收集的制冷剂暂存于危废暂存间</w:t>
            </w:r>
            <w:r>
              <w:rPr>
                <w:rFonts w:hint="eastAsia" w:ascii="宋体" w:hAnsi="宋体" w:eastAsia="宋体" w:cs="宋体"/>
                <w:lang w:val="en-US" w:eastAsia="zh-CN"/>
              </w:rPr>
              <w:t>，</w:t>
            </w:r>
            <w:r>
              <w:rPr>
                <w:rFonts w:hint="default"/>
                <w:lang w:val="en-US" w:eastAsia="zh-CN"/>
              </w:rPr>
              <w:t>定期交</w:t>
            </w:r>
            <w:r>
              <w:rPr>
                <w:rFonts w:hint="eastAsia"/>
                <w:lang w:val="en-US" w:eastAsia="zh-CN"/>
              </w:rPr>
              <w:t>有</w:t>
            </w:r>
            <w:r>
              <w:rPr>
                <w:rFonts w:hint="default"/>
                <w:lang w:val="en-US" w:eastAsia="zh-CN"/>
              </w:rPr>
              <w:t>资质单位处置</w:t>
            </w:r>
            <w:r>
              <w:rPr>
                <w:rFonts w:hint="eastAsia" w:ascii="宋体" w:hAnsi="宋体" w:eastAsia="宋体" w:cs="宋体"/>
                <w:lang w:val="en-US" w:eastAsia="zh-CN"/>
              </w:rPr>
              <w:t>。</w:t>
            </w:r>
          </w:p>
          <w:p>
            <w:pPr>
              <w:pStyle w:val="25"/>
              <w:bidi w:val="0"/>
              <w:jc w:val="both"/>
              <w:rPr>
                <w:rFonts w:hint="eastAsia"/>
                <w:lang w:val="en-US" w:eastAsia="zh-CN"/>
              </w:rPr>
            </w:pPr>
            <w:r>
              <w:rPr>
                <w:rFonts w:hint="eastAsia"/>
                <w:lang w:val="en-US" w:eastAsia="zh-CN"/>
              </w:rPr>
              <w:t>⑥拆除电器部件</w:t>
            </w:r>
          </w:p>
          <w:p>
            <w:pPr>
              <w:pStyle w:val="25"/>
              <w:bidi w:val="0"/>
              <w:jc w:val="both"/>
              <w:rPr>
                <w:rFonts w:hint="default"/>
                <w:lang w:val="en-US" w:eastAsia="zh-CN"/>
              </w:rPr>
            </w:pPr>
            <w:r>
              <w:rPr>
                <w:rFonts w:hint="default"/>
                <w:lang w:val="en-US" w:eastAsia="zh-CN"/>
              </w:rPr>
              <w:t>人工拆除各种电子电器部件</w:t>
            </w:r>
            <w:r>
              <w:rPr>
                <w:rFonts w:hint="eastAsia" w:ascii="宋体" w:hAnsi="宋体" w:eastAsia="宋体" w:cs="宋体"/>
                <w:lang w:val="en-US" w:eastAsia="zh-CN"/>
              </w:rPr>
              <w:t>，</w:t>
            </w:r>
            <w:r>
              <w:rPr>
                <w:rFonts w:hint="default"/>
                <w:lang w:val="en-US" w:eastAsia="zh-CN"/>
              </w:rPr>
              <w:t>包括仪表盘、音响、车载电台电话、电子导航设备、电动机、发电机、电线电缆以及其他电子电器</w:t>
            </w:r>
            <w:r>
              <w:rPr>
                <w:rFonts w:hint="eastAsia" w:ascii="宋体" w:hAnsi="宋体" w:eastAsia="宋体" w:cs="宋体"/>
                <w:lang w:val="en-US" w:eastAsia="zh-CN"/>
              </w:rPr>
              <w:t>。</w:t>
            </w:r>
          </w:p>
          <w:p>
            <w:pPr>
              <w:pStyle w:val="25"/>
              <w:bidi w:val="0"/>
              <w:jc w:val="both"/>
              <w:rPr>
                <w:rFonts w:hint="eastAsia"/>
                <w:b w:val="0"/>
                <w:bCs w:val="0"/>
                <w:lang w:val="en-US" w:eastAsia="zh-CN"/>
              </w:rPr>
            </w:pPr>
            <w:r>
              <w:rPr>
                <w:rFonts w:hint="eastAsia"/>
                <w:b w:val="0"/>
                <w:bCs w:val="0"/>
                <w:lang w:val="en-US" w:eastAsia="zh-CN"/>
              </w:rPr>
              <w:t>厂区内不设清洗点</w:t>
            </w:r>
            <w:r>
              <w:rPr>
                <w:rFonts w:hint="eastAsia" w:ascii="宋体" w:hAnsi="宋体" w:eastAsia="宋体" w:cs="宋体"/>
                <w:b w:val="0"/>
                <w:bCs w:val="0"/>
                <w:lang w:val="en-US" w:eastAsia="zh-CN"/>
              </w:rPr>
              <w:t>，</w:t>
            </w:r>
            <w:r>
              <w:rPr>
                <w:rFonts w:hint="eastAsia"/>
                <w:b w:val="0"/>
                <w:bCs w:val="0"/>
                <w:lang w:val="en-US" w:eastAsia="zh-CN"/>
              </w:rPr>
              <w:t>车辆及拆解的零部件均不清洗</w:t>
            </w:r>
            <w:r>
              <w:rPr>
                <w:rFonts w:hint="eastAsia" w:ascii="宋体" w:hAnsi="宋体" w:eastAsia="宋体" w:cs="宋体"/>
                <w:b w:val="0"/>
                <w:bCs w:val="0"/>
                <w:lang w:val="en-US" w:eastAsia="zh-CN"/>
              </w:rPr>
              <w:t>，</w:t>
            </w:r>
            <w:r>
              <w:rPr>
                <w:rFonts w:hint="eastAsia"/>
                <w:b w:val="0"/>
                <w:bCs w:val="0"/>
                <w:lang w:val="en-US" w:eastAsia="zh-CN"/>
              </w:rPr>
              <w:t>含油零部件、油箱、油管等采用一次性抹布擦拭</w:t>
            </w:r>
            <w:r>
              <w:rPr>
                <w:rFonts w:hint="eastAsia" w:ascii="宋体" w:hAnsi="宋体" w:eastAsia="宋体" w:cs="宋体"/>
                <w:b w:val="0"/>
                <w:bCs w:val="0"/>
                <w:lang w:val="en-US" w:eastAsia="zh-CN"/>
              </w:rPr>
              <w:t>，</w:t>
            </w:r>
            <w:r>
              <w:rPr>
                <w:rFonts w:hint="eastAsia"/>
                <w:b w:val="0"/>
                <w:bCs w:val="0"/>
                <w:lang w:val="en-US" w:eastAsia="zh-CN"/>
              </w:rPr>
              <w:t>抹布不清洗</w:t>
            </w:r>
            <w:r>
              <w:rPr>
                <w:rFonts w:hint="eastAsia" w:ascii="宋体" w:hAnsi="宋体" w:eastAsia="宋体" w:cs="宋体"/>
                <w:b w:val="0"/>
                <w:bCs w:val="0"/>
                <w:lang w:val="en-US" w:eastAsia="zh-CN"/>
              </w:rPr>
              <w:t>，</w:t>
            </w:r>
            <w:r>
              <w:rPr>
                <w:rFonts w:hint="eastAsia"/>
                <w:b w:val="0"/>
                <w:bCs w:val="0"/>
                <w:lang w:val="en-US" w:eastAsia="zh-CN"/>
              </w:rPr>
              <w:t>作为危险废物交有资质单位处置</w:t>
            </w:r>
            <w:r>
              <w:rPr>
                <w:rFonts w:hint="eastAsia" w:ascii="宋体" w:hAnsi="宋体" w:eastAsia="宋体" w:cs="宋体"/>
                <w:b w:val="0"/>
                <w:bCs w:val="0"/>
                <w:lang w:val="en-US" w:eastAsia="zh-CN"/>
              </w:rPr>
              <w:t>。</w:t>
            </w:r>
          </w:p>
          <w:p>
            <w:pPr>
              <w:pStyle w:val="25"/>
              <w:bidi w:val="0"/>
              <w:jc w:val="both"/>
              <w:rPr>
                <w:rFonts w:hint="eastAsia"/>
                <w:lang w:val="en-US" w:eastAsia="zh-CN"/>
              </w:rPr>
            </w:pPr>
            <w:r>
              <w:rPr>
                <w:rFonts w:hint="eastAsia"/>
                <w:lang w:val="en-US" w:eastAsia="zh-CN"/>
              </w:rPr>
              <w:t>（4）拆解加工</w:t>
            </w:r>
          </w:p>
          <w:p>
            <w:pPr>
              <w:pStyle w:val="25"/>
              <w:bidi w:val="0"/>
              <w:jc w:val="both"/>
              <w:rPr>
                <w:rFonts w:hint="eastAsia"/>
                <w:lang w:val="en-US" w:eastAsia="zh-CN"/>
              </w:rPr>
            </w:pPr>
            <w:r>
              <w:rPr>
                <w:rFonts w:hint="eastAsia"/>
                <w:lang w:val="en-US" w:eastAsia="zh-CN"/>
              </w:rPr>
              <w:t>经预处理后的报废汽车</w:t>
            </w:r>
            <w:r>
              <w:rPr>
                <w:rFonts w:hint="eastAsia" w:ascii="宋体" w:hAnsi="宋体" w:eastAsia="宋体" w:cs="宋体"/>
                <w:lang w:val="en-US" w:eastAsia="zh-CN"/>
              </w:rPr>
              <w:t>，</w:t>
            </w:r>
            <w:r>
              <w:rPr>
                <w:rFonts w:hint="eastAsia"/>
                <w:lang w:val="en-US" w:eastAsia="zh-CN"/>
              </w:rPr>
              <w:t>通过叉车或行车转至拆解区进行拆解</w:t>
            </w:r>
            <w:r>
              <w:rPr>
                <w:rFonts w:hint="eastAsia" w:ascii="宋体" w:hAnsi="宋体" w:eastAsia="宋体" w:cs="宋体"/>
                <w:lang w:val="en-US" w:eastAsia="zh-CN"/>
              </w:rPr>
              <w:t>。</w:t>
            </w:r>
            <w:r>
              <w:rPr>
                <w:rFonts w:hint="eastAsia"/>
                <w:lang w:val="en-US" w:eastAsia="zh-CN"/>
              </w:rPr>
              <w:t>拆解方式以机械为主</w:t>
            </w:r>
            <w:r>
              <w:rPr>
                <w:rFonts w:hint="eastAsia" w:ascii="宋体" w:hAnsi="宋体" w:eastAsia="宋体" w:cs="宋体"/>
                <w:lang w:val="en-US" w:eastAsia="zh-CN"/>
              </w:rPr>
              <w:t>，</w:t>
            </w:r>
            <w:r>
              <w:rPr>
                <w:rFonts w:hint="eastAsia"/>
                <w:lang w:val="en-US" w:eastAsia="zh-CN"/>
              </w:rPr>
              <w:t>人工为辅</w:t>
            </w:r>
            <w:r>
              <w:rPr>
                <w:rFonts w:hint="eastAsia" w:ascii="宋体" w:hAnsi="宋体" w:eastAsia="宋体" w:cs="宋体"/>
                <w:lang w:val="en-US" w:eastAsia="zh-CN"/>
              </w:rPr>
              <w:t>。</w:t>
            </w:r>
            <w:r>
              <w:rPr>
                <w:rFonts w:hint="eastAsia"/>
                <w:lang w:val="en-US" w:eastAsia="zh-CN"/>
              </w:rPr>
              <w:t>报废汽车预处理后</w:t>
            </w:r>
            <w:r>
              <w:rPr>
                <w:rFonts w:hint="eastAsia" w:ascii="宋体" w:hAnsi="宋体" w:eastAsia="宋体" w:cs="宋体"/>
                <w:lang w:val="en-US" w:eastAsia="zh-CN"/>
              </w:rPr>
              <w:t>，</w:t>
            </w:r>
            <w:r>
              <w:rPr>
                <w:rFonts w:hint="eastAsia"/>
                <w:lang w:val="en-US" w:eastAsia="zh-CN"/>
              </w:rPr>
              <w:t>利用液压剪将车体解体</w:t>
            </w:r>
            <w:r>
              <w:rPr>
                <w:rFonts w:hint="eastAsia" w:ascii="宋体" w:hAnsi="宋体" w:eastAsia="宋体" w:cs="宋体"/>
                <w:lang w:val="en-US" w:eastAsia="zh-CN"/>
              </w:rPr>
              <w:t>。</w:t>
            </w:r>
            <w:r>
              <w:rPr>
                <w:rFonts w:hint="eastAsia"/>
                <w:lang w:val="en-US" w:eastAsia="zh-CN"/>
              </w:rPr>
              <w:t>对于轴承、活塞、离合器、电子部件等采用扳手、锤子、钳子等手动工具拆解</w:t>
            </w:r>
            <w:r>
              <w:rPr>
                <w:rFonts w:hint="eastAsia" w:ascii="宋体" w:hAnsi="宋体" w:eastAsia="宋体" w:cs="宋体"/>
                <w:lang w:val="en-US" w:eastAsia="zh-CN"/>
              </w:rPr>
              <w:t>。</w:t>
            </w:r>
            <w:r>
              <w:rPr>
                <w:rFonts w:hint="eastAsia"/>
                <w:lang w:val="en-US" w:eastAsia="zh-CN"/>
              </w:rPr>
              <w:t>从报废汽车拆除的零部件或材料应首先考虑再利用</w:t>
            </w:r>
            <w:r>
              <w:rPr>
                <w:rFonts w:hint="eastAsia" w:ascii="宋体" w:hAnsi="宋体" w:eastAsia="宋体" w:cs="宋体"/>
                <w:lang w:val="en-US" w:eastAsia="zh-CN"/>
              </w:rPr>
              <w:t>，</w:t>
            </w:r>
            <w:r>
              <w:rPr>
                <w:rFonts w:hint="eastAsia"/>
                <w:lang w:val="en-US" w:eastAsia="zh-CN"/>
              </w:rPr>
              <w:t>可利用零部件单独收集和暂存</w:t>
            </w:r>
            <w:r>
              <w:rPr>
                <w:rFonts w:hint="eastAsia" w:ascii="宋体" w:hAnsi="宋体" w:eastAsia="宋体" w:cs="宋体"/>
                <w:lang w:val="en-US" w:eastAsia="zh-CN"/>
              </w:rPr>
              <w:t>。</w:t>
            </w:r>
          </w:p>
          <w:p>
            <w:pPr>
              <w:pStyle w:val="25"/>
              <w:bidi w:val="0"/>
              <w:jc w:val="both"/>
              <w:rPr>
                <w:rFonts w:hint="eastAsia"/>
                <w:lang w:val="en-US" w:eastAsia="zh-CN"/>
              </w:rPr>
            </w:pPr>
            <w:r>
              <w:rPr>
                <w:rFonts w:hint="eastAsia"/>
                <w:lang w:val="en-US" w:eastAsia="zh-CN"/>
              </w:rPr>
              <w:t>报废的营运车辆按照国家有关规定在公安机关、交通管理部门的监督下解体</w:t>
            </w:r>
            <w:r>
              <w:rPr>
                <w:rFonts w:hint="eastAsia" w:ascii="宋体" w:hAnsi="宋体" w:eastAsia="宋体" w:cs="宋体"/>
                <w:lang w:val="en-US" w:eastAsia="zh-CN"/>
              </w:rPr>
              <w:t>。</w:t>
            </w:r>
          </w:p>
          <w:p>
            <w:pPr>
              <w:pStyle w:val="25"/>
              <w:bidi w:val="0"/>
              <w:jc w:val="both"/>
              <w:rPr>
                <w:rFonts w:hint="eastAsia"/>
                <w:lang w:val="en-US" w:eastAsia="zh-CN"/>
              </w:rPr>
            </w:pPr>
            <w:r>
              <w:rPr>
                <w:rFonts w:hint="eastAsia"/>
                <w:lang w:val="en-US" w:eastAsia="zh-CN"/>
              </w:rPr>
              <w:t>项目按照《报废机动车拆解环境保护技术规范》（HJ348-2007）和《报废机动车回收拆解企业技术规范》（GB2218-2019）规定</w:t>
            </w:r>
            <w:r>
              <w:rPr>
                <w:rFonts w:hint="eastAsia" w:ascii="宋体" w:hAnsi="宋体" w:eastAsia="宋体" w:cs="宋体"/>
                <w:lang w:val="en-US" w:eastAsia="zh-CN"/>
              </w:rPr>
              <w:t>，</w:t>
            </w:r>
            <w:r>
              <w:rPr>
                <w:rFonts w:hint="eastAsia"/>
                <w:lang w:val="en-US" w:eastAsia="zh-CN"/>
              </w:rPr>
              <w:t>拆解流程如下：</w:t>
            </w:r>
          </w:p>
          <w:p>
            <w:pPr>
              <w:pStyle w:val="25"/>
              <w:bidi w:val="0"/>
              <w:jc w:val="both"/>
              <w:rPr>
                <w:rFonts w:hint="eastAsia"/>
                <w:lang w:val="en-US" w:eastAsia="zh-CN"/>
              </w:rPr>
            </w:pPr>
            <w:r>
              <w:rPr>
                <w:rFonts w:hint="eastAsia"/>
                <w:lang w:val="en-US" w:eastAsia="zh-CN"/>
              </w:rPr>
              <w:t>①拆除玻璃</w:t>
            </w:r>
            <w:r>
              <w:rPr>
                <w:rFonts w:hint="eastAsia" w:ascii="宋体" w:hAnsi="宋体" w:eastAsia="宋体" w:cs="宋体"/>
                <w:lang w:val="en-US" w:eastAsia="zh-CN"/>
              </w:rPr>
              <w:t>，</w:t>
            </w:r>
            <w:r>
              <w:rPr>
                <w:rFonts w:hint="eastAsia"/>
                <w:lang w:val="en-US" w:eastAsia="zh-CN"/>
              </w:rPr>
              <w:t>获得废玻璃</w:t>
            </w:r>
            <w:r>
              <w:rPr>
                <w:rFonts w:hint="eastAsia" w:ascii="宋体" w:hAnsi="宋体" w:eastAsia="宋体" w:cs="宋体"/>
                <w:lang w:val="en-US" w:eastAsia="zh-CN"/>
              </w:rPr>
              <w:t>；</w:t>
            </w:r>
          </w:p>
          <w:p>
            <w:pPr>
              <w:pStyle w:val="25"/>
              <w:bidi w:val="0"/>
              <w:jc w:val="both"/>
              <w:rPr>
                <w:rFonts w:hint="default"/>
                <w:lang w:val="en-US" w:eastAsia="zh-CN"/>
              </w:rPr>
            </w:pPr>
            <w:r>
              <w:rPr>
                <w:rFonts w:hint="eastAsia"/>
                <w:lang w:val="en-US" w:eastAsia="zh-CN"/>
              </w:rPr>
              <w:t>②拆除车轮并拆下轮胎</w:t>
            </w:r>
            <w:r>
              <w:rPr>
                <w:rFonts w:hint="eastAsia" w:ascii="宋体" w:hAnsi="宋体" w:eastAsia="宋体" w:cs="宋体"/>
                <w:lang w:val="en-US" w:eastAsia="zh-CN"/>
              </w:rPr>
              <w:t>，</w:t>
            </w:r>
            <w:r>
              <w:rPr>
                <w:rFonts w:hint="eastAsia"/>
                <w:lang w:val="en-US" w:eastAsia="zh-CN"/>
              </w:rPr>
              <w:t>获得废钢铁、废橡胶</w:t>
            </w:r>
            <w:r>
              <w:rPr>
                <w:rFonts w:hint="eastAsia" w:ascii="宋体" w:hAnsi="宋体" w:eastAsia="宋体" w:cs="宋体"/>
                <w:lang w:val="en-US" w:eastAsia="zh-CN"/>
              </w:rPr>
              <w:t>；</w:t>
            </w:r>
          </w:p>
          <w:p>
            <w:pPr>
              <w:pStyle w:val="25"/>
              <w:bidi w:val="0"/>
              <w:jc w:val="both"/>
              <w:rPr>
                <w:rFonts w:hint="default"/>
                <w:lang w:val="en-US" w:eastAsia="zh-CN"/>
              </w:rPr>
            </w:pPr>
            <w:r>
              <w:rPr>
                <w:rFonts w:hint="eastAsia"/>
                <w:lang w:val="en-US" w:eastAsia="zh-CN"/>
              </w:rPr>
              <w:t>③拆除车门、内饰和座椅</w:t>
            </w:r>
            <w:r>
              <w:rPr>
                <w:rFonts w:hint="eastAsia" w:ascii="宋体" w:hAnsi="宋体" w:eastAsia="宋体" w:cs="宋体"/>
                <w:lang w:val="en-US" w:eastAsia="zh-CN"/>
              </w:rPr>
              <w:t>，</w:t>
            </w:r>
            <w:r>
              <w:rPr>
                <w:rFonts w:hint="eastAsia"/>
                <w:lang w:val="en-US" w:eastAsia="zh-CN"/>
              </w:rPr>
              <w:t>获得废钢铁、废塑料、废橡胶</w:t>
            </w:r>
            <w:r>
              <w:rPr>
                <w:rFonts w:hint="eastAsia" w:ascii="宋体" w:hAnsi="宋体" w:eastAsia="宋体" w:cs="宋体"/>
                <w:lang w:val="en-US" w:eastAsia="zh-CN"/>
              </w:rPr>
              <w:t>；</w:t>
            </w:r>
          </w:p>
          <w:p>
            <w:pPr>
              <w:pStyle w:val="25"/>
              <w:bidi w:val="0"/>
              <w:jc w:val="both"/>
              <w:rPr>
                <w:rFonts w:hint="eastAsia"/>
                <w:lang w:val="en-US" w:eastAsia="zh-CN"/>
              </w:rPr>
            </w:pPr>
            <w:r>
              <w:rPr>
                <w:rFonts w:hint="eastAsia"/>
                <w:lang w:val="en-US" w:eastAsia="zh-CN"/>
              </w:rPr>
              <w:t>④拆除含铅、汞等有害物质部件</w:t>
            </w:r>
            <w:r>
              <w:rPr>
                <w:rFonts w:hint="eastAsia" w:ascii="宋体" w:hAnsi="宋体" w:eastAsia="宋体" w:cs="宋体"/>
                <w:lang w:val="en-US" w:eastAsia="zh-CN"/>
              </w:rPr>
              <w:t>，</w:t>
            </w:r>
            <w:r>
              <w:rPr>
                <w:rFonts w:hint="eastAsia"/>
                <w:lang w:val="en-US" w:eastAsia="zh-CN"/>
              </w:rPr>
              <w:t>其中大部分含有铅、汞的部件主要在电子器件中</w:t>
            </w:r>
            <w:r>
              <w:rPr>
                <w:rFonts w:hint="eastAsia" w:ascii="宋体" w:hAnsi="宋体" w:eastAsia="宋体" w:cs="宋体"/>
                <w:lang w:val="en-US" w:eastAsia="zh-CN"/>
              </w:rPr>
              <w:t>，</w:t>
            </w:r>
            <w:r>
              <w:rPr>
                <w:rFonts w:hint="eastAsia"/>
                <w:lang w:val="en-US" w:eastAsia="zh-CN"/>
              </w:rPr>
              <w:t>已在预处理工序中回收</w:t>
            </w:r>
            <w:r>
              <w:rPr>
                <w:rFonts w:hint="eastAsia" w:ascii="宋体" w:hAnsi="宋体" w:eastAsia="宋体" w:cs="宋体"/>
                <w:lang w:val="en-US" w:eastAsia="zh-CN"/>
              </w:rPr>
              <w:t>，</w:t>
            </w:r>
            <w:r>
              <w:rPr>
                <w:rFonts w:hint="eastAsia"/>
                <w:lang w:val="en-US" w:eastAsia="zh-CN"/>
              </w:rPr>
              <w:t>此阶段回收余下的或未清理完全的</w:t>
            </w:r>
            <w:r>
              <w:rPr>
                <w:rFonts w:hint="eastAsia" w:ascii="宋体" w:hAnsi="宋体" w:eastAsia="宋体" w:cs="宋体"/>
                <w:lang w:val="en-US" w:eastAsia="zh-CN"/>
              </w:rPr>
              <w:t>；</w:t>
            </w:r>
          </w:p>
          <w:p>
            <w:pPr>
              <w:pStyle w:val="25"/>
              <w:bidi w:val="0"/>
              <w:jc w:val="both"/>
              <w:rPr>
                <w:rFonts w:hint="default"/>
                <w:lang w:val="en-US" w:eastAsia="zh-CN"/>
              </w:rPr>
            </w:pPr>
            <w:r>
              <w:rPr>
                <w:rFonts w:hint="eastAsia"/>
                <w:lang w:val="en-US" w:eastAsia="zh-CN"/>
              </w:rPr>
              <w:t>⑤拆除消声器、转向锁总成、停车装置、倒车雷达及电子控制模块</w:t>
            </w:r>
            <w:r>
              <w:rPr>
                <w:rFonts w:hint="eastAsia" w:ascii="宋体" w:hAnsi="宋体" w:eastAsia="宋体" w:cs="宋体"/>
                <w:lang w:val="en-US" w:eastAsia="zh-CN"/>
              </w:rPr>
              <w:t>，</w:t>
            </w:r>
            <w:r>
              <w:rPr>
                <w:rFonts w:hint="eastAsia"/>
                <w:lang w:val="en-US" w:eastAsia="zh-CN"/>
              </w:rPr>
              <w:t>获得其他可用零部件</w:t>
            </w:r>
            <w:r>
              <w:rPr>
                <w:rFonts w:hint="eastAsia" w:ascii="宋体" w:hAnsi="宋体" w:eastAsia="宋体" w:cs="宋体"/>
                <w:lang w:val="en-US" w:eastAsia="zh-CN"/>
              </w:rPr>
              <w:t>；</w:t>
            </w:r>
          </w:p>
          <w:p>
            <w:pPr>
              <w:pStyle w:val="25"/>
              <w:bidi w:val="0"/>
              <w:jc w:val="both"/>
              <w:rPr>
                <w:rFonts w:hint="default"/>
                <w:lang w:val="en-US" w:eastAsia="zh-CN"/>
              </w:rPr>
            </w:pPr>
            <w:r>
              <w:rPr>
                <w:rFonts w:hint="eastAsia"/>
                <w:lang w:val="en-US" w:eastAsia="zh-CN"/>
              </w:rPr>
              <w:t>⑥拆除能有效回收的含铜、铝、镁等有色金属部件</w:t>
            </w:r>
            <w:r>
              <w:rPr>
                <w:rFonts w:hint="eastAsia" w:ascii="宋体" w:hAnsi="宋体" w:eastAsia="宋体" w:cs="宋体"/>
                <w:lang w:val="en-US" w:eastAsia="zh-CN"/>
              </w:rPr>
              <w:t>，</w:t>
            </w:r>
            <w:r>
              <w:rPr>
                <w:rFonts w:hint="eastAsia"/>
                <w:lang w:val="en-US" w:eastAsia="zh-CN"/>
              </w:rPr>
              <w:t>获得废有色金属、废橡胶</w:t>
            </w:r>
            <w:r>
              <w:rPr>
                <w:rFonts w:hint="eastAsia" w:ascii="宋体" w:hAnsi="宋体" w:eastAsia="宋体" w:cs="宋体"/>
                <w:lang w:val="en-US" w:eastAsia="zh-CN"/>
              </w:rPr>
              <w:t>；</w:t>
            </w:r>
          </w:p>
          <w:p>
            <w:pPr>
              <w:pStyle w:val="25"/>
              <w:bidi w:val="0"/>
              <w:jc w:val="both"/>
              <w:rPr>
                <w:rFonts w:hint="default"/>
                <w:lang w:val="en-US" w:eastAsia="zh-CN"/>
              </w:rPr>
            </w:pPr>
            <w:r>
              <w:rPr>
                <w:rFonts w:hint="eastAsia"/>
                <w:lang w:val="en-US" w:eastAsia="zh-CN"/>
              </w:rPr>
              <w:t>⑦拆除能有效回收的大型塑料件（如保险杠、仪表板、液体容器等）</w:t>
            </w:r>
            <w:r>
              <w:rPr>
                <w:rFonts w:hint="eastAsia" w:ascii="宋体" w:hAnsi="宋体" w:eastAsia="宋体" w:cs="宋体"/>
                <w:lang w:val="en-US" w:eastAsia="zh-CN"/>
              </w:rPr>
              <w:t>，</w:t>
            </w:r>
            <w:r>
              <w:rPr>
                <w:rFonts w:hint="eastAsia"/>
                <w:lang w:val="en-US" w:eastAsia="zh-CN"/>
              </w:rPr>
              <w:t>获得废塑料</w:t>
            </w:r>
            <w:r>
              <w:rPr>
                <w:rFonts w:hint="eastAsia" w:ascii="宋体" w:hAnsi="宋体" w:eastAsia="宋体" w:cs="宋体"/>
                <w:lang w:val="en-US" w:eastAsia="zh-CN"/>
              </w:rPr>
              <w:t>；</w:t>
            </w:r>
          </w:p>
          <w:p>
            <w:pPr>
              <w:pStyle w:val="25"/>
              <w:bidi w:val="0"/>
              <w:jc w:val="both"/>
              <w:rPr>
                <w:rFonts w:hint="default"/>
                <w:lang w:val="en-US" w:eastAsia="zh-CN"/>
              </w:rPr>
            </w:pPr>
            <w:r>
              <w:rPr>
                <w:rFonts w:hint="eastAsia"/>
                <w:lang w:val="en-US" w:eastAsia="zh-CN"/>
              </w:rPr>
              <w:t>⑧拆除橡胶制品部件</w:t>
            </w:r>
            <w:r>
              <w:rPr>
                <w:rFonts w:hint="eastAsia" w:ascii="宋体" w:hAnsi="宋体" w:eastAsia="宋体" w:cs="宋体"/>
                <w:lang w:val="en-US" w:eastAsia="zh-CN"/>
              </w:rPr>
              <w:t>，</w:t>
            </w:r>
            <w:r>
              <w:rPr>
                <w:rFonts w:hint="eastAsia"/>
                <w:lang w:val="en-US" w:eastAsia="zh-CN"/>
              </w:rPr>
              <w:t>获得废橡胶</w:t>
            </w:r>
            <w:r>
              <w:rPr>
                <w:rFonts w:hint="eastAsia" w:ascii="宋体" w:hAnsi="宋体" w:eastAsia="宋体" w:cs="宋体"/>
                <w:lang w:val="en-US" w:eastAsia="zh-CN"/>
              </w:rPr>
              <w:t>；</w:t>
            </w:r>
          </w:p>
          <w:p>
            <w:pPr>
              <w:pStyle w:val="25"/>
              <w:bidi w:val="0"/>
              <w:jc w:val="both"/>
              <w:rPr>
                <w:rFonts w:hint="default"/>
                <w:lang w:val="en-US" w:eastAsia="zh-CN"/>
              </w:rPr>
            </w:pPr>
            <w:r>
              <w:rPr>
                <w:rFonts w:hint="eastAsia"/>
                <w:lang w:val="en-US" w:eastAsia="zh-CN"/>
              </w:rPr>
              <w:t>⑨拆除五大总成及零部件</w:t>
            </w:r>
            <w:r>
              <w:rPr>
                <w:rFonts w:hint="eastAsia" w:ascii="宋体" w:hAnsi="宋体" w:eastAsia="宋体" w:cs="宋体"/>
                <w:lang w:val="en-US" w:eastAsia="zh-CN"/>
              </w:rPr>
              <w:t>，</w:t>
            </w:r>
            <w:r>
              <w:rPr>
                <w:rFonts w:hint="eastAsia"/>
                <w:lang w:val="en-US" w:eastAsia="zh-CN"/>
              </w:rPr>
              <w:t>并对总成进行精拆</w:t>
            </w:r>
            <w:r>
              <w:rPr>
                <w:rFonts w:hint="eastAsia" w:ascii="宋体" w:hAnsi="宋体" w:eastAsia="宋体" w:cs="宋体"/>
                <w:lang w:val="en-US" w:eastAsia="zh-CN"/>
              </w:rPr>
              <w:t>，</w:t>
            </w:r>
            <w:r>
              <w:rPr>
                <w:rFonts w:hint="eastAsia"/>
                <w:lang w:val="en-US" w:eastAsia="zh-CN"/>
              </w:rPr>
              <w:t>精拆后获得废钢铁、废油液</w:t>
            </w:r>
            <w:r>
              <w:rPr>
                <w:rFonts w:hint="eastAsia" w:ascii="宋体" w:hAnsi="宋体" w:eastAsia="宋体" w:cs="宋体"/>
                <w:lang w:val="en-US" w:eastAsia="zh-CN"/>
              </w:rPr>
              <w:t>；</w:t>
            </w:r>
          </w:p>
          <w:p>
            <w:pPr>
              <w:pStyle w:val="25"/>
              <w:bidi w:val="0"/>
              <w:jc w:val="both"/>
              <w:rPr>
                <w:rFonts w:hint="eastAsia"/>
                <w:lang w:val="en-US" w:eastAsia="zh-CN"/>
              </w:rPr>
            </w:pPr>
            <w:r>
              <w:rPr>
                <w:rFonts w:hint="eastAsia"/>
                <w:lang w:val="en-US" w:eastAsia="zh-CN"/>
              </w:rPr>
              <w:t>⑩车架切割及打包</w:t>
            </w:r>
            <w:r>
              <w:rPr>
                <w:rFonts w:hint="eastAsia" w:ascii="宋体" w:hAnsi="宋体" w:eastAsia="宋体" w:cs="宋体"/>
                <w:lang w:val="en-US" w:eastAsia="zh-CN"/>
              </w:rPr>
              <w:t>，</w:t>
            </w:r>
            <w:r>
              <w:rPr>
                <w:rFonts w:hint="eastAsia"/>
                <w:lang w:val="en-US" w:eastAsia="zh-CN"/>
              </w:rPr>
              <w:t>采用液压龙门剪、等离子切割机进行切割</w:t>
            </w:r>
            <w:r>
              <w:rPr>
                <w:rFonts w:hint="eastAsia" w:ascii="宋体" w:hAnsi="宋体" w:eastAsia="宋体" w:cs="宋体"/>
                <w:lang w:val="en-US" w:eastAsia="zh-CN"/>
              </w:rPr>
              <w:t>，</w:t>
            </w:r>
            <w:r>
              <w:rPr>
                <w:rFonts w:hint="eastAsia"/>
                <w:lang w:val="en-US" w:eastAsia="zh-CN"/>
              </w:rPr>
              <w:t>切割后的废钢铁采用液压金属打包机打包后外售</w:t>
            </w:r>
            <w:r>
              <w:rPr>
                <w:rFonts w:hint="eastAsia" w:ascii="宋体" w:hAnsi="宋体" w:eastAsia="宋体" w:cs="宋体"/>
                <w:lang w:val="en-US" w:eastAsia="zh-CN"/>
              </w:rPr>
              <w:t>。</w:t>
            </w:r>
          </w:p>
          <w:p>
            <w:pPr>
              <w:pStyle w:val="25"/>
              <w:bidi w:val="0"/>
              <w:jc w:val="both"/>
              <w:rPr>
                <w:rFonts w:hint="eastAsia"/>
                <w:lang w:val="en-US" w:eastAsia="zh-CN"/>
              </w:rPr>
            </w:pPr>
            <w:r>
              <w:rPr>
                <w:rFonts w:hint="eastAsia"/>
                <w:lang w:val="en-US" w:eastAsia="zh-CN"/>
              </w:rPr>
              <w:t>（5）总成精拆</w:t>
            </w:r>
          </w:p>
          <w:p>
            <w:pPr>
              <w:pStyle w:val="25"/>
              <w:bidi w:val="0"/>
              <w:jc w:val="both"/>
              <w:rPr>
                <w:rFonts w:hint="eastAsia"/>
                <w:lang w:val="en-US" w:eastAsia="zh-CN"/>
              </w:rPr>
            </w:pPr>
            <w:r>
              <w:rPr>
                <w:rFonts w:hint="eastAsia"/>
                <w:lang w:val="en-US" w:eastAsia="zh-CN"/>
              </w:rPr>
              <w:t>根据《报废机动车回收管理办法》（国务院令第715号）可知</w:t>
            </w:r>
            <w:r>
              <w:rPr>
                <w:rFonts w:hint="eastAsia" w:ascii="宋体" w:hAnsi="宋体" w:eastAsia="宋体" w:cs="宋体"/>
                <w:lang w:val="en-US" w:eastAsia="zh-CN"/>
              </w:rPr>
              <w:t>，</w:t>
            </w:r>
            <w:r>
              <w:rPr>
                <w:rFonts w:hint="eastAsia"/>
                <w:lang w:val="en-US" w:eastAsia="zh-CN"/>
              </w:rPr>
              <w:t>回收拆解企业拆解的报废机动车</w:t>
            </w:r>
            <w:r>
              <w:rPr>
                <w:rFonts w:hint="eastAsia" w:ascii="宋体" w:hAnsi="宋体" w:eastAsia="宋体" w:cs="宋体"/>
                <w:lang w:val="en-US" w:eastAsia="zh-CN"/>
              </w:rPr>
              <w:t>“</w:t>
            </w:r>
            <w:r>
              <w:rPr>
                <w:rFonts w:hint="eastAsia"/>
                <w:lang w:val="en-US" w:eastAsia="zh-CN"/>
              </w:rPr>
              <w:t>五大总成</w:t>
            </w:r>
            <w:r>
              <w:rPr>
                <w:rFonts w:hint="eastAsia" w:ascii="宋体" w:hAnsi="宋体" w:eastAsia="宋体" w:cs="宋体"/>
                <w:lang w:val="en-US" w:eastAsia="zh-CN"/>
              </w:rPr>
              <w:t>”</w:t>
            </w:r>
            <w:r>
              <w:rPr>
                <w:rFonts w:hint="eastAsia"/>
                <w:lang w:val="en-US" w:eastAsia="zh-CN"/>
              </w:rPr>
              <w:t>具备再制造条件的</w:t>
            </w:r>
            <w:r>
              <w:rPr>
                <w:rFonts w:hint="eastAsia" w:ascii="宋体" w:hAnsi="宋体" w:eastAsia="宋体" w:cs="宋体"/>
                <w:lang w:val="en-US" w:eastAsia="zh-CN"/>
              </w:rPr>
              <w:t>，</w:t>
            </w:r>
            <w:r>
              <w:rPr>
                <w:rFonts w:hint="eastAsia"/>
                <w:lang w:val="en-US" w:eastAsia="zh-CN"/>
              </w:rPr>
              <w:t>可以按照国家有关规定出售给具有再制造能力的企业经过再制造予以循环使用</w:t>
            </w:r>
            <w:r>
              <w:rPr>
                <w:rFonts w:hint="eastAsia" w:ascii="宋体" w:hAnsi="宋体" w:eastAsia="宋体" w:cs="宋体"/>
                <w:lang w:val="en-US" w:eastAsia="zh-CN"/>
              </w:rPr>
              <w:t>；</w:t>
            </w:r>
            <w:r>
              <w:rPr>
                <w:rFonts w:hint="eastAsia"/>
                <w:lang w:val="en-US" w:eastAsia="zh-CN"/>
              </w:rPr>
              <w:t>不具备再制造条件的</w:t>
            </w:r>
            <w:r>
              <w:rPr>
                <w:rFonts w:hint="eastAsia" w:ascii="宋体" w:hAnsi="宋体" w:eastAsia="宋体" w:cs="宋体"/>
                <w:lang w:val="en-US" w:eastAsia="zh-CN"/>
              </w:rPr>
              <w:t>，</w:t>
            </w:r>
            <w:r>
              <w:rPr>
                <w:rFonts w:hint="eastAsia"/>
                <w:lang w:val="en-US" w:eastAsia="zh-CN"/>
              </w:rPr>
              <w:t>应当作为废金属</w:t>
            </w:r>
            <w:r>
              <w:rPr>
                <w:rFonts w:hint="eastAsia" w:ascii="宋体" w:hAnsi="宋体" w:eastAsia="宋体" w:cs="宋体"/>
                <w:lang w:val="en-US" w:eastAsia="zh-CN"/>
              </w:rPr>
              <w:t>，</w:t>
            </w:r>
            <w:r>
              <w:rPr>
                <w:rFonts w:hint="eastAsia"/>
                <w:lang w:val="en-US" w:eastAsia="zh-CN"/>
              </w:rPr>
              <w:t>出售给钢铁企业作为冶炼原料</w:t>
            </w:r>
            <w:r>
              <w:rPr>
                <w:rFonts w:hint="eastAsia" w:ascii="宋体" w:hAnsi="宋体" w:eastAsia="宋体" w:cs="宋体"/>
                <w:lang w:val="en-US" w:eastAsia="zh-CN"/>
              </w:rPr>
              <w:t>。</w:t>
            </w:r>
          </w:p>
          <w:p>
            <w:pPr>
              <w:pStyle w:val="25"/>
              <w:bidi w:val="0"/>
              <w:jc w:val="both"/>
              <w:rPr>
                <w:rFonts w:hint="eastAsia"/>
                <w:lang w:val="en-US" w:eastAsia="zh-CN"/>
              </w:rPr>
            </w:pPr>
            <w:r>
              <w:rPr>
                <w:rFonts w:hint="eastAsia"/>
                <w:lang w:val="en-US" w:eastAsia="zh-CN"/>
              </w:rPr>
              <w:t>报废汽车精细拆解的主要内容是将初步拆解后产生的报废汽车各机械总成进行零部件和附件的精细拆解加工</w:t>
            </w:r>
            <w:r>
              <w:rPr>
                <w:rFonts w:hint="eastAsia" w:ascii="宋体" w:hAnsi="宋体" w:eastAsia="宋体" w:cs="宋体"/>
                <w:lang w:val="en-US" w:eastAsia="zh-CN"/>
              </w:rPr>
              <w:t>。</w:t>
            </w:r>
            <w:r>
              <w:rPr>
                <w:rFonts w:hint="eastAsia"/>
                <w:lang w:val="en-US" w:eastAsia="zh-CN"/>
              </w:rPr>
              <w:t>通过精细拆解</w:t>
            </w:r>
            <w:r>
              <w:rPr>
                <w:rFonts w:hint="eastAsia" w:ascii="宋体" w:hAnsi="宋体" w:eastAsia="宋体" w:cs="宋体"/>
                <w:lang w:val="en-US" w:eastAsia="zh-CN"/>
              </w:rPr>
              <w:t>，</w:t>
            </w:r>
            <w:r>
              <w:rPr>
                <w:rFonts w:hint="eastAsia"/>
                <w:lang w:val="en-US" w:eastAsia="zh-CN"/>
              </w:rPr>
              <w:t>能够获得大量的总成零部件</w:t>
            </w:r>
            <w:r>
              <w:rPr>
                <w:rFonts w:hint="eastAsia" w:ascii="宋体" w:hAnsi="宋体" w:eastAsia="宋体" w:cs="宋体"/>
                <w:lang w:val="en-US" w:eastAsia="zh-CN"/>
              </w:rPr>
              <w:t>，</w:t>
            </w:r>
            <w:r>
              <w:rPr>
                <w:rFonts w:hint="eastAsia"/>
                <w:lang w:val="en-US" w:eastAsia="zh-CN"/>
              </w:rPr>
              <w:t>为再生零部件制造提供原材料</w:t>
            </w:r>
            <w:r>
              <w:rPr>
                <w:rFonts w:hint="eastAsia" w:ascii="宋体" w:hAnsi="宋体" w:eastAsia="宋体" w:cs="宋体"/>
                <w:lang w:val="en-US" w:eastAsia="zh-CN"/>
              </w:rPr>
              <w:t>。</w:t>
            </w:r>
            <w:r>
              <w:rPr>
                <w:rFonts w:hint="eastAsia"/>
                <w:lang w:val="en-US" w:eastAsia="zh-CN"/>
              </w:rPr>
              <w:t>机械总成的体积较小</w:t>
            </w:r>
            <w:r>
              <w:rPr>
                <w:rFonts w:hint="eastAsia" w:ascii="宋体" w:hAnsi="宋体" w:eastAsia="宋体" w:cs="宋体"/>
                <w:lang w:val="en-US" w:eastAsia="zh-CN"/>
              </w:rPr>
              <w:t>，</w:t>
            </w:r>
            <w:r>
              <w:rPr>
                <w:rFonts w:hint="eastAsia"/>
                <w:lang w:val="en-US" w:eastAsia="zh-CN"/>
              </w:rPr>
              <w:t>其机械构造较复杂</w:t>
            </w:r>
            <w:r>
              <w:rPr>
                <w:rFonts w:hint="eastAsia" w:ascii="宋体" w:hAnsi="宋体" w:eastAsia="宋体" w:cs="宋体"/>
                <w:lang w:val="en-US" w:eastAsia="zh-CN"/>
              </w:rPr>
              <w:t>。</w:t>
            </w:r>
            <w:r>
              <w:rPr>
                <w:rFonts w:hint="eastAsia"/>
                <w:lang w:val="en-US" w:eastAsia="zh-CN"/>
              </w:rPr>
              <w:t>本项目根据各机械总成的组成和特点</w:t>
            </w:r>
            <w:r>
              <w:rPr>
                <w:rFonts w:hint="eastAsia" w:ascii="宋体" w:hAnsi="宋体" w:eastAsia="宋体" w:cs="宋体"/>
                <w:lang w:val="en-US" w:eastAsia="zh-CN"/>
              </w:rPr>
              <w:t>，</w:t>
            </w:r>
            <w:r>
              <w:rPr>
                <w:rFonts w:hint="eastAsia"/>
                <w:lang w:val="en-US" w:eastAsia="zh-CN"/>
              </w:rPr>
              <w:t>在车间内设置精细拆解平台</w:t>
            </w:r>
            <w:r>
              <w:rPr>
                <w:rFonts w:hint="eastAsia" w:ascii="宋体" w:hAnsi="宋体" w:eastAsia="宋体" w:cs="宋体"/>
                <w:lang w:val="en-US" w:eastAsia="zh-CN"/>
              </w:rPr>
              <w:t>，</w:t>
            </w:r>
            <w:r>
              <w:rPr>
                <w:rFonts w:hint="eastAsia"/>
                <w:lang w:val="en-US" w:eastAsia="zh-CN"/>
              </w:rPr>
              <w:t>采用人工精细拆解</w:t>
            </w:r>
            <w:r>
              <w:rPr>
                <w:rFonts w:hint="eastAsia" w:ascii="宋体" w:hAnsi="宋体" w:eastAsia="宋体" w:cs="宋体"/>
                <w:lang w:val="en-US" w:eastAsia="zh-CN"/>
              </w:rPr>
              <w:t>，</w:t>
            </w:r>
            <w:r>
              <w:rPr>
                <w:rFonts w:hint="eastAsia"/>
                <w:lang w:val="en-US" w:eastAsia="zh-CN"/>
              </w:rPr>
              <w:t>拆解过程中采用一次性抹布对总成零部件表面机油进行擦拭</w:t>
            </w:r>
            <w:r>
              <w:rPr>
                <w:rFonts w:hint="eastAsia" w:ascii="宋体" w:hAnsi="宋体" w:eastAsia="宋体" w:cs="宋体"/>
                <w:lang w:val="en-US" w:eastAsia="zh-CN"/>
              </w:rPr>
              <w:t>。</w:t>
            </w:r>
            <w:r>
              <w:rPr>
                <w:rFonts w:hint="eastAsia"/>
                <w:lang w:val="en-US" w:eastAsia="zh-CN"/>
              </w:rPr>
              <w:t>精拆平台为钢结构</w:t>
            </w:r>
            <w:r>
              <w:rPr>
                <w:rFonts w:hint="eastAsia" w:ascii="宋体" w:hAnsi="宋体" w:eastAsia="宋体" w:cs="宋体"/>
                <w:lang w:val="en-US" w:eastAsia="zh-CN"/>
              </w:rPr>
              <w:t>，</w:t>
            </w:r>
            <w:r>
              <w:rPr>
                <w:rFonts w:hint="eastAsia"/>
                <w:lang w:val="en-US" w:eastAsia="zh-CN"/>
              </w:rPr>
              <w:t>工作台面铺设两张钢板</w:t>
            </w:r>
            <w:r>
              <w:rPr>
                <w:rFonts w:hint="eastAsia" w:ascii="宋体" w:hAnsi="宋体" w:eastAsia="宋体" w:cs="宋体"/>
                <w:lang w:val="en-US" w:eastAsia="zh-CN"/>
              </w:rPr>
              <w:t>，</w:t>
            </w:r>
            <w:r>
              <w:rPr>
                <w:rFonts w:hint="eastAsia"/>
                <w:lang w:val="en-US" w:eastAsia="zh-CN"/>
              </w:rPr>
              <w:t>两张钢板向台面中线倾卸</w:t>
            </w:r>
            <w:r>
              <w:rPr>
                <w:rFonts w:hint="eastAsia" w:ascii="宋体" w:hAnsi="宋体" w:eastAsia="宋体" w:cs="宋体"/>
                <w:lang w:val="en-US" w:eastAsia="zh-CN"/>
              </w:rPr>
              <w:t>，</w:t>
            </w:r>
            <w:r>
              <w:rPr>
                <w:rFonts w:hint="eastAsia"/>
                <w:lang w:val="en-US" w:eastAsia="zh-CN"/>
              </w:rPr>
              <w:t>之间留缝隙</w:t>
            </w:r>
            <w:r>
              <w:rPr>
                <w:rFonts w:hint="eastAsia" w:ascii="宋体" w:hAnsi="宋体" w:eastAsia="宋体" w:cs="宋体"/>
                <w:lang w:val="en-US" w:eastAsia="zh-CN"/>
              </w:rPr>
              <w:t>，</w:t>
            </w:r>
            <w:r>
              <w:rPr>
                <w:rFonts w:hint="eastAsia"/>
                <w:lang w:val="en-US" w:eastAsia="zh-CN"/>
              </w:rPr>
              <w:t>废机油经缝隙流入台面下的废机油引流槽</w:t>
            </w:r>
            <w:r>
              <w:rPr>
                <w:rFonts w:hint="eastAsia" w:ascii="宋体" w:hAnsi="宋体" w:eastAsia="宋体" w:cs="宋体"/>
                <w:lang w:val="en-US" w:eastAsia="zh-CN"/>
              </w:rPr>
              <w:t>，</w:t>
            </w:r>
            <w:r>
              <w:rPr>
                <w:rFonts w:hint="eastAsia"/>
                <w:lang w:val="en-US" w:eastAsia="zh-CN"/>
              </w:rPr>
              <w:t>引流槽出口接管道</w:t>
            </w:r>
            <w:r>
              <w:rPr>
                <w:rFonts w:hint="eastAsia" w:ascii="宋体" w:hAnsi="宋体" w:eastAsia="宋体" w:cs="宋体"/>
                <w:lang w:val="en-US" w:eastAsia="zh-CN"/>
              </w:rPr>
              <w:t>，</w:t>
            </w:r>
            <w:r>
              <w:rPr>
                <w:rFonts w:hint="eastAsia"/>
                <w:lang w:val="en-US" w:eastAsia="zh-CN"/>
              </w:rPr>
              <w:t>废机油由管道重力引流至废机油桶收集储存</w:t>
            </w:r>
            <w:r>
              <w:rPr>
                <w:rFonts w:hint="eastAsia" w:ascii="宋体" w:hAnsi="宋体" w:eastAsia="宋体" w:cs="宋体"/>
                <w:lang w:val="en-US" w:eastAsia="zh-CN"/>
              </w:rPr>
              <w:t>，</w:t>
            </w:r>
            <w:r>
              <w:rPr>
                <w:rFonts w:hint="eastAsia"/>
                <w:lang w:val="en-US" w:eastAsia="zh-CN"/>
              </w:rPr>
              <w:t>然后转运至危废暂存间暂存</w:t>
            </w:r>
            <w:r>
              <w:rPr>
                <w:rFonts w:hint="eastAsia" w:ascii="宋体" w:hAnsi="宋体" w:eastAsia="宋体" w:cs="宋体"/>
                <w:lang w:val="en-US" w:eastAsia="zh-CN"/>
              </w:rPr>
              <w:t>，</w:t>
            </w:r>
            <w:r>
              <w:rPr>
                <w:rFonts w:hint="eastAsia"/>
                <w:lang w:val="en-US" w:eastAsia="zh-CN"/>
              </w:rPr>
              <w:t>最终交有资质单位处置</w:t>
            </w:r>
            <w:r>
              <w:rPr>
                <w:rFonts w:hint="eastAsia" w:ascii="宋体" w:hAnsi="宋体" w:eastAsia="宋体" w:cs="宋体"/>
                <w:lang w:val="en-US" w:eastAsia="zh-CN"/>
              </w:rPr>
              <w:t>。</w:t>
            </w:r>
          </w:p>
          <w:p>
            <w:pPr>
              <w:pStyle w:val="25"/>
              <w:bidi w:val="0"/>
              <w:jc w:val="both"/>
              <w:rPr>
                <w:rFonts w:hint="eastAsia"/>
                <w:lang w:val="en-US" w:eastAsia="zh-CN"/>
              </w:rPr>
            </w:pPr>
            <w:r>
              <w:rPr>
                <w:rFonts w:hint="eastAsia"/>
                <w:lang w:val="en-US" w:eastAsia="zh-CN"/>
              </w:rPr>
              <w:t>（6）暂存及管理</w:t>
            </w:r>
          </w:p>
          <w:p>
            <w:pPr>
              <w:pStyle w:val="25"/>
              <w:bidi w:val="0"/>
              <w:jc w:val="both"/>
              <w:rPr>
                <w:rFonts w:hint="eastAsia"/>
                <w:lang w:val="en-US" w:eastAsia="zh-CN"/>
              </w:rPr>
            </w:pPr>
            <w:r>
              <w:rPr>
                <w:rFonts w:hint="eastAsia"/>
                <w:lang w:val="en-US" w:eastAsia="zh-CN"/>
              </w:rPr>
              <w:t>①使用各种专用密闭容器暂存废液</w:t>
            </w:r>
            <w:r>
              <w:rPr>
                <w:rFonts w:hint="eastAsia" w:ascii="宋体" w:hAnsi="宋体" w:eastAsia="宋体" w:cs="宋体"/>
                <w:lang w:val="en-US" w:eastAsia="zh-CN"/>
              </w:rPr>
              <w:t>，</w:t>
            </w:r>
            <w:r>
              <w:rPr>
                <w:rFonts w:hint="eastAsia"/>
                <w:lang w:val="en-US" w:eastAsia="zh-CN"/>
              </w:rPr>
              <w:t>防止废液挥发</w:t>
            </w:r>
            <w:r>
              <w:rPr>
                <w:rFonts w:hint="eastAsia" w:ascii="宋体" w:hAnsi="宋体" w:eastAsia="宋体" w:cs="宋体"/>
                <w:lang w:val="en-US" w:eastAsia="zh-CN"/>
              </w:rPr>
              <w:t>，</w:t>
            </w:r>
            <w:r>
              <w:rPr>
                <w:rFonts w:hint="eastAsia"/>
                <w:lang w:val="en-US" w:eastAsia="zh-CN"/>
              </w:rPr>
              <w:t>并交有资质单位回收处理</w:t>
            </w:r>
            <w:r>
              <w:rPr>
                <w:rFonts w:hint="eastAsia" w:ascii="宋体" w:hAnsi="宋体" w:eastAsia="宋体" w:cs="宋体"/>
                <w:lang w:val="en-US" w:eastAsia="zh-CN"/>
              </w:rPr>
              <w:t>；</w:t>
            </w:r>
          </w:p>
          <w:p>
            <w:pPr>
              <w:pStyle w:val="25"/>
              <w:bidi w:val="0"/>
              <w:jc w:val="both"/>
              <w:rPr>
                <w:rFonts w:hint="eastAsia"/>
                <w:lang w:val="en-US" w:eastAsia="zh-CN"/>
              </w:rPr>
            </w:pPr>
            <w:r>
              <w:rPr>
                <w:rFonts w:hint="eastAsia"/>
                <w:lang w:val="en-US" w:eastAsia="zh-CN"/>
              </w:rPr>
              <w:t>②拆下的可再利用零部件在室内暂存</w:t>
            </w:r>
            <w:r>
              <w:rPr>
                <w:rFonts w:hint="eastAsia" w:ascii="宋体" w:hAnsi="宋体" w:eastAsia="宋体" w:cs="宋体"/>
                <w:lang w:val="en-US" w:eastAsia="zh-CN"/>
              </w:rPr>
              <w:t>。</w:t>
            </w:r>
            <w:r>
              <w:rPr>
                <w:rFonts w:hint="eastAsia"/>
                <w:lang w:val="en-US" w:eastAsia="zh-CN"/>
              </w:rPr>
              <w:t>尺寸较大的废钢铁进行切割分段</w:t>
            </w:r>
            <w:r>
              <w:rPr>
                <w:rFonts w:hint="eastAsia" w:ascii="宋体" w:hAnsi="宋体" w:eastAsia="宋体" w:cs="宋体"/>
                <w:lang w:val="en-US" w:eastAsia="zh-CN"/>
              </w:rPr>
              <w:t>；</w:t>
            </w:r>
          </w:p>
          <w:p>
            <w:pPr>
              <w:pStyle w:val="25"/>
              <w:bidi w:val="0"/>
              <w:jc w:val="both"/>
              <w:rPr>
                <w:rFonts w:hint="eastAsia"/>
                <w:lang w:val="en-US" w:eastAsia="zh-CN"/>
              </w:rPr>
            </w:pPr>
            <w:r>
              <w:rPr>
                <w:rFonts w:hint="eastAsia"/>
                <w:lang w:val="en-US" w:eastAsia="zh-CN"/>
              </w:rPr>
              <w:t>③对暂存的各种零部件、材料、废弃物的容器进行标识</w:t>
            </w:r>
            <w:r>
              <w:rPr>
                <w:rFonts w:hint="eastAsia" w:ascii="宋体" w:hAnsi="宋体" w:eastAsia="宋体" w:cs="宋体"/>
                <w:lang w:val="en-US" w:eastAsia="zh-CN"/>
              </w:rPr>
              <w:t>，</w:t>
            </w:r>
            <w:r>
              <w:rPr>
                <w:rFonts w:hint="eastAsia"/>
                <w:lang w:val="en-US" w:eastAsia="zh-CN"/>
              </w:rPr>
              <w:t>避免混合、混放</w:t>
            </w:r>
            <w:r>
              <w:rPr>
                <w:rFonts w:hint="eastAsia" w:ascii="宋体" w:hAnsi="宋体" w:eastAsia="宋体" w:cs="宋体"/>
                <w:lang w:val="en-US" w:eastAsia="zh-CN"/>
              </w:rPr>
              <w:t>；</w:t>
            </w:r>
          </w:p>
          <w:p>
            <w:pPr>
              <w:pStyle w:val="25"/>
              <w:bidi w:val="0"/>
              <w:jc w:val="both"/>
              <w:rPr>
                <w:rFonts w:hint="eastAsia"/>
                <w:lang w:val="en-US" w:eastAsia="zh-CN"/>
              </w:rPr>
            </w:pPr>
            <w:r>
              <w:rPr>
                <w:rFonts w:hint="eastAsia"/>
                <w:lang w:val="en-US" w:eastAsia="zh-CN"/>
              </w:rPr>
              <w:t>④对拆解后所有的零部件、材料、废弃物进行分类暂存和标识</w:t>
            </w:r>
            <w:r>
              <w:rPr>
                <w:rFonts w:hint="eastAsia" w:ascii="宋体" w:hAnsi="宋体" w:eastAsia="宋体" w:cs="宋体"/>
                <w:lang w:val="en-US" w:eastAsia="zh-CN"/>
              </w:rPr>
              <w:t>，</w:t>
            </w:r>
            <w:r>
              <w:rPr>
                <w:rFonts w:hint="eastAsia"/>
                <w:lang w:val="en-US" w:eastAsia="zh-CN"/>
              </w:rPr>
              <w:t>含有害物质的部件应标明有害物质的种类</w:t>
            </w:r>
            <w:r>
              <w:rPr>
                <w:rFonts w:hint="eastAsia" w:ascii="宋体" w:hAnsi="宋体" w:eastAsia="宋体" w:cs="宋体"/>
                <w:lang w:val="en-US" w:eastAsia="zh-CN"/>
              </w:rPr>
              <w:t>；</w:t>
            </w:r>
          </w:p>
          <w:p>
            <w:pPr>
              <w:pStyle w:val="25"/>
              <w:bidi w:val="0"/>
              <w:jc w:val="both"/>
              <w:rPr>
                <w:rFonts w:hint="eastAsia"/>
                <w:lang w:val="en-US" w:eastAsia="zh-CN"/>
              </w:rPr>
            </w:pPr>
            <w:r>
              <w:rPr>
                <w:rFonts w:hint="eastAsia"/>
                <w:lang w:val="en-US" w:eastAsia="zh-CN"/>
              </w:rPr>
              <w:t>⑤容器和装置要防漏和防止洒溅</w:t>
            </w:r>
            <w:r>
              <w:rPr>
                <w:rFonts w:hint="eastAsia" w:ascii="宋体" w:hAnsi="宋体" w:eastAsia="宋体" w:cs="宋体"/>
                <w:lang w:val="en-US" w:eastAsia="zh-CN"/>
              </w:rPr>
              <w:t>，</w:t>
            </w:r>
            <w:r>
              <w:rPr>
                <w:rFonts w:hint="eastAsia"/>
                <w:lang w:val="en-US" w:eastAsia="zh-CN"/>
              </w:rPr>
              <w:t>未引爆安全气囊的暂存装置应防爆</w:t>
            </w:r>
            <w:r>
              <w:rPr>
                <w:rFonts w:hint="eastAsia" w:ascii="宋体" w:hAnsi="宋体" w:eastAsia="宋体" w:cs="宋体"/>
                <w:lang w:val="en-US" w:eastAsia="zh-CN"/>
              </w:rPr>
              <w:t>，</w:t>
            </w:r>
            <w:r>
              <w:rPr>
                <w:rFonts w:hint="eastAsia"/>
                <w:lang w:val="en-US" w:eastAsia="zh-CN"/>
              </w:rPr>
              <w:t>并对其进行日常性检查</w:t>
            </w:r>
            <w:r>
              <w:rPr>
                <w:rFonts w:hint="eastAsia" w:ascii="宋体" w:hAnsi="宋体" w:eastAsia="宋体" w:cs="宋体"/>
                <w:lang w:val="en-US" w:eastAsia="zh-CN"/>
              </w:rPr>
              <w:t>；</w:t>
            </w:r>
          </w:p>
          <w:p>
            <w:pPr>
              <w:pStyle w:val="25"/>
              <w:bidi w:val="0"/>
              <w:jc w:val="both"/>
              <w:rPr>
                <w:rFonts w:hint="eastAsia"/>
                <w:lang w:val="en-US" w:eastAsia="zh-CN"/>
              </w:rPr>
            </w:pPr>
            <w:r>
              <w:rPr>
                <w:rFonts w:hint="eastAsia"/>
                <w:lang w:val="en-US" w:eastAsia="zh-CN"/>
              </w:rPr>
              <w:t>⑥拆解后废弃物的暂存应严格按照GB18599和GB18597要求执行</w:t>
            </w:r>
            <w:r>
              <w:rPr>
                <w:rFonts w:hint="eastAsia" w:ascii="宋体" w:hAnsi="宋体" w:eastAsia="宋体" w:cs="宋体"/>
                <w:lang w:val="en-US" w:eastAsia="zh-CN"/>
              </w:rPr>
              <w:t>；</w:t>
            </w:r>
          </w:p>
          <w:p>
            <w:pPr>
              <w:pStyle w:val="25"/>
              <w:bidi w:val="0"/>
              <w:jc w:val="both"/>
              <w:rPr>
                <w:rFonts w:hint="eastAsia"/>
                <w:lang w:val="en-US" w:eastAsia="zh-CN"/>
              </w:rPr>
            </w:pPr>
            <w:r>
              <w:rPr>
                <w:rFonts w:hint="eastAsia"/>
                <w:lang w:val="en-US" w:eastAsia="zh-CN"/>
              </w:rPr>
              <w:t>⑦固体废弃物应交给符合国家相关标准的废物处理单位处理</w:t>
            </w:r>
            <w:r>
              <w:rPr>
                <w:rFonts w:hint="eastAsia" w:ascii="宋体" w:hAnsi="宋体" w:eastAsia="宋体" w:cs="宋体"/>
                <w:lang w:val="en-US" w:eastAsia="zh-CN"/>
              </w:rPr>
              <w:t>，</w:t>
            </w:r>
            <w:r>
              <w:rPr>
                <w:rFonts w:hint="eastAsia"/>
                <w:lang w:val="en-US" w:eastAsia="zh-CN"/>
              </w:rPr>
              <w:t>不得非法转移、倾倒、利用、处置</w:t>
            </w:r>
            <w:r>
              <w:rPr>
                <w:rFonts w:hint="eastAsia" w:ascii="宋体" w:hAnsi="宋体" w:eastAsia="宋体" w:cs="宋体"/>
                <w:lang w:val="en-US" w:eastAsia="zh-CN"/>
              </w:rPr>
              <w:t>。</w:t>
            </w:r>
            <w:r>
              <w:rPr>
                <w:rFonts w:hint="eastAsia"/>
                <w:lang w:val="en-US" w:eastAsia="zh-CN"/>
              </w:rPr>
              <w:t>危险废物储存时间不超过一年</w:t>
            </w:r>
            <w:r>
              <w:rPr>
                <w:rFonts w:hint="eastAsia" w:ascii="宋体" w:hAnsi="宋体" w:eastAsia="宋体" w:cs="宋体"/>
                <w:lang w:val="en-US" w:eastAsia="zh-CN"/>
              </w:rPr>
              <w:t>，</w:t>
            </w:r>
            <w:r>
              <w:rPr>
                <w:rFonts w:hint="eastAsia"/>
                <w:lang w:val="en-US" w:eastAsia="zh-CN"/>
              </w:rPr>
              <w:t>危险废物应交有相应资质的单位进行处理处置</w:t>
            </w:r>
            <w:r>
              <w:rPr>
                <w:rFonts w:hint="eastAsia" w:ascii="宋体" w:hAnsi="宋体" w:eastAsia="宋体" w:cs="宋体"/>
                <w:lang w:val="en-US" w:eastAsia="zh-CN"/>
              </w:rPr>
              <w:t>；</w:t>
            </w:r>
          </w:p>
          <w:p>
            <w:pPr>
              <w:pStyle w:val="25"/>
              <w:bidi w:val="0"/>
              <w:jc w:val="both"/>
              <w:rPr>
                <w:rFonts w:hint="eastAsia"/>
                <w:lang w:val="en-US" w:eastAsia="zh-CN"/>
              </w:rPr>
            </w:pPr>
            <w:r>
              <w:rPr>
                <w:rFonts w:hint="eastAsia"/>
                <w:lang w:val="en-US" w:eastAsia="zh-CN"/>
              </w:rPr>
              <w:t>⑧废弃电器、铅酸蓄电池贮存场地不得有明火</w:t>
            </w:r>
            <w:r>
              <w:rPr>
                <w:rFonts w:hint="eastAsia" w:ascii="宋体" w:hAnsi="宋体" w:eastAsia="宋体" w:cs="宋体"/>
                <w:lang w:val="en-US" w:eastAsia="zh-CN"/>
              </w:rPr>
              <w:t>。</w:t>
            </w:r>
          </w:p>
          <w:p>
            <w:pPr>
              <w:pStyle w:val="27"/>
              <w:bidi w:val="0"/>
              <w:spacing w:line="240" w:lineRule="auto"/>
              <w:jc w:val="center"/>
              <w:rPr>
                <w:rFonts w:hint="default" w:ascii="Times New Roman" w:hAnsi="Times New Roman" w:eastAsia="宋体" w:cs="Times New Roman"/>
                <w:lang w:val="en-US" w:eastAsia="zh-CN"/>
              </w:rPr>
            </w:pPr>
          </w:p>
          <w:p>
            <w:pPr>
              <w:pStyle w:val="27"/>
              <w:bidi w:val="0"/>
              <w:spacing w:line="240" w:lineRule="auto"/>
              <w:jc w:val="center"/>
              <w:rPr>
                <w:rFonts w:hint="default" w:ascii="Times New Roman" w:hAnsi="Times New Roman" w:eastAsia="宋体" w:cs="Times New Roman"/>
                <w:lang w:val="en-US" w:eastAsia="zh-CN"/>
              </w:rPr>
            </w:pPr>
          </w:p>
          <w:p>
            <w:pPr>
              <w:pStyle w:val="27"/>
              <w:bidi w:val="0"/>
              <w:spacing w:line="240" w:lineRule="auto"/>
              <w:jc w:val="center"/>
              <w:rPr>
                <w:rFonts w:hint="default" w:ascii="Times New Roman" w:hAnsi="Times New Roman" w:eastAsia="宋体" w:cs="Times New Roman"/>
                <w:lang w:val="en-US" w:eastAsia="zh-CN"/>
              </w:rPr>
            </w:pPr>
          </w:p>
          <w:p>
            <w:pPr>
              <w:pStyle w:val="27"/>
              <w:bidi w:val="0"/>
              <w:spacing w:line="240" w:lineRule="auto"/>
              <w:jc w:val="center"/>
              <w:rPr>
                <w:rFonts w:hint="default" w:ascii="Times New Roman" w:hAnsi="Times New Roman" w:eastAsia="宋体" w:cs="Times New Roman"/>
                <w:lang w:val="en-US" w:eastAsia="zh-CN"/>
              </w:rPr>
            </w:pPr>
          </w:p>
          <w:p>
            <w:pPr>
              <w:pStyle w:val="27"/>
              <w:bidi w:val="0"/>
              <w:spacing w:line="240" w:lineRule="auto"/>
              <w:jc w:val="center"/>
              <w:rPr>
                <w:rFonts w:hint="default" w:ascii="Times New Roman" w:hAnsi="Times New Roman" w:eastAsia="宋体" w:cs="Times New Roman"/>
                <w:lang w:val="en-US" w:eastAsia="zh-CN"/>
              </w:rPr>
            </w:pPr>
          </w:p>
          <w:p>
            <w:pPr>
              <w:pStyle w:val="27"/>
              <w:bidi w:val="0"/>
              <w:spacing w:line="240" w:lineRule="auto"/>
              <w:jc w:val="center"/>
              <w:rPr>
                <w:rFonts w:hint="default" w:ascii="Times New Roman" w:hAnsi="Times New Roman" w:eastAsia="宋体" w:cs="Times New Roman"/>
                <w:lang w:val="en-US" w:eastAsia="zh-CN"/>
              </w:rPr>
            </w:pPr>
            <w:r>
              <w:drawing>
                <wp:inline distT="0" distB="0" distL="114300" distR="114300">
                  <wp:extent cx="4959985" cy="6428740"/>
                  <wp:effectExtent l="0" t="0" r="8255" b="2540"/>
                  <wp:docPr id="1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
                          <pic:cNvPicPr>
                            <a:picLocks noChangeAspect="1"/>
                          </pic:cNvPicPr>
                        </pic:nvPicPr>
                        <pic:blipFill>
                          <a:blip r:embed="rId12"/>
                          <a:stretch>
                            <a:fillRect/>
                          </a:stretch>
                        </pic:blipFill>
                        <pic:spPr>
                          <a:xfrm>
                            <a:off x="0" y="0"/>
                            <a:ext cx="4959985" cy="6428740"/>
                          </a:xfrm>
                          <a:prstGeom prst="rect">
                            <a:avLst/>
                          </a:prstGeom>
                          <a:noFill/>
                          <a:ln>
                            <a:noFill/>
                          </a:ln>
                        </pic:spPr>
                      </pic:pic>
                    </a:graphicData>
                  </a:graphic>
                </wp:inline>
              </w:drawing>
            </w:r>
          </w:p>
          <w:p>
            <w:pPr>
              <w:pStyle w:val="27"/>
              <w:bidi w:val="0"/>
              <w:rPr>
                <w:rFonts w:hint="default" w:ascii="Times New Roman" w:hAnsi="Times New Roman" w:eastAsia="宋体" w:cs="Times New Roman"/>
                <w:lang w:val="en-US" w:eastAsia="zh-CN"/>
              </w:rPr>
            </w:pPr>
            <w:r>
              <w:rPr>
                <w:rFonts w:hint="eastAsia"/>
                <w:lang w:val="en-US" w:eastAsia="zh-CN"/>
              </w:rPr>
              <w:t>图2-4 项目新能源电车拆解流程及产污环节</w:t>
            </w:r>
          </w:p>
          <w:p>
            <w:pPr>
              <w:pStyle w:val="27"/>
              <w:bidi w:val="0"/>
              <w:spacing w:line="240" w:lineRule="auto"/>
              <w:ind w:firstLine="480" w:firstLineChars="200"/>
              <w:jc w:val="left"/>
              <w:rPr>
                <w:rFonts w:hint="eastAsia" w:cs="Times New Roman"/>
                <w:b w:val="0"/>
                <w:kern w:val="2"/>
                <w:sz w:val="24"/>
                <w:szCs w:val="28"/>
                <w:lang w:val="en-US" w:eastAsia="zh-CN" w:bidi="ar-SA"/>
              </w:rPr>
            </w:pPr>
            <w:r>
              <w:rPr>
                <w:rFonts w:hint="default" w:ascii="Times New Roman" w:hAnsi="Times New Roman" w:eastAsia="宋体" w:cs="Times New Roman"/>
                <w:b w:val="0"/>
                <w:kern w:val="2"/>
                <w:sz w:val="24"/>
                <w:szCs w:val="28"/>
                <w:lang w:val="en-US" w:eastAsia="zh-CN" w:bidi="ar-SA"/>
              </w:rPr>
              <w:t>电动车拆解流程简述</w:t>
            </w:r>
            <w:r>
              <w:rPr>
                <w:rFonts w:hint="eastAsia" w:cs="Times New Roman"/>
                <w:b w:val="0"/>
                <w:kern w:val="2"/>
                <w:sz w:val="24"/>
                <w:szCs w:val="28"/>
                <w:lang w:val="en-US" w:eastAsia="zh-CN" w:bidi="ar-SA"/>
              </w:rPr>
              <w:t>：</w:t>
            </w:r>
          </w:p>
          <w:p>
            <w:pPr>
              <w:pStyle w:val="25"/>
              <w:bidi w:val="0"/>
              <w:jc w:val="both"/>
              <w:rPr>
                <w:rFonts w:hint="eastAsia"/>
                <w:lang w:val="en-US" w:eastAsia="zh-CN"/>
              </w:rPr>
            </w:pPr>
            <w:r>
              <w:rPr>
                <w:rFonts w:hint="eastAsia"/>
                <w:lang w:val="en-US" w:eastAsia="zh-CN"/>
              </w:rPr>
              <w:t>（1）检查和登记</w:t>
            </w:r>
          </w:p>
          <w:p>
            <w:pPr>
              <w:pStyle w:val="25"/>
              <w:bidi w:val="0"/>
              <w:jc w:val="both"/>
              <w:rPr>
                <w:rFonts w:hint="default"/>
                <w:lang w:val="en-US" w:eastAsia="zh-CN"/>
              </w:rPr>
            </w:pPr>
            <w:r>
              <w:rPr>
                <w:rFonts w:hint="default"/>
                <w:lang w:val="en-US" w:eastAsia="zh-CN"/>
              </w:rPr>
              <w:t>报废电动汽车检查和登记与报废燃油汽车的工艺流程完全一致</w:t>
            </w:r>
            <w:r>
              <w:rPr>
                <w:rFonts w:hint="eastAsia" w:ascii="宋体" w:hAnsi="宋体" w:eastAsia="宋体" w:cs="宋体"/>
                <w:lang w:val="en-US" w:eastAsia="zh-CN"/>
              </w:rPr>
              <w:t>，</w:t>
            </w:r>
            <w:r>
              <w:rPr>
                <w:rFonts w:hint="default"/>
                <w:lang w:val="en-US" w:eastAsia="zh-CN"/>
              </w:rPr>
              <w:t>详见前文描述</w:t>
            </w:r>
            <w:r>
              <w:rPr>
                <w:rFonts w:hint="eastAsia" w:ascii="宋体" w:hAnsi="宋体" w:eastAsia="宋体" w:cs="宋体"/>
                <w:lang w:val="en-US" w:eastAsia="zh-CN"/>
              </w:rPr>
              <w:t>。</w:t>
            </w:r>
          </w:p>
          <w:p>
            <w:pPr>
              <w:pStyle w:val="25"/>
              <w:bidi w:val="0"/>
              <w:jc w:val="both"/>
              <w:rPr>
                <w:rFonts w:hint="eastAsia"/>
                <w:lang w:val="en-US" w:eastAsia="zh-CN"/>
              </w:rPr>
            </w:pPr>
            <w:r>
              <w:rPr>
                <w:rFonts w:hint="eastAsia"/>
                <w:lang w:val="en-US" w:eastAsia="zh-CN"/>
              </w:rPr>
              <w:t>（2）报废电动汽车暂存</w:t>
            </w:r>
          </w:p>
          <w:p>
            <w:pPr>
              <w:pStyle w:val="25"/>
              <w:bidi w:val="0"/>
              <w:jc w:val="both"/>
              <w:rPr>
                <w:rFonts w:hint="eastAsia"/>
                <w:lang w:val="en-US" w:eastAsia="zh-CN"/>
              </w:rPr>
            </w:pPr>
            <w:r>
              <w:rPr>
                <w:rFonts w:hint="eastAsia"/>
                <w:lang w:val="en-US" w:eastAsia="zh-CN"/>
              </w:rPr>
              <w:t>报废电动汽车贮存要求在报废燃油汽车贮存要求的基础上</w:t>
            </w:r>
            <w:r>
              <w:rPr>
                <w:rFonts w:hint="eastAsia" w:ascii="宋体" w:hAnsi="宋体" w:eastAsia="宋体" w:cs="宋体"/>
                <w:lang w:val="en-US" w:eastAsia="zh-CN"/>
              </w:rPr>
              <w:t>，</w:t>
            </w:r>
            <w:r>
              <w:rPr>
                <w:rFonts w:hint="eastAsia"/>
                <w:lang w:val="en-US" w:eastAsia="zh-CN"/>
              </w:rPr>
              <w:t>增加了3条贮存要求</w:t>
            </w:r>
            <w:r>
              <w:rPr>
                <w:rFonts w:hint="eastAsia" w:ascii="宋体" w:hAnsi="宋体" w:eastAsia="宋体" w:cs="宋体"/>
                <w:lang w:val="en-US" w:eastAsia="zh-CN"/>
              </w:rPr>
              <w:t>，</w:t>
            </w:r>
            <w:r>
              <w:rPr>
                <w:rFonts w:hint="eastAsia"/>
                <w:lang w:val="en-US" w:eastAsia="zh-CN"/>
              </w:rPr>
              <w:t>具体如下：</w:t>
            </w:r>
          </w:p>
          <w:p>
            <w:pPr>
              <w:pStyle w:val="25"/>
              <w:bidi w:val="0"/>
              <w:jc w:val="both"/>
              <w:rPr>
                <w:rFonts w:hint="eastAsia"/>
                <w:lang w:val="en-US" w:eastAsia="zh-CN"/>
              </w:rPr>
            </w:pPr>
            <w:r>
              <w:rPr>
                <w:rFonts w:hint="eastAsia"/>
                <w:lang w:val="en-US" w:eastAsia="zh-CN"/>
              </w:rPr>
              <w:t>①电动汽车在动力蓄电池未拆卸前不应叠放</w:t>
            </w:r>
            <w:r>
              <w:rPr>
                <w:rFonts w:hint="eastAsia" w:ascii="宋体" w:hAnsi="宋体" w:eastAsia="宋体" w:cs="宋体"/>
                <w:lang w:val="en-US" w:eastAsia="zh-CN"/>
              </w:rPr>
              <w:t>；</w:t>
            </w:r>
          </w:p>
          <w:p>
            <w:pPr>
              <w:pStyle w:val="25"/>
              <w:bidi w:val="0"/>
              <w:jc w:val="both"/>
              <w:rPr>
                <w:rFonts w:hint="eastAsia"/>
                <w:lang w:val="en-US" w:eastAsia="zh-CN"/>
              </w:rPr>
            </w:pPr>
            <w:r>
              <w:rPr>
                <w:rFonts w:hint="eastAsia"/>
                <w:lang w:val="en-US" w:eastAsia="zh-CN"/>
              </w:rPr>
              <w:t>②电动汽车在动力蓄电池未拆卸前应单独贮存</w:t>
            </w:r>
            <w:r>
              <w:rPr>
                <w:rFonts w:hint="eastAsia" w:ascii="宋体" w:hAnsi="宋体" w:eastAsia="宋体" w:cs="宋体"/>
                <w:lang w:val="en-US" w:eastAsia="zh-CN"/>
              </w:rPr>
              <w:t>，</w:t>
            </w:r>
            <w:r>
              <w:rPr>
                <w:rFonts w:hint="eastAsia"/>
                <w:lang w:val="en-US" w:eastAsia="zh-CN"/>
              </w:rPr>
              <w:t>并采取防火、防水、绝缘、隔热等安全保障措施</w:t>
            </w:r>
            <w:r>
              <w:rPr>
                <w:rFonts w:hint="eastAsia" w:ascii="宋体" w:hAnsi="宋体" w:eastAsia="宋体" w:cs="宋体"/>
                <w:lang w:val="en-US" w:eastAsia="zh-CN"/>
              </w:rPr>
              <w:t>；</w:t>
            </w:r>
          </w:p>
          <w:p>
            <w:pPr>
              <w:pStyle w:val="25"/>
              <w:bidi w:val="0"/>
              <w:jc w:val="both"/>
              <w:rPr>
                <w:rFonts w:hint="eastAsia" w:eastAsia="宋体"/>
                <w:lang w:val="en-US" w:eastAsia="zh-CN"/>
              </w:rPr>
            </w:pPr>
            <w:r>
              <w:rPr>
                <w:rFonts w:hint="eastAsia"/>
                <w:lang w:val="en-US" w:eastAsia="zh-CN"/>
              </w:rPr>
              <w:t>③应</w:t>
            </w:r>
            <w:r>
              <w:rPr>
                <w:rFonts w:hint="eastAsia"/>
              </w:rPr>
              <w:t>检查动力蓄电池等部件的密封和破损情况</w:t>
            </w:r>
            <w:r>
              <w:rPr>
                <w:rFonts w:hint="eastAsia" w:ascii="宋体" w:hAnsi="宋体" w:eastAsia="宋体" w:cs="宋体"/>
                <w:lang w:eastAsia="zh-CN"/>
              </w:rPr>
              <w:t>，</w:t>
            </w:r>
            <w:r>
              <w:rPr>
                <w:rFonts w:hint="eastAsia"/>
              </w:rPr>
              <w:t>对于出现动力蓄电池破损、电极头和线束裸露等存在漏电风险的</w:t>
            </w:r>
            <w:r>
              <w:rPr>
                <w:rFonts w:hint="eastAsia" w:ascii="宋体" w:hAnsi="宋体" w:eastAsia="宋体" w:cs="宋体"/>
              </w:rPr>
              <w:t>，</w:t>
            </w:r>
            <w:r>
              <w:rPr>
                <w:rFonts w:hint="eastAsia"/>
              </w:rPr>
              <w:t>应采取适当的方式进行绝缘处理</w:t>
            </w:r>
            <w:r>
              <w:rPr>
                <w:rFonts w:hint="eastAsia" w:ascii="宋体" w:hAnsi="宋体" w:eastAsia="宋体" w:cs="宋体"/>
                <w:lang w:eastAsia="zh-CN"/>
              </w:rPr>
              <w:t>；</w:t>
            </w:r>
          </w:p>
          <w:p>
            <w:pPr>
              <w:pStyle w:val="25"/>
              <w:bidi w:val="0"/>
              <w:jc w:val="both"/>
              <w:rPr>
                <w:rFonts w:hint="eastAsia"/>
                <w:lang w:val="en-US" w:eastAsia="zh-CN"/>
              </w:rPr>
            </w:pPr>
            <w:r>
              <w:rPr>
                <w:rFonts w:hint="eastAsia"/>
                <w:lang w:val="en-US" w:eastAsia="zh-CN"/>
              </w:rPr>
              <w:t>④电动汽车中的事故车以及发生动力蓄电池破损的车辆应隔离贮存</w:t>
            </w:r>
            <w:r>
              <w:rPr>
                <w:rFonts w:hint="eastAsia" w:ascii="宋体" w:hAnsi="宋体" w:eastAsia="宋体" w:cs="宋体"/>
                <w:lang w:val="en-US" w:eastAsia="zh-CN"/>
              </w:rPr>
              <w:t>。</w:t>
            </w:r>
          </w:p>
          <w:p>
            <w:pPr>
              <w:pStyle w:val="25"/>
              <w:bidi w:val="0"/>
              <w:jc w:val="both"/>
              <w:rPr>
                <w:rFonts w:hint="eastAsia"/>
                <w:lang w:val="en-US" w:eastAsia="zh-CN"/>
              </w:rPr>
            </w:pPr>
            <w:r>
              <w:rPr>
                <w:rFonts w:hint="eastAsia"/>
                <w:lang w:val="en-US" w:eastAsia="zh-CN"/>
              </w:rPr>
              <w:t>（3）拆解预处理</w:t>
            </w:r>
          </w:p>
          <w:p>
            <w:pPr>
              <w:pStyle w:val="25"/>
              <w:bidi w:val="0"/>
              <w:jc w:val="both"/>
              <w:rPr>
                <w:rFonts w:hint="eastAsia"/>
                <w:lang w:val="en-US" w:eastAsia="zh-CN"/>
              </w:rPr>
            </w:pPr>
            <w:r>
              <w:rPr>
                <w:rFonts w:hint="eastAsia"/>
                <w:lang w:val="en-US" w:eastAsia="zh-CN"/>
              </w:rPr>
              <w:t>报废电动汽车的拆解预处理主要包括安全检查、拆除及引爆安全气囊</w:t>
            </w:r>
            <w:r>
              <w:rPr>
                <w:rFonts w:hint="eastAsia" w:ascii="宋体" w:hAnsi="宋体" w:eastAsia="宋体" w:cs="宋体"/>
                <w:lang w:val="en-US" w:eastAsia="zh-CN"/>
              </w:rPr>
              <w:t>，</w:t>
            </w:r>
            <w:r>
              <w:rPr>
                <w:rFonts w:hint="eastAsia"/>
                <w:lang w:val="en-US" w:eastAsia="zh-CN"/>
              </w:rPr>
              <w:t>拆除电容器</w:t>
            </w:r>
            <w:r>
              <w:rPr>
                <w:rFonts w:hint="eastAsia" w:ascii="宋体" w:hAnsi="宋体" w:eastAsia="宋体" w:cs="宋体"/>
                <w:lang w:val="en-US" w:eastAsia="zh-CN"/>
              </w:rPr>
              <w:t>，</w:t>
            </w:r>
            <w:r>
              <w:rPr>
                <w:rFonts w:hint="eastAsia"/>
                <w:lang w:val="en-US" w:eastAsia="zh-CN"/>
              </w:rPr>
              <w:t>收集车内废油液和滤清器</w:t>
            </w:r>
            <w:r>
              <w:rPr>
                <w:rFonts w:hint="eastAsia" w:ascii="宋体" w:hAnsi="宋体" w:eastAsia="宋体" w:cs="宋体"/>
                <w:lang w:val="en-US" w:eastAsia="zh-CN"/>
              </w:rPr>
              <w:t>，</w:t>
            </w:r>
            <w:r>
              <w:rPr>
                <w:rFonts w:hint="eastAsia"/>
                <w:lang w:val="en-US" w:eastAsia="zh-CN"/>
              </w:rPr>
              <w:t>收集汽车空凋制冷剂及拆除电器部件</w:t>
            </w:r>
            <w:r>
              <w:rPr>
                <w:rFonts w:hint="eastAsia" w:ascii="宋体" w:hAnsi="宋体" w:eastAsia="宋体" w:cs="宋体"/>
                <w:lang w:val="en-US" w:eastAsia="zh-CN"/>
              </w:rPr>
              <w:t>。</w:t>
            </w:r>
            <w:r>
              <w:rPr>
                <w:rFonts w:hint="eastAsia"/>
                <w:lang w:val="en-US" w:eastAsia="zh-CN"/>
              </w:rPr>
              <w:t>具体流程如下：</w:t>
            </w:r>
          </w:p>
          <w:p>
            <w:pPr>
              <w:pStyle w:val="25"/>
              <w:tabs>
                <w:tab w:val="left" w:pos="396"/>
              </w:tabs>
              <w:bidi w:val="0"/>
              <w:jc w:val="both"/>
              <w:rPr>
                <w:rFonts w:hint="eastAsia"/>
                <w:lang w:val="en-US" w:eastAsia="zh-CN"/>
              </w:rPr>
            </w:pPr>
            <w:r>
              <w:rPr>
                <w:rFonts w:hint="eastAsia"/>
                <w:lang w:val="en-US" w:eastAsia="zh-CN"/>
              </w:rPr>
              <w:t>①预处理前安全检查</w:t>
            </w:r>
          </w:p>
          <w:p>
            <w:pPr>
              <w:pStyle w:val="25"/>
              <w:bidi w:val="0"/>
              <w:jc w:val="both"/>
              <w:rPr>
                <w:rFonts w:hint="eastAsia"/>
                <w:lang w:val="en-US" w:eastAsia="zh-CN"/>
              </w:rPr>
            </w:pPr>
            <w:r>
              <w:rPr>
                <w:rFonts w:hint="eastAsia"/>
                <w:lang w:val="en-US" w:eastAsia="zh-CN"/>
              </w:rPr>
              <w:t>报废电动汽车动力电池普遍带电</w:t>
            </w:r>
            <w:r>
              <w:rPr>
                <w:rFonts w:hint="eastAsia" w:ascii="宋体" w:hAnsi="宋体" w:eastAsia="宋体" w:cs="宋体"/>
                <w:lang w:val="en-US" w:eastAsia="zh-CN"/>
              </w:rPr>
              <w:t>，</w:t>
            </w:r>
            <w:r>
              <w:rPr>
                <w:rFonts w:hint="eastAsia"/>
                <w:lang w:val="en-US" w:eastAsia="zh-CN"/>
              </w:rPr>
              <w:t>进行拆解预处理及拆解前需进行如下安全检查：</w:t>
            </w:r>
          </w:p>
          <w:p>
            <w:pPr>
              <w:pStyle w:val="25"/>
              <w:bidi w:val="0"/>
              <w:jc w:val="both"/>
              <w:rPr>
                <w:rFonts w:hint="eastAsia"/>
                <w:lang w:val="en-US" w:eastAsia="zh-CN"/>
              </w:rPr>
            </w:pPr>
            <w:r>
              <w:rPr>
                <w:rFonts w:hint="eastAsia"/>
                <w:lang w:val="en-US" w:eastAsia="zh-CN"/>
              </w:rPr>
              <w:t>a.检查车身有无漏液、有无带电</w:t>
            </w:r>
            <w:r>
              <w:rPr>
                <w:rFonts w:hint="eastAsia" w:ascii="宋体" w:hAnsi="宋体" w:eastAsia="宋体" w:cs="宋体"/>
                <w:lang w:val="en-US" w:eastAsia="zh-CN"/>
              </w:rPr>
              <w:t>；</w:t>
            </w:r>
          </w:p>
          <w:p>
            <w:pPr>
              <w:pStyle w:val="25"/>
              <w:bidi w:val="0"/>
              <w:jc w:val="both"/>
              <w:rPr>
                <w:rFonts w:hint="eastAsia"/>
                <w:lang w:val="en-US" w:eastAsia="zh-CN"/>
              </w:rPr>
            </w:pPr>
            <w:r>
              <w:rPr>
                <w:rFonts w:hint="eastAsia"/>
                <w:lang w:val="en-US" w:eastAsia="zh-CN"/>
              </w:rPr>
              <w:t>b.检查动力蓄电池布局和安装位置</w:t>
            </w:r>
            <w:r>
              <w:rPr>
                <w:rFonts w:hint="eastAsia" w:ascii="宋体" w:hAnsi="宋体" w:eastAsia="宋体" w:cs="宋体"/>
                <w:lang w:val="en-US" w:eastAsia="zh-CN"/>
              </w:rPr>
              <w:t>，</w:t>
            </w:r>
            <w:r>
              <w:rPr>
                <w:rFonts w:hint="eastAsia"/>
                <w:lang w:val="en-US" w:eastAsia="zh-CN"/>
              </w:rPr>
              <w:t>确认诊断接口是否完好</w:t>
            </w:r>
            <w:r>
              <w:rPr>
                <w:rFonts w:hint="eastAsia" w:ascii="宋体" w:hAnsi="宋体" w:eastAsia="宋体" w:cs="宋体"/>
                <w:lang w:val="en-US" w:eastAsia="zh-CN"/>
              </w:rPr>
              <w:t>；</w:t>
            </w:r>
          </w:p>
          <w:p>
            <w:pPr>
              <w:pStyle w:val="25"/>
              <w:bidi w:val="0"/>
              <w:jc w:val="both"/>
              <w:rPr>
                <w:rFonts w:hint="eastAsia"/>
                <w:lang w:val="en-US" w:eastAsia="zh-CN"/>
              </w:rPr>
            </w:pPr>
            <w:r>
              <w:rPr>
                <w:rFonts w:hint="eastAsia"/>
                <w:lang w:val="en-US" w:eastAsia="zh-CN"/>
              </w:rPr>
              <w:t>c.对动力蓄电池电压、温度等参数进行检测</w:t>
            </w:r>
            <w:r>
              <w:rPr>
                <w:rFonts w:hint="eastAsia" w:ascii="宋体" w:hAnsi="宋体" w:eastAsia="宋体" w:cs="宋体"/>
                <w:lang w:val="en-US" w:eastAsia="zh-CN"/>
              </w:rPr>
              <w:t>，</w:t>
            </w:r>
            <w:r>
              <w:rPr>
                <w:rFonts w:hint="eastAsia"/>
                <w:lang w:val="en-US" w:eastAsia="zh-CN"/>
              </w:rPr>
              <w:t>评估其安全状态</w:t>
            </w:r>
            <w:r>
              <w:rPr>
                <w:rFonts w:hint="eastAsia" w:ascii="宋体" w:hAnsi="宋体" w:eastAsia="宋体" w:cs="宋体"/>
                <w:lang w:val="en-US" w:eastAsia="zh-CN"/>
              </w:rPr>
              <w:t>；</w:t>
            </w:r>
          </w:p>
          <w:p>
            <w:pPr>
              <w:pStyle w:val="25"/>
              <w:bidi w:val="0"/>
              <w:jc w:val="both"/>
              <w:rPr>
                <w:rFonts w:hint="eastAsia"/>
                <w:lang w:val="en-US" w:eastAsia="zh-CN"/>
              </w:rPr>
            </w:pPr>
            <w:r>
              <w:rPr>
                <w:rFonts w:hint="eastAsia"/>
                <w:lang w:val="en-US" w:eastAsia="zh-CN"/>
              </w:rPr>
              <w:t>d.断开动力蓄电池高压回路</w:t>
            </w:r>
            <w:r>
              <w:rPr>
                <w:rFonts w:hint="eastAsia" w:ascii="宋体" w:hAnsi="宋体" w:eastAsia="宋体" w:cs="宋体"/>
                <w:lang w:val="en-US" w:eastAsia="zh-CN"/>
              </w:rPr>
              <w:t>。</w:t>
            </w:r>
          </w:p>
          <w:p>
            <w:pPr>
              <w:pStyle w:val="25"/>
              <w:bidi w:val="0"/>
              <w:jc w:val="both"/>
              <w:rPr>
                <w:rFonts w:hint="eastAsia"/>
                <w:lang w:val="en-US" w:eastAsia="zh-CN"/>
              </w:rPr>
            </w:pPr>
            <w:r>
              <w:rPr>
                <w:rFonts w:hint="eastAsia"/>
                <w:lang w:val="en-US" w:eastAsia="zh-CN"/>
              </w:rPr>
              <w:t>②收集报废电动汽车内废油液、收集空凋制冷剂、拆除并引爆安全气囊、拆除电器部件</w:t>
            </w:r>
          </w:p>
          <w:p>
            <w:pPr>
              <w:pStyle w:val="25"/>
              <w:bidi w:val="0"/>
              <w:jc w:val="both"/>
              <w:rPr>
                <w:rFonts w:hint="eastAsia"/>
                <w:lang w:val="en-US" w:eastAsia="zh-CN"/>
              </w:rPr>
            </w:pPr>
            <w:r>
              <w:rPr>
                <w:rFonts w:hint="eastAsia"/>
                <w:lang w:val="en-US" w:eastAsia="zh-CN"/>
              </w:rPr>
              <w:t>报废电动汽车的废油液收集、空凋制冷剂收集、安全气囊拆除引爆及电器部件拆除过程均与报废燃油汽车一致</w:t>
            </w:r>
            <w:r>
              <w:rPr>
                <w:rFonts w:hint="eastAsia" w:ascii="宋体" w:hAnsi="宋体" w:eastAsia="宋体" w:cs="宋体"/>
                <w:lang w:val="en-US" w:eastAsia="zh-CN"/>
              </w:rPr>
              <w:t>，</w:t>
            </w:r>
            <w:r>
              <w:rPr>
                <w:rFonts w:hint="eastAsia"/>
                <w:lang w:val="en-US" w:eastAsia="zh-CN"/>
              </w:rPr>
              <w:t>详见报废燃油汽车废油液收集、空凋制冷剂收集、安全气囊拆除引爆及电器部件拆除工艺</w:t>
            </w:r>
            <w:r>
              <w:rPr>
                <w:rFonts w:hint="eastAsia" w:ascii="宋体" w:hAnsi="宋体" w:eastAsia="宋体" w:cs="宋体"/>
                <w:lang w:val="en-US" w:eastAsia="zh-CN"/>
              </w:rPr>
              <w:t>。</w:t>
            </w:r>
          </w:p>
          <w:p>
            <w:pPr>
              <w:pStyle w:val="25"/>
              <w:bidi w:val="0"/>
              <w:jc w:val="both"/>
              <w:rPr>
                <w:rFonts w:hint="default"/>
                <w:b w:val="0"/>
                <w:bCs w:val="0"/>
                <w:lang w:val="en-US" w:eastAsia="zh-CN"/>
              </w:rPr>
            </w:pPr>
            <w:r>
              <w:rPr>
                <w:rFonts w:hint="eastAsia"/>
                <w:b w:val="0"/>
                <w:bCs w:val="0"/>
                <w:lang w:val="en-US" w:eastAsia="zh-CN"/>
              </w:rPr>
              <w:t>厂区内不设清洗点</w:t>
            </w:r>
            <w:r>
              <w:rPr>
                <w:rFonts w:hint="eastAsia" w:ascii="宋体" w:hAnsi="宋体" w:eastAsia="宋体" w:cs="宋体"/>
                <w:b w:val="0"/>
                <w:bCs w:val="0"/>
                <w:lang w:val="en-US" w:eastAsia="zh-CN"/>
              </w:rPr>
              <w:t>，</w:t>
            </w:r>
            <w:r>
              <w:rPr>
                <w:rFonts w:hint="eastAsia"/>
                <w:b w:val="0"/>
                <w:bCs w:val="0"/>
                <w:lang w:val="en-US" w:eastAsia="zh-CN"/>
              </w:rPr>
              <w:t>车辆及拆解的零部件均不清洗</w:t>
            </w:r>
            <w:r>
              <w:rPr>
                <w:rFonts w:hint="eastAsia" w:ascii="宋体" w:hAnsi="宋体" w:eastAsia="宋体" w:cs="宋体"/>
                <w:b w:val="0"/>
                <w:bCs w:val="0"/>
                <w:lang w:val="en-US" w:eastAsia="zh-CN"/>
              </w:rPr>
              <w:t>，</w:t>
            </w:r>
            <w:r>
              <w:rPr>
                <w:rFonts w:hint="eastAsia"/>
                <w:b w:val="0"/>
                <w:bCs w:val="0"/>
                <w:lang w:val="en-US" w:eastAsia="zh-CN"/>
              </w:rPr>
              <w:t>含油零部件等采用一次性抹布擦拭</w:t>
            </w:r>
            <w:r>
              <w:rPr>
                <w:rFonts w:hint="eastAsia" w:ascii="宋体" w:hAnsi="宋体" w:eastAsia="宋体" w:cs="宋体"/>
                <w:b w:val="0"/>
                <w:bCs w:val="0"/>
                <w:lang w:val="en-US" w:eastAsia="zh-CN"/>
              </w:rPr>
              <w:t>，</w:t>
            </w:r>
            <w:r>
              <w:rPr>
                <w:rFonts w:hint="eastAsia"/>
                <w:b w:val="0"/>
                <w:bCs w:val="0"/>
                <w:lang w:val="en-US" w:eastAsia="zh-CN"/>
              </w:rPr>
              <w:t>抹布不清洗</w:t>
            </w:r>
            <w:r>
              <w:rPr>
                <w:rFonts w:hint="eastAsia" w:ascii="宋体" w:hAnsi="宋体" w:eastAsia="宋体" w:cs="宋体"/>
                <w:b w:val="0"/>
                <w:bCs w:val="0"/>
                <w:lang w:val="en-US" w:eastAsia="zh-CN"/>
              </w:rPr>
              <w:t>，</w:t>
            </w:r>
            <w:r>
              <w:rPr>
                <w:rFonts w:hint="eastAsia"/>
                <w:b w:val="0"/>
                <w:bCs w:val="0"/>
                <w:lang w:val="en-US" w:eastAsia="zh-CN"/>
              </w:rPr>
              <w:t>作为危险废物交有资质单位处理</w:t>
            </w:r>
            <w:r>
              <w:rPr>
                <w:rFonts w:hint="eastAsia" w:ascii="宋体" w:hAnsi="宋体" w:eastAsia="宋体" w:cs="宋体"/>
                <w:b w:val="0"/>
                <w:bCs w:val="0"/>
                <w:lang w:val="en-US" w:eastAsia="zh-CN"/>
              </w:rPr>
              <w:t>。</w:t>
            </w:r>
          </w:p>
          <w:p>
            <w:pPr>
              <w:pStyle w:val="25"/>
              <w:bidi w:val="0"/>
              <w:jc w:val="both"/>
              <w:rPr>
                <w:rFonts w:hint="eastAsia"/>
                <w:lang w:val="en-US" w:eastAsia="zh-CN"/>
              </w:rPr>
            </w:pPr>
            <w:r>
              <w:rPr>
                <w:rFonts w:hint="eastAsia"/>
                <w:lang w:val="en-US" w:eastAsia="zh-CN"/>
              </w:rPr>
              <w:t>（4）拆解加工</w:t>
            </w:r>
          </w:p>
          <w:p>
            <w:pPr>
              <w:pStyle w:val="25"/>
              <w:bidi w:val="0"/>
              <w:jc w:val="both"/>
              <w:rPr>
                <w:rFonts w:hint="eastAsia"/>
                <w:lang w:val="en-US" w:eastAsia="zh-CN"/>
              </w:rPr>
            </w:pPr>
            <w:r>
              <w:rPr>
                <w:rFonts w:hint="eastAsia"/>
                <w:lang w:val="en-US" w:eastAsia="zh-CN"/>
              </w:rPr>
              <w:t>预处理后的报废电动汽车拆解加工包括拆除玻璃</w:t>
            </w:r>
            <w:r>
              <w:rPr>
                <w:rFonts w:hint="eastAsia" w:ascii="宋体" w:hAnsi="宋体" w:eastAsia="宋体" w:cs="宋体"/>
                <w:lang w:val="en-US" w:eastAsia="zh-CN"/>
              </w:rPr>
              <w:t>；</w:t>
            </w:r>
            <w:r>
              <w:rPr>
                <w:rFonts w:hint="eastAsia"/>
                <w:lang w:val="en-US" w:eastAsia="zh-CN"/>
              </w:rPr>
              <w:t>拆除车轮并拆下轮胎</w:t>
            </w:r>
            <w:r>
              <w:rPr>
                <w:rFonts w:hint="eastAsia" w:ascii="宋体" w:hAnsi="宋体" w:eastAsia="宋体" w:cs="宋体"/>
                <w:lang w:val="en-US" w:eastAsia="zh-CN"/>
              </w:rPr>
              <w:t>；</w:t>
            </w:r>
            <w:r>
              <w:rPr>
                <w:rFonts w:hint="eastAsia"/>
                <w:lang w:val="en-US" w:eastAsia="zh-CN"/>
              </w:rPr>
              <w:t>拆除车门、内饰和座椅</w:t>
            </w:r>
            <w:r>
              <w:rPr>
                <w:rFonts w:hint="eastAsia" w:ascii="宋体" w:hAnsi="宋体" w:eastAsia="宋体" w:cs="宋体"/>
                <w:lang w:val="en-US" w:eastAsia="zh-CN"/>
              </w:rPr>
              <w:t>；</w:t>
            </w:r>
            <w:r>
              <w:rPr>
                <w:rFonts w:hint="eastAsia"/>
                <w:lang w:val="en-US" w:eastAsia="zh-CN"/>
              </w:rPr>
              <w:t>拆除动力蓄电池并收集蓄电池内冷却液</w:t>
            </w:r>
            <w:r>
              <w:rPr>
                <w:rFonts w:hint="eastAsia" w:ascii="宋体" w:hAnsi="宋体" w:eastAsia="宋体" w:cs="宋体"/>
                <w:lang w:val="en-US" w:eastAsia="zh-CN"/>
              </w:rPr>
              <w:t>；</w:t>
            </w:r>
            <w:r>
              <w:rPr>
                <w:rFonts w:hint="eastAsia"/>
                <w:lang w:val="en-US" w:eastAsia="zh-CN"/>
              </w:rPr>
              <w:t>拆除含铅、汞等有害物质部件</w:t>
            </w:r>
            <w:r>
              <w:rPr>
                <w:rFonts w:hint="eastAsia" w:ascii="宋体" w:hAnsi="宋体" w:eastAsia="宋体" w:cs="宋体"/>
                <w:lang w:val="en-US" w:eastAsia="zh-CN"/>
              </w:rPr>
              <w:t>；</w:t>
            </w:r>
            <w:r>
              <w:rPr>
                <w:rFonts w:hint="eastAsia"/>
                <w:lang w:val="en-US" w:eastAsia="zh-CN"/>
              </w:rPr>
              <w:t>拆除消声器、转向锁总成、停车装置、倒车雷达及电子控制模块</w:t>
            </w:r>
            <w:r>
              <w:rPr>
                <w:rFonts w:hint="eastAsia" w:ascii="宋体" w:hAnsi="宋体" w:eastAsia="宋体" w:cs="宋体"/>
                <w:lang w:val="en-US" w:eastAsia="zh-CN"/>
              </w:rPr>
              <w:t>；</w:t>
            </w:r>
            <w:r>
              <w:rPr>
                <w:rFonts w:hint="eastAsia"/>
                <w:lang w:val="en-US" w:eastAsia="zh-CN"/>
              </w:rPr>
              <w:t>拆除能有效回收的含铜、铝、镁等有色金属部件</w:t>
            </w:r>
            <w:r>
              <w:rPr>
                <w:rFonts w:hint="eastAsia" w:ascii="宋体" w:hAnsi="宋体" w:eastAsia="宋体" w:cs="宋体"/>
                <w:lang w:val="en-US" w:eastAsia="zh-CN"/>
              </w:rPr>
              <w:t>；</w:t>
            </w:r>
            <w:r>
              <w:rPr>
                <w:rFonts w:hint="eastAsia"/>
                <w:lang w:val="en-US" w:eastAsia="zh-CN"/>
              </w:rPr>
              <w:t>拆除能有效回收的大型塑料件（保险杠、仪表板、液体容器等）</w:t>
            </w:r>
            <w:r>
              <w:rPr>
                <w:rFonts w:hint="eastAsia" w:ascii="宋体" w:hAnsi="宋体" w:eastAsia="宋体" w:cs="宋体"/>
                <w:lang w:val="en-US" w:eastAsia="zh-CN"/>
              </w:rPr>
              <w:t>；</w:t>
            </w:r>
            <w:r>
              <w:rPr>
                <w:rFonts w:hint="eastAsia"/>
                <w:lang w:val="en-US" w:eastAsia="zh-CN"/>
              </w:rPr>
              <w:t>拆除橡胶制品件</w:t>
            </w:r>
            <w:r>
              <w:rPr>
                <w:rFonts w:hint="eastAsia" w:ascii="宋体" w:hAnsi="宋体" w:eastAsia="宋体" w:cs="宋体"/>
                <w:lang w:val="en-US" w:eastAsia="zh-CN"/>
              </w:rPr>
              <w:t>；</w:t>
            </w:r>
            <w:r>
              <w:rPr>
                <w:rFonts w:hint="eastAsia"/>
                <w:lang w:val="en-US" w:eastAsia="zh-CN"/>
              </w:rPr>
              <w:t>拆除总成及车架切割打包等工序</w:t>
            </w:r>
            <w:r>
              <w:rPr>
                <w:rFonts w:hint="eastAsia" w:ascii="宋体" w:hAnsi="宋体" w:eastAsia="宋体" w:cs="宋体"/>
                <w:lang w:val="en-US" w:eastAsia="zh-CN"/>
              </w:rPr>
              <w:t>。</w:t>
            </w:r>
            <w:r>
              <w:rPr>
                <w:rFonts w:hint="eastAsia"/>
                <w:lang w:val="en-US" w:eastAsia="zh-CN"/>
              </w:rPr>
              <w:t>除拆除动力蓄电池并收集蓄电池内冷却液外</w:t>
            </w:r>
            <w:r>
              <w:rPr>
                <w:rFonts w:hint="eastAsia" w:ascii="宋体" w:hAnsi="宋体" w:eastAsia="宋体" w:cs="宋体"/>
                <w:lang w:val="en-US" w:eastAsia="zh-CN"/>
              </w:rPr>
              <w:t>，</w:t>
            </w:r>
            <w:r>
              <w:rPr>
                <w:rFonts w:hint="eastAsia"/>
                <w:lang w:val="en-US" w:eastAsia="zh-CN"/>
              </w:rPr>
              <w:t>其余工序均与报废燃油汽车一致</w:t>
            </w:r>
            <w:r>
              <w:rPr>
                <w:rFonts w:hint="eastAsia" w:ascii="宋体" w:hAnsi="宋体" w:eastAsia="宋体" w:cs="宋体"/>
                <w:lang w:val="en-US" w:eastAsia="zh-CN"/>
              </w:rPr>
              <w:t>，</w:t>
            </w:r>
            <w:r>
              <w:rPr>
                <w:rFonts w:hint="eastAsia"/>
                <w:lang w:val="en-US" w:eastAsia="zh-CN"/>
              </w:rPr>
              <w:t>详见报废燃油汽车拆解加工</w:t>
            </w:r>
            <w:r>
              <w:rPr>
                <w:rFonts w:hint="eastAsia" w:ascii="宋体" w:hAnsi="宋体" w:eastAsia="宋体" w:cs="宋体"/>
                <w:lang w:val="en-US" w:eastAsia="zh-CN"/>
              </w:rPr>
              <w:t>。</w:t>
            </w:r>
          </w:p>
          <w:p>
            <w:pPr>
              <w:pStyle w:val="25"/>
              <w:bidi w:val="0"/>
              <w:jc w:val="both"/>
              <w:rPr>
                <w:rFonts w:hint="eastAsia"/>
                <w:lang w:val="en-US" w:eastAsia="zh-CN"/>
              </w:rPr>
            </w:pPr>
            <w:r>
              <w:rPr>
                <w:rFonts w:hint="eastAsia"/>
                <w:lang w:val="en-US" w:eastAsia="zh-CN"/>
              </w:rPr>
              <w:t>动力蓄电池的拆卸</w:t>
            </w:r>
            <w:r>
              <w:rPr>
                <w:rFonts w:hint="eastAsia" w:ascii="宋体" w:hAnsi="宋体" w:eastAsia="宋体" w:cs="宋体"/>
                <w:lang w:val="en-US" w:eastAsia="zh-CN"/>
              </w:rPr>
              <w:t>，</w:t>
            </w:r>
            <w:r>
              <w:rPr>
                <w:rFonts w:hint="eastAsia"/>
                <w:lang w:val="en-US" w:eastAsia="zh-CN"/>
              </w:rPr>
              <w:t>需拆解动力蓄电池阻挡部件</w:t>
            </w:r>
            <w:r>
              <w:rPr>
                <w:rFonts w:hint="eastAsia" w:ascii="宋体" w:hAnsi="宋体" w:eastAsia="宋体" w:cs="宋体"/>
                <w:lang w:val="en-US" w:eastAsia="zh-CN"/>
              </w:rPr>
              <w:t>，</w:t>
            </w:r>
            <w:r>
              <w:rPr>
                <w:rFonts w:hint="eastAsia"/>
                <w:lang w:val="en-US" w:eastAsia="zh-CN"/>
              </w:rPr>
              <w:t>如引擎盖、行李箱盖、车门等</w:t>
            </w:r>
            <w:r>
              <w:rPr>
                <w:rFonts w:hint="eastAsia" w:ascii="宋体" w:hAnsi="宋体" w:eastAsia="宋体" w:cs="宋体"/>
                <w:lang w:val="en-US" w:eastAsia="zh-CN"/>
              </w:rPr>
              <w:t>，</w:t>
            </w:r>
            <w:r>
              <w:rPr>
                <w:rFonts w:hint="eastAsia"/>
                <w:lang w:val="en-US" w:eastAsia="zh-CN"/>
              </w:rPr>
              <w:t>然后断开电压线束</w:t>
            </w:r>
            <w:r>
              <w:rPr>
                <w:rFonts w:hint="eastAsia" w:ascii="宋体" w:hAnsi="宋体" w:eastAsia="宋体" w:cs="宋体"/>
                <w:lang w:val="en-US" w:eastAsia="zh-CN"/>
              </w:rPr>
              <w:t>，</w:t>
            </w:r>
            <w:r>
              <w:rPr>
                <w:rFonts w:hint="eastAsia"/>
                <w:lang w:val="en-US" w:eastAsia="zh-CN"/>
              </w:rPr>
              <w:t>拆除不同位置的动力蓄电池</w:t>
            </w:r>
            <w:r>
              <w:rPr>
                <w:rFonts w:hint="eastAsia" w:ascii="宋体" w:hAnsi="宋体" w:eastAsia="宋体" w:cs="宋体"/>
                <w:lang w:val="en-US" w:eastAsia="zh-CN"/>
              </w:rPr>
              <w:t>，</w:t>
            </w:r>
            <w:r>
              <w:rPr>
                <w:rFonts w:hint="eastAsia"/>
                <w:lang w:val="en-US" w:eastAsia="zh-CN"/>
              </w:rPr>
              <w:t>收集采用液冷结构方式散热的动力蓄电池包内的冷却液</w:t>
            </w:r>
            <w:r>
              <w:rPr>
                <w:rFonts w:hint="eastAsia" w:ascii="宋体" w:hAnsi="宋体" w:eastAsia="宋体" w:cs="宋体"/>
                <w:lang w:val="en-US" w:eastAsia="zh-CN"/>
              </w:rPr>
              <w:t>；</w:t>
            </w:r>
            <w:r>
              <w:rPr>
                <w:rFonts w:hint="eastAsia"/>
                <w:lang w:val="en-US" w:eastAsia="zh-CN"/>
              </w:rPr>
              <w:t>对拆除的动力蓄电线束接头、正负极片等外露线束和金属物进行绝缘处理</w:t>
            </w:r>
            <w:r>
              <w:rPr>
                <w:rFonts w:hint="eastAsia" w:ascii="宋体" w:hAnsi="宋体" w:eastAsia="宋体" w:cs="宋体"/>
                <w:lang w:val="en-US" w:eastAsia="zh-CN"/>
              </w:rPr>
              <w:t>，</w:t>
            </w:r>
            <w:r>
              <w:rPr>
                <w:rFonts w:hint="eastAsia"/>
                <w:lang w:val="en-US" w:eastAsia="zh-CN"/>
              </w:rPr>
              <w:t>并贴上标签</w:t>
            </w:r>
            <w:r>
              <w:rPr>
                <w:rFonts w:hint="eastAsia" w:ascii="宋体" w:hAnsi="宋体" w:eastAsia="宋体" w:cs="宋体"/>
                <w:lang w:val="en-US" w:eastAsia="zh-CN"/>
              </w:rPr>
              <w:t>，</w:t>
            </w:r>
            <w:r>
              <w:rPr>
                <w:rFonts w:hint="eastAsia"/>
                <w:lang w:val="en-US" w:eastAsia="zh-CN"/>
              </w:rPr>
              <w:t>标明绝缘状况</w:t>
            </w:r>
            <w:r>
              <w:rPr>
                <w:rFonts w:hint="eastAsia" w:ascii="宋体" w:hAnsi="宋体" w:eastAsia="宋体" w:cs="宋体"/>
                <w:lang w:val="en-US" w:eastAsia="zh-CN"/>
              </w:rPr>
              <w:t>。</w:t>
            </w:r>
          </w:p>
          <w:p>
            <w:pPr>
              <w:pStyle w:val="25"/>
              <w:bidi w:val="0"/>
              <w:jc w:val="both"/>
              <w:rPr>
                <w:rFonts w:hint="eastAsia"/>
                <w:lang w:val="en-US" w:eastAsia="zh-CN"/>
              </w:rPr>
            </w:pPr>
            <w:r>
              <w:rPr>
                <w:rFonts w:hint="eastAsia"/>
                <w:lang w:val="en-US" w:eastAsia="zh-CN"/>
              </w:rPr>
              <w:t>（5）贮存及管理</w:t>
            </w:r>
          </w:p>
          <w:p>
            <w:pPr>
              <w:pStyle w:val="25"/>
              <w:bidi w:val="0"/>
              <w:jc w:val="both"/>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报废电动汽车拆解过程产生的各零部件、材料和废弃物贮存及管理要求与报废燃油汽车一致。电动汽车蓄电池暂存按照《废蓄电池回收管理规范》 （WB/T1061）贮存要求执行，并有专人管理。多层储存时，采用框架结构确保承重安全，且能便于存取。存在安全隐患的动力蓄电池应隔离存放。</w:t>
            </w:r>
          </w:p>
          <w:p>
            <w:pPr>
              <w:pStyle w:val="27"/>
              <w:bidi w:val="0"/>
              <w:spacing w:line="240" w:lineRule="auto"/>
              <w:jc w:val="center"/>
              <w:rPr>
                <w:rFonts w:hint="default" w:ascii="Times New Roman" w:hAnsi="Times New Roman" w:eastAsia="宋体" w:cs="Times New Roman"/>
                <w:lang w:val="en-US" w:eastAsia="zh-CN"/>
              </w:rPr>
            </w:pPr>
            <w:r>
              <w:drawing>
                <wp:inline distT="0" distB="0" distL="114300" distR="114300">
                  <wp:extent cx="4505325" cy="4191000"/>
                  <wp:effectExtent l="0" t="0" r="5715" b="0"/>
                  <wp:docPr id="1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6"/>
                          <pic:cNvPicPr>
                            <a:picLocks noChangeAspect="1"/>
                          </pic:cNvPicPr>
                        </pic:nvPicPr>
                        <pic:blipFill>
                          <a:blip r:embed="rId13"/>
                          <a:stretch>
                            <a:fillRect/>
                          </a:stretch>
                        </pic:blipFill>
                        <pic:spPr>
                          <a:xfrm>
                            <a:off x="0" y="0"/>
                            <a:ext cx="4505325" cy="4191000"/>
                          </a:xfrm>
                          <a:prstGeom prst="rect">
                            <a:avLst/>
                          </a:prstGeom>
                          <a:noFill/>
                          <a:ln>
                            <a:noFill/>
                          </a:ln>
                        </pic:spPr>
                      </pic:pic>
                    </a:graphicData>
                  </a:graphic>
                </wp:inline>
              </w:drawing>
            </w:r>
          </w:p>
          <w:p>
            <w:pPr>
              <w:pStyle w:val="27"/>
              <w:bidi w:val="0"/>
              <w:rPr>
                <w:rFonts w:hint="eastAsia"/>
                <w:lang w:val="en-US" w:eastAsia="zh-CN"/>
              </w:rPr>
            </w:pPr>
            <w:r>
              <w:rPr>
                <w:rFonts w:hint="eastAsia"/>
                <w:lang w:val="en-US" w:eastAsia="zh-CN"/>
              </w:rPr>
              <w:t>图2-5 项目摩托车拆解流程及产污环节</w:t>
            </w:r>
          </w:p>
          <w:p>
            <w:pPr>
              <w:pStyle w:val="25"/>
              <w:bidi w:val="0"/>
              <w:jc w:val="both"/>
              <w:rPr>
                <w:rFonts w:hint="default"/>
                <w:lang w:val="en-US" w:eastAsia="zh-CN"/>
              </w:rPr>
            </w:pPr>
            <w:r>
              <w:rPr>
                <w:rFonts w:hint="default"/>
                <w:lang w:val="en-US" w:eastAsia="zh-CN"/>
              </w:rPr>
              <w:t xml:space="preserve">（1）检查和登记 </w:t>
            </w:r>
          </w:p>
          <w:p>
            <w:pPr>
              <w:pStyle w:val="25"/>
              <w:bidi w:val="0"/>
              <w:jc w:val="both"/>
              <w:rPr>
                <w:rFonts w:hint="default"/>
                <w:lang w:val="en-US" w:eastAsia="zh-CN"/>
              </w:rPr>
            </w:pPr>
            <w:r>
              <w:rPr>
                <w:rFonts w:hint="default"/>
                <w:lang w:val="en-US" w:eastAsia="zh-CN"/>
              </w:rPr>
              <w:t>报废摩托车的检查和登记与报废汽车相同。</w:t>
            </w:r>
          </w:p>
          <w:p>
            <w:pPr>
              <w:pStyle w:val="25"/>
              <w:bidi w:val="0"/>
              <w:jc w:val="both"/>
              <w:rPr>
                <w:rFonts w:hint="default"/>
                <w:lang w:val="en-US" w:eastAsia="zh-CN"/>
              </w:rPr>
            </w:pPr>
            <w:r>
              <w:rPr>
                <w:rFonts w:hint="eastAsia"/>
                <w:lang w:val="en-US" w:eastAsia="zh-CN"/>
              </w:rPr>
              <w:t>（</w:t>
            </w:r>
            <w:r>
              <w:rPr>
                <w:rFonts w:hint="default"/>
                <w:lang w:val="en-US" w:eastAsia="zh-CN"/>
              </w:rPr>
              <w:t>2</w:t>
            </w:r>
            <w:r>
              <w:rPr>
                <w:rFonts w:hint="eastAsia"/>
                <w:lang w:val="en-US" w:eastAsia="zh-CN"/>
              </w:rPr>
              <w:t xml:space="preserve">）无害化处理 </w:t>
            </w:r>
          </w:p>
          <w:p>
            <w:pPr>
              <w:keepNext w:val="0"/>
              <w:keepLines w:val="0"/>
              <w:widowControl/>
              <w:suppressLineNumbers w:val="0"/>
              <w:spacing w:line="360" w:lineRule="auto"/>
              <w:ind w:firstLine="480" w:firstLineChars="200"/>
              <w:jc w:val="left"/>
            </w:pPr>
            <w:r>
              <w:rPr>
                <w:rFonts w:hint="eastAsia" w:ascii="宋体" w:hAnsi="宋体" w:eastAsia="宋体" w:cs="宋体"/>
                <w:color w:val="000000"/>
                <w:kern w:val="0"/>
                <w:sz w:val="24"/>
                <w:szCs w:val="24"/>
                <w:lang w:val="en-US" w:eastAsia="zh-CN" w:bidi="ar"/>
              </w:rPr>
              <w:t xml:space="preserve">①、拆卸蓄电池。 </w:t>
            </w:r>
          </w:p>
          <w:p>
            <w:pPr>
              <w:keepNext w:val="0"/>
              <w:keepLines w:val="0"/>
              <w:widowControl/>
              <w:suppressLineNumbers w:val="0"/>
              <w:spacing w:line="360" w:lineRule="auto"/>
              <w:ind w:firstLine="480" w:firstLineChars="200"/>
              <w:jc w:val="left"/>
            </w:pPr>
            <w:r>
              <w:rPr>
                <w:rFonts w:hint="eastAsia" w:ascii="宋体" w:hAnsi="宋体" w:eastAsia="宋体" w:cs="宋体"/>
                <w:color w:val="000000"/>
                <w:kern w:val="0"/>
                <w:sz w:val="24"/>
                <w:szCs w:val="24"/>
                <w:lang w:val="en-US" w:eastAsia="zh-CN" w:bidi="ar"/>
              </w:rPr>
              <w:t xml:space="preserve">②、抽排液体：在其他任何进一步的处理前，必须抽排出燃料、制动液、 </w:t>
            </w:r>
          </w:p>
          <w:p>
            <w:pPr>
              <w:keepNext w:val="0"/>
              <w:keepLines w:val="0"/>
              <w:widowControl/>
              <w:suppressLineNumbers w:val="0"/>
              <w:spacing w:line="360" w:lineRule="auto"/>
              <w:jc w:val="left"/>
            </w:pPr>
            <w:r>
              <w:rPr>
                <w:rFonts w:hint="eastAsia" w:ascii="宋体" w:hAnsi="宋体" w:eastAsia="宋体" w:cs="宋体"/>
                <w:color w:val="000000"/>
                <w:kern w:val="0"/>
                <w:sz w:val="24"/>
                <w:szCs w:val="24"/>
                <w:lang w:val="en-US" w:eastAsia="zh-CN" w:bidi="ar"/>
              </w:rPr>
              <w:t xml:space="preserve">发动机机油和其他各部件的废油液等。各种不同种类的废液使用不用的容器进 </w:t>
            </w:r>
          </w:p>
          <w:p>
            <w:pPr>
              <w:keepNext w:val="0"/>
              <w:keepLines w:val="0"/>
              <w:widowControl/>
              <w:suppressLineNumbers w:val="0"/>
              <w:spacing w:line="360" w:lineRule="auto"/>
              <w:jc w:val="left"/>
              <w:rPr>
                <w:rFonts w:hint="eastAsia" w:ascii="宋体" w:hAnsi="宋体" w:eastAsia="宋体" w:cs="宋体"/>
                <w:color w:val="000000"/>
                <w:kern w:val="0"/>
                <w:sz w:val="24"/>
                <w:szCs w:val="24"/>
                <w:lang w:val="en-US" w:eastAsia="zh-CN" w:bidi="ar"/>
              </w:rPr>
            </w:pPr>
            <w:r>
              <w:rPr>
                <w:rFonts w:hint="eastAsia" w:ascii="宋体" w:hAnsi="宋体" w:eastAsia="宋体" w:cs="宋体"/>
                <w:color w:val="000000"/>
                <w:kern w:val="0"/>
                <w:sz w:val="24"/>
                <w:szCs w:val="24"/>
                <w:lang w:val="en-US" w:eastAsia="zh-CN" w:bidi="ar"/>
              </w:rPr>
              <w:t>行贮存，以免互相污染。</w:t>
            </w:r>
          </w:p>
          <w:p>
            <w:pPr>
              <w:pStyle w:val="25"/>
              <w:bidi w:val="0"/>
              <w:jc w:val="both"/>
              <w:rPr>
                <w:rFonts w:hint="eastAsia"/>
                <w:lang w:val="en-US" w:eastAsia="zh-CN"/>
              </w:rPr>
            </w:pPr>
            <w:r>
              <w:rPr>
                <w:rFonts w:hint="eastAsia"/>
                <w:lang w:val="en-US" w:eastAsia="zh-CN"/>
              </w:rPr>
              <w:t>（</w:t>
            </w:r>
            <w:r>
              <w:rPr>
                <w:rFonts w:hint="default"/>
                <w:lang w:val="en-US" w:eastAsia="zh-CN"/>
              </w:rPr>
              <w:t>3</w:t>
            </w:r>
            <w:r>
              <w:rPr>
                <w:rFonts w:hint="eastAsia"/>
                <w:lang w:val="en-US" w:eastAsia="zh-CN"/>
              </w:rPr>
              <w:t xml:space="preserve">）车壳打包处置 </w:t>
            </w:r>
          </w:p>
          <w:p>
            <w:pPr>
              <w:keepNext w:val="0"/>
              <w:keepLines w:val="0"/>
              <w:widowControl/>
              <w:suppressLineNumbers w:val="0"/>
              <w:spacing w:line="360" w:lineRule="auto"/>
              <w:ind w:firstLine="480" w:firstLineChars="200"/>
              <w:jc w:val="left"/>
            </w:pPr>
            <w:r>
              <w:rPr>
                <w:rFonts w:hint="eastAsia" w:ascii="宋体" w:hAnsi="宋体" w:eastAsia="宋体" w:cs="宋体"/>
                <w:color w:val="000000"/>
                <w:kern w:val="0"/>
                <w:sz w:val="24"/>
                <w:szCs w:val="24"/>
                <w:lang w:val="en-US" w:eastAsia="zh-CN" w:bidi="ar"/>
              </w:rPr>
              <w:t xml:space="preserve">从报废摩托车上拆解出的制动液、废油等按照规定分类放置后，剩余可利用 </w:t>
            </w:r>
          </w:p>
          <w:p>
            <w:pPr>
              <w:keepNext w:val="0"/>
              <w:keepLines w:val="0"/>
              <w:widowControl/>
              <w:suppressLineNumbers w:val="0"/>
              <w:spacing w:line="360" w:lineRule="auto"/>
              <w:jc w:val="left"/>
              <w:rPr>
                <w:rFonts w:hint="default"/>
                <w:lang w:val="en-US" w:eastAsia="zh-CN"/>
              </w:rPr>
            </w:pPr>
            <w:r>
              <w:rPr>
                <w:rFonts w:hint="eastAsia" w:ascii="宋体" w:hAnsi="宋体" w:eastAsia="宋体" w:cs="宋体"/>
                <w:color w:val="000000"/>
                <w:kern w:val="0"/>
                <w:sz w:val="24"/>
                <w:szCs w:val="24"/>
                <w:lang w:val="en-US" w:eastAsia="zh-CN" w:bidi="ar"/>
              </w:rPr>
              <w:t xml:space="preserve">的零部件已经很少，直接随车架剪切打包外售。 </w:t>
            </w:r>
          </w:p>
          <w:p>
            <w:pPr>
              <w:pStyle w:val="25"/>
              <w:numPr>
                <w:ilvl w:val="0"/>
                <w:numId w:val="6"/>
              </w:numPr>
              <w:bidi w:val="0"/>
              <w:jc w:val="both"/>
              <w:rPr>
                <w:rFonts w:hint="eastAsia"/>
                <w:lang w:val="en-US" w:eastAsia="zh-CN"/>
              </w:rPr>
            </w:pPr>
            <w:r>
              <w:rPr>
                <w:rFonts w:hint="eastAsia"/>
                <w:lang w:val="en-US" w:eastAsia="zh-CN"/>
              </w:rPr>
              <w:t>分类处置</w:t>
            </w:r>
          </w:p>
          <w:p>
            <w:pPr>
              <w:pStyle w:val="25"/>
              <w:numPr>
                <w:ilvl w:val="0"/>
                <w:numId w:val="0"/>
              </w:numPr>
              <w:bidi w:val="0"/>
              <w:ind w:firstLine="480" w:firstLineChars="200"/>
              <w:jc w:val="both"/>
              <w:rPr>
                <w:rFonts w:hint="eastAsia"/>
                <w:lang w:val="en-US" w:eastAsia="zh-CN"/>
              </w:rPr>
            </w:pPr>
            <w:r>
              <w:rPr>
                <w:rFonts w:hint="eastAsia"/>
                <w:lang w:val="en-US" w:eastAsia="zh-CN"/>
              </w:rPr>
              <w:t>从报废摩托车上拆解下来的零件或材料首先考虑再利用。拆解出的废油液等按照规定分类放置。再利用的和废弃的油液箱标明清楚，便于辨别。拆解后分拣出全部可再利用和可再循环使用的零部件及材料，剩余的车身、车架部分，没有再利用价值或不符合再循环利用的零部件，分类暂存后出售给相关企业或交由环卫部门处理。</w:t>
            </w:r>
          </w:p>
          <w:p>
            <w:pPr>
              <w:pStyle w:val="25"/>
              <w:numPr>
                <w:ilvl w:val="0"/>
                <w:numId w:val="0"/>
              </w:numPr>
              <w:bidi w:val="0"/>
              <w:ind w:firstLine="480" w:firstLineChars="200"/>
              <w:jc w:val="both"/>
              <w:rPr>
                <w:rFonts w:hint="eastAsia"/>
                <w:b w:val="0"/>
                <w:bCs w:val="0"/>
                <w:lang w:val="en-US" w:eastAsia="zh-CN"/>
              </w:rPr>
            </w:pPr>
            <w:r>
              <w:rPr>
                <w:rFonts w:hint="eastAsia"/>
                <w:b w:val="0"/>
                <w:bCs w:val="0"/>
                <w:lang w:val="en-US" w:eastAsia="zh-CN"/>
              </w:rPr>
              <w:t>报废摩托车深度拆解</w:t>
            </w:r>
          </w:p>
          <w:p>
            <w:pPr>
              <w:pStyle w:val="25"/>
              <w:numPr>
                <w:ilvl w:val="0"/>
                <w:numId w:val="0"/>
              </w:numPr>
              <w:bidi w:val="0"/>
              <w:jc w:val="both"/>
              <w:rPr>
                <w:rFonts w:hint="eastAsia"/>
                <w:lang w:val="en-US" w:eastAsia="zh-CN"/>
              </w:rPr>
            </w:pPr>
            <w:r>
              <w:rPr>
                <w:rFonts w:hint="eastAsia"/>
                <w:lang w:val="en-US" w:eastAsia="zh-CN"/>
              </w:rPr>
              <w:t xml:space="preserve">本项目拆解的各种物质不会进行进一步的拆分和处置，具体如下： </w:t>
            </w:r>
          </w:p>
          <w:p>
            <w:pPr>
              <w:pStyle w:val="25"/>
              <w:numPr>
                <w:ilvl w:val="0"/>
                <w:numId w:val="0"/>
              </w:numPr>
              <w:bidi w:val="0"/>
              <w:ind w:firstLine="480" w:firstLineChars="200"/>
              <w:jc w:val="both"/>
              <w:rPr>
                <w:rFonts w:hint="eastAsia"/>
                <w:lang w:val="en-US" w:eastAsia="zh-CN"/>
              </w:rPr>
            </w:pPr>
            <w:r>
              <w:rPr>
                <w:rFonts w:hint="eastAsia"/>
                <w:lang w:val="en-US" w:eastAsia="zh-CN"/>
              </w:rPr>
              <w:t>①蓄电池从摩托车上拆除后，不再进行进一步的拆解，将尽快交给有资质的单位处理。</w:t>
            </w:r>
          </w:p>
          <w:p>
            <w:pPr>
              <w:pStyle w:val="25"/>
              <w:numPr>
                <w:ilvl w:val="0"/>
                <w:numId w:val="0"/>
              </w:numPr>
              <w:bidi w:val="0"/>
              <w:ind w:firstLine="480" w:firstLineChars="200"/>
              <w:jc w:val="both"/>
              <w:rPr>
                <w:rFonts w:hint="eastAsia"/>
                <w:lang w:val="en-US" w:eastAsia="zh-CN"/>
              </w:rPr>
            </w:pPr>
            <w:r>
              <w:rPr>
                <w:rFonts w:hint="eastAsia"/>
                <w:lang w:val="en-US" w:eastAsia="zh-CN"/>
              </w:rPr>
              <w:t>②各种电器也仅从摩托车上拆除，不进行进一步的拆解。</w:t>
            </w:r>
          </w:p>
          <w:p>
            <w:pPr>
              <w:pStyle w:val="25"/>
              <w:numPr>
                <w:ilvl w:val="0"/>
                <w:numId w:val="0"/>
              </w:numPr>
              <w:bidi w:val="0"/>
              <w:ind w:firstLine="480" w:firstLineChars="200"/>
              <w:jc w:val="both"/>
              <w:rPr>
                <w:rFonts w:hint="eastAsia"/>
                <w:lang w:val="en-US" w:eastAsia="zh-CN"/>
              </w:rPr>
            </w:pPr>
            <w:r>
              <w:rPr>
                <w:rFonts w:hint="eastAsia"/>
                <w:lang w:val="en-US" w:eastAsia="zh-CN"/>
              </w:rPr>
              <w:t xml:space="preserve">③为便于储存、运输及提供外售价值，塑料件按其塑料类型分类后储存。 </w:t>
            </w:r>
          </w:p>
          <w:p>
            <w:pPr>
              <w:pStyle w:val="25"/>
              <w:numPr>
                <w:ilvl w:val="0"/>
                <w:numId w:val="0"/>
              </w:numPr>
              <w:bidi w:val="0"/>
              <w:ind w:firstLine="480" w:firstLineChars="200"/>
              <w:jc w:val="both"/>
              <w:rPr>
                <w:rFonts w:hint="eastAsia"/>
                <w:lang w:val="en-US" w:eastAsia="zh-CN"/>
              </w:rPr>
            </w:pPr>
            <w:r>
              <w:rPr>
                <w:rFonts w:hint="eastAsia"/>
                <w:lang w:val="en-US" w:eastAsia="zh-CN"/>
              </w:rPr>
              <w:t>④经拆解线处理后，将旧车拆卸下的车架总成等大件，经剪切后分类存放。</w:t>
            </w:r>
          </w:p>
          <w:p>
            <w:pPr>
              <w:pStyle w:val="25"/>
              <w:numPr>
                <w:ilvl w:val="0"/>
                <w:numId w:val="0"/>
              </w:numPr>
              <w:bidi w:val="0"/>
              <w:ind w:firstLine="480" w:firstLineChars="200"/>
              <w:jc w:val="both"/>
              <w:rPr>
                <w:rFonts w:hint="eastAsia"/>
                <w:b w:val="0"/>
                <w:bCs w:val="0"/>
                <w:lang w:val="en-US" w:eastAsia="zh-CN"/>
              </w:rPr>
            </w:pPr>
            <w:r>
              <w:rPr>
                <w:rFonts w:hint="eastAsia"/>
                <w:b w:val="0"/>
                <w:bCs w:val="0"/>
                <w:lang w:val="en-US" w:eastAsia="zh-CN"/>
              </w:rPr>
              <w:t>报废摩托车拆解的一般技术要求</w:t>
            </w:r>
          </w:p>
          <w:p>
            <w:pPr>
              <w:pStyle w:val="25"/>
              <w:numPr>
                <w:ilvl w:val="0"/>
                <w:numId w:val="0"/>
              </w:numPr>
              <w:bidi w:val="0"/>
              <w:ind w:firstLine="480" w:firstLineChars="200"/>
              <w:jc w:val="both"/>
              <w:rPr>
                <w:rFonts w:hint="eastAsia"/>
                <w:lang w:val="en-US" w:eastAsia="zh-CN"/>
              </w:rPr>
            </w:pPr>
            <w:r>
              <w:rPr>
                <w:rFonts w:hint="eastAsia"/>
                <w:lang w:val="en-US" w:eastAsia="zh-CN"/>
              </w:rPr>
              <w:t xml:space="preserve">①拆解报废摩托车零部件时，应当使用合适的专用工具，尽可能保证零部件可再利用性以及材料可回收利用性。 </w:t>
            </w:r>
          </w:p>
          <w:p>
            <w:pPr>
              <w:pStyle w:val="25"/>
              <w:numPr>
                <w:ilvl w:val="0"/>
                <w:numId w:val="0"/>
              </w:numPr>
              <w:bidi w:val="0"/>
              <w:ind w:firstLine="480" w:firstLineChars="200"/>
              <w:jc w:val="both"/>
              <w:rPr>
                <w:rFonts w:hint="eastAsia"/>
                <w:lang w:val="en-US" w:eastAsia="zh-CN"/>
              </w:rPr>
            </w:pPr>
            <w:r>
              <w:rPr>
                <w:rFonts w:hint="eastAsia"/>
                <w:lang w:val="en-US" w:eastAsia="zh-CN"/>
              </w:rPr>
              <w:t>②应按照摩托车生产企业所提供的拆解信息或拆解手册进行合理拆解，没有拆解手册的，参照同类其他车辆的规定拆解。</w:t>
            </w:r>
          </w:p>
          <w:p>
            <w:pPr>
              <w:pStyle w:val="25"/>
              <w:numPr>
                <w:ilvl w:val="0"/>
                <w:numId w:val="0"/>
              </w:numPr>
              <w:bidi w:val="0"/>
              <w:ind w:firstLine="480" w:firstLineChars="200"/>
              <w:jc w:val="both"/>
              <w:rPr>
                <w:rFonts w:hint="eastAsia"/>
                <w:lang w:val="en-US" w:eastAsia="zh-CN"/>
              </w:rPr>
            </w:pPr>
            <w:r>
              <w:rPr>
                <w:rFonts w:hint="eastAsia"/>
                <w:lang w:val="en-US" w:eastAsia="zh-CN"/>
              </w:rPr>
              <w:t>③存留在报废摩托车中的各种废液应抽空并分类回收，各种废液的排空率应不低于90%，剩余油液用抹布擦拭和吸附。</w:t>
            </w:r>
          </w:p>
          <w:p>
            <w:pPr>
              <w:pStyle w:val="25"/>
              <w:numPr>
                <w:ilvl w:val="0"/>
                <w:numId w:val="0"/>
              </w:numPr>
              <w:bidi w:val="0"/>
              <w:ind w:firstLine="480" w:firstLineChars="200"/>
              <w:jc w:val="both"/>
              <w:rPr>
                <w:rFonts w:hint="eastAsia"/>
                <w:lang w:val="en-US" w:eastAsia="zh-CN"/>
              </w:rPr>
            </w:pPr>
            <w:r>
              <w:rPr>
                <w:rFonts w:hint="eastAsia"/>
                <w:lang w:val="en-US" w:eastAsia="zh-CN"/>
              </w:rPr>
              <w:t xml:space="preserve">④各种零部件和材料都应以恰当的方式拆除和隔离。拆解时应避免损伤或污染。 </w:t>
            </w:r>
          </w:p>
          <w:p>
            <w:pPr>
              <w:pStyle w:val="25"/>
              <w:bidi w:val="0"/>
              <w:jc w:val="both"/>
              <w:rPr>
                <w:rFonts w:hint="default"/>
                <w:b w:val="0"/>
                <w:bCs w:val="0"/>
                <w:lang w:val="en-US" w:eastAsia="zh-CN"/>
              </w:rPr>
            </w:pPr>
            <w:r>
              <w:rPr>
                <w:rFonts w:hint="eastAsia"/>
                <w:b w:val="0"/>
                <w:bCs w:val="0"/>
                <w:lang w:val="en-US" w:eastAsia="zh-CN"/>
              </w:rPr>
              <w:t>厂区内不设清洗点</w:t>
            </w:r>
            <w:r>
              <w:rPr>
                <w:rFonts w:hint="eastAsia" w:ascii="宋体" w:hAnsi="宋体" w:eastAsia="宋体" w:cs="宋体"/>
                <w:b w:val="0"/>
                <w:bCs w:val="0"/>
                <w:lang w:val="en-US" w:eastAsia="zh-CN"/>
              </w:rPr>
              <w:t>，</w:t>
            </w:r>
            <w:r>
              <w:rPr>
                <w:rFonts w:hint="eastAsia"/>
                <w:b w:val="0"/>
                <w:bCs w:val="0"/>
                <w:lang w:val="en-US" w:eastAsia="zh-CN"/>
              </w:rPr>
              <w:t>车辆及拆解的零部件均不清洗</w:t>
            </w:r>
            <w:r>
              <w:rPr>
                <w:rFonts w:hint="eastAsia" w:ascii="宋体" w:hAnsi="宋体" w:eastAsia="宋体" w:cs="宋体"/>
                <w:b w:val="0"/>
                <w:bCs w:val="0"/>
                <w:lang w:val="en-US" w:eastAsia="zh-CN"/>
              </w:rPr>
              <w:t>，</w:t>
            </w:r>
            <w:r>
              <w:rPr>
                <w:rFonts w:hint="eastAsia"/>
                <w:b w:val="0"/>
                <w:bCs w:val="0"/>
                <w:lang w:val="en-US" w:eastAsia="zh-CN"/>
              </w:rPr>
              <w:t>含油零部件等采用一次性抹布擦拭</w:t>
            </w:r>
            <w:r>
              <w:rPr>
                <w:rFonts w:hint="eastAsia" w:ascii="宋体" w:hAnsi="宋体" w:eastAsia="宋体" w:cs="宋体"/>
                <w:b w:val="0"/>
                <w:bCs w:val="0"/>
                <w:lang w:val="en-US" w:eastAsia="zh-CN"/>
              </w:rPr>
              <w:t>，</w:t>
            </w:r>
            <w:r>
              <w:rPr>
                <w:rFonts w:hint="eastAsia"/>
                <w:b w:val="0"/>
                <w:bCs w:val="0"/>
                <w:lang w:val="en-US" w:eastAsia="zh-CN"/>
              </w:rPr>
              <w:t>抹布不清洗</w:t>
            </w:r>
            <w:r>
              <w:rPr>
                <w:rFonts w:hint="eastAsia" w:ascii="宋体" w:hAnsi="宋体" w:eastAsia="宋体" w:cs="宋体"/>
                <w:b w:val="0"/>
                <w:bCs w:val="0"/>
                <w:lang w:val="en-US" w:eastAsia="zh-CN"/>
              </w:rPr>
              <w:t>，</w:t>
            </w:r>
            <w:r>
              <w:rPr>
                <w:rFonts w:hint="eastAsia"/>
                <w:b w:val="0"/>
                <w:bCs w:val="0"/>
                <w:lang w:val="en-US" w:eastAsia="zh-CN"/>
              </w:rPr>
              <w:t>作为危险废物交有资质单位处理</w:t>
            </w:r>
            <w:r>
              <w:rPr>
                <w:rFonts w:hint="eastAsia" w:ascii="宋体" w:hAnsi="宋体" w:eastAsia="宋体" w:cs="宋体"/>
                <w:b w:val="0"/>
                <w:bCs w:val="0"/>
                <w:lang w:val="en-US" w:eastAsia="zh-CN"/>
              </w:rPr>
              <w:t>。</w:t>
            </w:r>
          </w:p>
          <w:p>
            <w:pPr>
              <w:pStyle w:val="27"/>
              <w:bidi w:val="0"/>
              <w:spacing w:line="240" w:lineRule="auto"/>
              <w:jc w:val="center"/>
              <w:rPr>
                <w:rFonts w:hint="default" w:ascii="Times New Roman" w:hAnsi="Times New Roman" w:eastAsia="宋体" w:cs="Times New Roman"/>
                <w:lang w:val="en-US" w:eastAsia="zh-CN"/>
              </w:rPr>
            </w:pPr>
            <w:r>
              <w:rPr>
                <w:rFonts w:hint="default" w:ascii="Times New Roman" w:hAnsi="Times New Roman" w:eastAsia="宋体" w:cs="Times New Roman"/>
                <w:lang w:val="en-US" w:eastAsia="zh-CN"/>
              </w:rPr>
              <w:t>表2-</w:t>
            </w:r>
            <w:r>
              <w:rPr>
                <w:rFonts w:hint="eastAsia" w:ascii="Times New Roman" w:hAnsi="Times New Roman" w:eastAsia="宋体" w:cs="Times New Roman"/>
                <w:lang w:val="en-US" w:eastAsia="zh-CN"/>
              </w:rPr>
              <w:t xml:space="preserve">10 </w:t>
            </w:r>
            <w:r>
              <w:rPr>
                <w:rFonts w:hint="default" w:ascii="Times New Roman" w:hAnsi="Times New Roman" w:eastAsia="宋体" w:cs="Times New Roman"/>
                <w:lang w:val="en-US" w:eastAsia="zh-CN"/>
              </w:rPr>
              <w:t xml:space="preserve"> 营运期产污环节一览表</w:t>
            </w:r>
          </w:p>
          <w:tbl>
            <w:tblPr>
              <w:tblStyle w:val="18"/>
              <w:tblW w:w="5000" w:type="pct"/>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0" w:type="dxa"/>
                <w:bottom w:w="0" w:type="dxa"/>
                <w:right w:w="0" w:type="dxa"/>
              </w:tblCellMar>
            </w:tblPr>
            <w:tblGrid>
              <w:gridCol w:w="353"/>
              <w:gridCol w:w="628"/>
              <w:gridCol w:w="1445"/>
              <w:gridCol w:w="3048"/>
              <w:gridCol w:w="2578"/>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83" w:hRule="atLeast"/>
                <w:jc w:val="center"/>
              </w:trPr>
              <w:tc>
                <w:tcPr>
                  <w:tcW w:w="609" w:type="pct"/>
                  <w:gridSpan w:val="2"/>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污染类型</w:t>
                  </w:r>
                </w:p>
              </w:tc>
              <w:tc>
                <w:tcPr>
                  <w:tcW w:w="897"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污染物</w:t>
                  </w:r>
                </w:p>
              </w:tc>
              <w:tc>
                <w:tcPr>
                  <w:tcW w:w="1892"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主要污染物</w:t>
                  </w:r>
                </w:p>
              </w:tc>
              <w:tc>
                <w:tcPr>
                  <w:tcW w:w="1600"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产污工序</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83" w:hRule="atLeast"/>
                <w:jc w:val="center"/>
              </w:trPr>
              <w:tc>
                <w:tcPr>
                  <w:tcW w:w="219" w:type="pct"/>
                  <w:vMerge w:val="restar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color w:val="auto"/>
                      <w:sz w:val="21"/>
                      <w:szCs w:val="21"/>
                      <w:u w:color="auto"/>
                    </w:rPr>
                  </w:pPr>
                  <w:r>
                    <w:rPr>
                      <w:rFonts w:hint="default" w:ascii="Times New Roman" w:hAnsi="Times New Roman" w:eastAsia="宋体" w:cs="Times New Roman"/>
                      <w:color w:val="auto"/>
                      <w:sz w:val="21"/>
                      <w:szCs w:val="21"/>
                      <w:u w:color="auto"/>
                    </w:rPr>
                    <w:t>营运期</w:t>
                  </w:r>
                </w:p>
              </w:tc>
              <w:tc>
                <w:tcPr>
                  <w:tcW w:w="389" w:type="pct"/>
                  <w:vMerge w:val="restar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color w:val="auto"/>
                      <w:sz w:val="21"/>
                      <w:szCs w:val="21"/>
                      <w:u w:color="auto"/>
                    </w:rPr>
                  </w:pPr>
                  <w:r>
                    <w:rPr>
                      <w:rFonts w:hint="default" w:ascii="Times New Roman" w:hAnsi="Times New Roman" w:eastAsia="宋体" w:cs="Times New Roman"/>
                      <w:color w:val="auto"/>
                      <w:sz w:val="21"/>
                      <w:szCs w:val="21"/>
                      <w:u w:color="auto"/>
                    </w:rPr>
                    <w:t>废气</w:t>
                  </w:r>
                </w:p>
              </w:tc>
              <w:tc>
                <w:tcPr>
                  <w:tcW w:w="897"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color w:val="auto"/>
                      <w:sz w:val="21"/>
                      <w:szCs w:val="21"/>
                      <w:u w:color="auto"/>
                    </w:rPr>
                  </w:pPr>
                  <w:r>
                    <w:rPr>
                      <w:rFonts w:hint="default" w:ascii="Times New Roman" w:hAnsi="Times New Roman" w:eastAsia="宋体" w:cs="Times New Roman"/>
                      <w:color w:val="auto"/>
                      <w:sz w:val="21"/>
                      <w:szCs w:val="21"/>
                      <w:u w:color="auto"/>
                    </w:rPr>
                    <w:t>废油挥发废气</w:t>
                  </w:r>
                </w:p>
              </w:tc>
              <w:tc>
                <w:tcPr>
                  <w:tcW w:w="1892"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color w:val="auto"/>
                      <w:sz w:val="21"/>
                      <w:szCs w:val="21"/>
                      <w:u w:color="auto"/>
                    </w:rPr>
                  </w:pPr>
                  <w:r>
                    <w:rPr>
                      <w:rFonts w:hint="default" w:ascii="Times New Roman" w:hAnsi="Times New Roman" w:eastAsia="宋体" w:cs="Times New Roman"/>
                      <w:color w:val="auto"/>
                      <w:sz w:val="21"/>
                      <w:szCs w:val="21"/>
                      <w:u w:color="auto"/>
                    </w:rPr>
                    <w:t>非甲烷总烃</w:t>
                  </w:r>
                </w:p>
              </w:tc>
              <w:tc>
                <w:tcPr>
                  <w:tcW w:w="1600"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24" w:leftChars="10"/>
                    <w:jc w:val="center"/>
                    <w:textAlignment w:val="auto"/>
                    <w:rPr>
                      <w:rFonts w:hint="default" w:ascii="Times New Roman" w:hAnsi="Times New Roman" w:eastAsia="宋体" w:cs="Times New Roman"/>
                      <w:color w:val="auto"/>
                      <w:sz w:val="21"/>
                      <w:szCs w:val="21"/>
                      <w:u w:color="auto"/>
                    </w:rPr>
                  </w:pPr>
                  <w:r>
                    <w:rPr>
                      <w:rFonts w:hint="default" w:ascii="Times New Roman" w:hAnsi="Times New Roman" w:eastAsia="宋体" w:cs="Times New Roman"/>
                      <w:color w:val="auto"/>
                      <w:sz w:val="21"/>
                      <w:szCs w:val="21"/>
                      <w:u w:color="auto"/>
                    </w:rPr>
                    <w:t>预处理工序</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83" w:hRule="atLeast"/>
                <w:jc w:val="center"/>
              </w:trPr>
              <w:tc>
                <w:tcPr>
                  <w:tcW w:w="219" w:type="pct"/>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color w:val="auto"/>
                      <w:sz w:val="21"/>
                      <w:szCs w:val="21"/>
                      <w:u w:color="auto"/>
                    </w:rPr>
                  </w:pPr>
                </w:p>
              </w:tc>
              <w:tc>
                <w:tcPr>
                  <w:tcW w:w="389" w:type="pct"/>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color w:val="auto"/>
                      <w:sz w:val="21"/>
                      <w:szCs w:val="21"/>
                      <w:u w:color="auto"/>
                    </w:rPr>
                  </w:pPr>
                </w:p>
              </w:tc>
              <w:tc>
                <w:tcPr>
                  <w:tcW w:w="897"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color w:val="auto"/>
                      <w:sz w:val="21"/>
                      <w:szCs w:val="21"/>
                      <w:u w:color="auto"/>
                    </w:rPr>
                  </w:pPr>
                  <w:r>
                    <w:rPr>
                      <w:rFonts w:hint="default" w:ascii="Times New Roman" w:hAnsi="Times New Roman" w:eastAsia="宋体" w:cs="Times New Roman"/>
                      <w:color w:val="auto"/>
                      <w:sz w:val="21"/>
                      <w:szCs w:val="21"/>
                      <w:u w:color="auto"/>
                    </w:rPr>
                    <w:t>制冷剂废气</w:t>
                  </w:r>
                </w:p>
              </w:tc>
              <w:tc>
                <w:tcPr>
                  <w:tcW w:w="1892"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color w:val="auto"/>
                      <w:sz w:val="21"/>
                      <w:szCs w:val="21"/>
                      <w:u w:color="auto"/>
                    </w:rPr>
                  </w:pPr>
                  <w:r>
                    <w:rPr>
                      <w:rFonts w:hint="default" w:ascii="Times New Roman" w:hAnsi="Times New Roman" w:eastAsia="宋体" w:cs="Times New Roman"/>
                      <w:color w:val="auto"/>
                      <w:sz w:val="21"/>
                      <w:szCs w:val="21"/>
                      <w:u w:color="auto"/>
                    </w:rPr>
                    <w:t>氟利昂</w:t>
                  </w:r>
                </w:p>
              </w:tc>
              <w:tc>
                <w:tcPr>
                  <w:tcW w:w="1600"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24" w:leftChars="10"/>
                    <w:jc w:val="center"/>
                    <w:textAlignment w:val="auto"/>
                    <w:rPr>
                      <w:rFonts w:hint="default" w:ascii="Times New Roman" w:hAnsi="Times New Roman" w:eastAsia="宋体" w:cs="Times New Roman"/>
                      <w:color w:val="auto"/>
                      <w:sz w:val="21"/>
                      <w:szCs w:val="21"/>
                      <w:u w:color="auto"/>
                    </w:rPr>
                  </w:pPr>
                  <w:r>
                    <w:rPr>
                      <w:rFonts w:hint="default" w:ascii="Times New Roman" w:hAnsi="Times New Roman" w:eastAsia="宋体" w:cs="Times New Roman"/>
                      <w:color w:val="auto"/>
                      <w:sz w:val="21"/>
                      <w:szCs w:val="21"/>
                      <w:u w:color="auto"/>
                    </w:rPr>
                    <w:t>预处理工序</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83" w:hRule="atLeast"/>
                <w:jc w:val="center"/>
              </w:trPr>
              <w:tc>
                <w:tcPr>
                  <w:tcW w:w="219" w:type="pct"/>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color w:val="auto"/>
                      <w:sz w:val="21"/>
                      <w:szCs w:val="21"/>
                      <w:u w:color="auto"/>
                    </w:rPr>
                  </w:pPr>
                </w:p>
              </w:tc>
              <w:tc>
                <w:tcPr>
                  <w:tcW w:w="389" w:type="pct"/>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color w:val="auto"/>
                      <w:sz w:val="21"/>
                      <w:szCs w:val="21"/>
                      <w:u w:color="auto"/>
                    </w:rPr>
                  </w:pPr>
                </w:p>
              </w:tc>
              <w:tc>
                <w:tcPr>
                  <w:tcW w:w="897"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color w:val="auto"/>
                      <w:sz w:val="21"/>
                      <w:szCs w:val="21"/>
                      <w:u w:color="auto"/>
                    </w:rPr>
                  </w:pPr>
                  <w:r>
                    <w:rPr>
                      <w:rFonts w:hint="default" w:ascii="Times New Roman" w:hAnsi="Times New Roman" w:eastAsia="宋体" w:cs="Times New Roman"/>
                      <w:color w:val="auto"/>
                      <w:sz w:val="21"/>
                      <w:szCs w:val="21"/>
                      <w:u w:color="auto"/>
                    </w:rPr>
                    <w:t>拆解粉尘</w:t>
                  </w:r>
                </w:p>
              </w:tc>
              <w:tc>
                <w:tcPr>
                  <w:tcW w:w="1892"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color w:val="auto"/>
                      <w:sz w:val="21"/>
                      <w:szCs w:val="21"/>
                      <w:u w:color="auto"/>
                    </w:rPr>
                  </w:pPr>
                  <w:r>
                    <w:rPr>
                      <w:rFonts w:hint="default" w:ascii="Times New Roman" w:hAnsi="Times New Roman" w:eastAsia="宋体" w:cs="Times New Roman"/>
                      <w:color w:val="auto"/>
                      <w:sz w:val="21"/>
                      <w:szCs w:val="21"/>
                      <w:u w:color="auto"/>
                    </w:rPr>
                    <w:t>颗粒物</w:t>
                  </w:r>
                </w:p>
              </w:tc>
              <w:tc>
                <w:tcPr>
                  <w:tcW w:w="1600"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24" w:leftChars="10"/>
                    <w:jc w:val="center"/>
                    <w:textAlignment w:val="auto"/>
                    <w:rPr>
                      <w:rFonts w:hint="default" w:ascii="Times New Roman" w:hAnsi="Times New Roman" w:eastAsia="宋体" w:cs="Times New Roman"/>
                      <w:color w:val="auto"/>
                      <w:sz w:val="21"/>
                      <w:szCs w:val="21"/>
                      <w:u w:color="auto"/>
                    </w:rPr>
                  </w:pPr>
                  <w:r>
                    <w:rPr>
                      <w:rFonts w:hint="eastAsia" w:cs="Times New Roman"/>
                      <w:color w:val="auto"/>
                      <w:sz w:val="21"/>
                      <w:szCs w:val="21"/>
                      <w:u w:color="auto"/>
                      <w:lang w:val="en-US" w:eastAsia="zh-CN"/>
                    </w:rPr>
                    <w:t>车辆</w:t>
                  </w:r>
                  <w:r>
                    <w:rPr>
                      <w:rFonts w:hint="default" w:ascii="Times New Roman" w:hAnsi="Times New Roman" w:eastAsia="宋体" w:cs="Times New Roman"/>
                      <w:color w:val="auto"/>
                      <w:sz w:val="21"/>
                      <w:szCs w:val="21"/>
                      <w:u w:color="auto"/>
                    </w:rPr>
                    <w:t>解体工序</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83" w:hRule="atLeast"/>
                <w:jc w:val="center"/>
              </w:trPr>
              <w:tc>
                <w:tcPr>
                  <w:tcW w:w="219" w:type="pct"/>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color w:val="auto"/>
                      <w:sz w:val="21"/>
                      <w:szCs w:val="21"/>
                      <w:u w:color="auto"/>
                    </w:rPr>
                  </w:pPr>
                </w:p>
              </w:tc>
              <w:tc>
                <w:tcPr>
                  <w:tcW w:w="389" w:type="pct"/>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color w:val="auto"/>
                      <w:sz w:val="21"/>
                      <w:szCs w:val="21"/>
                      <w:u w:color="auto"/>
                    </w:rPr>
                  </w:pPr>
                </w:p>
              </w:tc>
              <w:tc>
                <w:tcPr>
                  <w:tcW w:w="897"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color w:val="auto"/>
                      <w:sz w:val="21"/>
                      <w:szCs w:val="21"/>
                      <w:u w:color="auto"/>
                      <w:lang w:val="en-US" w:eastAsia="zh-CN"/>
                    </w:rPr>
                  </w:pPr>
                  <w:r>
                    <w:rPr>
                      <w:rFonts w:hint="eastAsia" w:cs="Times New Roman"/>
                      <w:color w:val="auto"/>
                      <w:sz w:val="21"/>
                      <w:szCs w:val="21"/>
                      <w:u w:color="auto"/>
                      <w:lang w:val="en-US" w:eastAsia="zh-CN"/>
                    </w:rPr>
                    <w:t>气囊引爆废气</w:t>
                  </w:r>
                </w:p>
              </w:tc>
              <w:tc>
                <w:tcPr>
                  <w:tcW w:w="1892"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eastAsia" w:ascii="Times New Roman" w:hAnsi="Times New Roman" w:eastAsia="宋体" w:cs="Times New Roman"/>
                      <w:color w:val="auto"/>
                      <w:sz w:val="21"/>
                      <w:szCs w:val="21"/>
                      <w:u w:color="auto"/>
                      <w:lang w:val="en-US" w:eastAsia="zh-CN"/>
                    </w:rPr>
                  </w:pPr>
                  <w:r>
                    <w:rPr>
                      <w:rFonts w:hint="eastAsia" w:cs="Times New Roman"/>
                      <w:color w:val="auto"/>
                      <w:sz w:val="21"/>
                      <w:szCs w:val="21"/>
                      <w:u w:color="auto"/>
                      <w:lang w:val="en-US" w:eastAsia="zh-CN"/>
                    </w:rPr>
                    <w:t>颗粒物</w:t>
                  </w:r>
                </w:p>
              </w:tc>
              <w:tc>
                <w:tcPr>
                  <w:tcW w:w="1600"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24" w:leftChars="10"/>
                    <w:jc w:val="center"/>
                    <w:textAlignment w:val="auto"/>
                    <w:rPr>
                      <w:rFonts w:hint="default" w:ascii="Times New Roman" w:hAnsi="Times New Roman" w:eastAsia="宋体" w:cs="Times New Roman"/>
                      <w:color w:val="auto"/>
                      <w:sz w:val="21"/>
                      <w:szCs w:val="21"/>
                      <w:u w:color="auto"/>
                      <w:lang w:val="en-US" w:eastAsia="zh-CN"/>
                    </w:rPr>
                  </w:pPr>
                  <w:r>
                    <w:rPr>
                      <w:rFonts w:hint="eastAsia" w:cs="Times New Roman"/>
                      <w:color w:val="auto"/>
                      <w:sz w:val="21"/>
                      <w:szCs w:val="21"/>
                      <w:u w:color="auto"/>
                      <w:lang w:val="en-US" w:eastAsia="zh-CN"/>
                    </w:rPr>
                    <w:t>气囊引爆</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83" w:hRule="atLeast"/>
                <w:jc w:val="center"/>
              </w:trPr>
              <w:tc>
                <w:tcPr>
                  <w:tcW w:w="219" w:type="pct"/>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color w:val="auto"/>
                      <w:sz w:val="21"/>
                      <w:szCs w:val="21"/>
                      <w:u w:color="auto"/>
                    </w:rPr>
                  </w:pPr>
                </w:p>
              </w:tc>
              <w:tc>
                <w:tcPr>
                  <w:tcW w:w="389" w:type="pct"/>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color w:val="auto"/>
                      <w:sz w:val="21"/>
                      <w:szCs w:val="21"/>
                      <w:u w:color="auto"/>
                    </w:rPr>
                  </w:pPr>
                </w:p>
              </w:tc>
              <w:tc>
                <w:tcPr>
                  <w:tcW w:w="897"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cs="Times New Roman"/>
                      <w:color w:val="auto"/>
                      <w:sz w:val="21"/>
                      <w:szCs w:val="21"/>
                      <w:u w:color="auto"/>
                      <w:lang w:val="en-US" w:eastAsia="zh-CN"/>
                    </w:rPr>
                  </w:pPr>
                  <w:r>
                    <w:rPr>
                      <w:rFonts w:hint="eastAsia" w:cs="Times New Roman"/>
                      <w:color w:val="auto"/>
                      <w:sz w:val="21"/>
                      <w:szCs w:val="21"/>
                      <w:u w:color="auto"/>
                      <w:lang w:val="en-US" w:eastAsia="zh-CN"/>
                    </w:rPr>
                    <w:t>食堂油烟</w:t>
                  </w:r>
                </w:p>
              </w:tc>
              <w:tc>
                <w:tcPr>
                  <w:tcW w:w="1892"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eastAsia" w:cs="Times New Roman"/>
                      <w:color w:val="auto"/>
                      <w:sz w:val="21"/>
                      <w:szCs w:val="21"/>
                      <w:u w:color="auto"/>
                      <w:lang w:val="en-US" w:eastAsia="zh-CN"/>
                    </w:rPr>
                  </w:pPr>
                  <w:r>
                    <w:rPr>
                      <w:rFonts w:hint="eastAsia" w:cs="Times New Roman"/>
                      <w:color w:val="auto"/>
                      <w:sz w:val="21"/>
                      <w:szCs w:val="21"/>
                      <w:u w:color="auto"/>
                      <w:lang w:val="en-US" w:eastAsia="zh-CN"/>
                    </w:rPr>
                    <w:t>油烟</w:t>
                  </w:r>
                </w:p>
              </w:tc>
              <w:tc>
                <w:tcPr>
                  <w:tcW w:w="1600"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24" w:leftChars="10"/>
                    <w:jc w:val="center"/>
                    <w:textAlignment w:val="auto"/>
                    <w:rPr>
                      <w:rFonts w:hint="default" w:cs="Times New Roman"/>
                      <w:color w:val="auto"/>
                      <w:sz w:val="21"/>
                      <w:szCs w:val="21"/>
                      <w:u w:color="auto"/>
                      <w:lang w:val="en-US" w:eastAsia="zh-CN"/>
                    </w:rPr>
                  </w:pPr>
                  <w:r>
                    <w:rPr>
                      <w:rFonts w:hint="eastAsia" w:cs="Times New Roman"/>
                      <w:color w:val="auto"/>
                      <w:sz w:val="21"/>
                      <w:szCs w:val="21"/>
                      <w:u w:color="auto"/>
                      <w:lang w:val="en-US" w:eastAsia="zh-CN"/>
                    </w:rPr>
                    <w:t>员工生活</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83" w:hRule="atLeast"/>
                <w:jc w:val="center"/>
              </w:trPr>
              <w:tc>
                <w:tcPr>
                  <w:tcW w:w="219" w:type="pct"/>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color w:val="auto"/>
                      <w:sz w:val="21"/>
                      <w:szCs w:val="21"/>
                      <w:u w:color="auto"/>
                    </w:rPr>
                  </w:pPr>
                </w:p>
              </w:tc>
              <w:tc>
                <w:tcPr>
                  <w:tcW w:w="389" w:type="pct"/>
                  <w:vMerge w:val="restar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color w:val="auto"/>
                      <w:sz w:val="21"/>
                      <w:szCs w:val="21"/>
                      <w:u w:color="auto"/>
                    </w:rPr>
                  </w:pPr>
                  <w:r>
                    <w:rPr>
                      <w:rFonts w:hint="default" w:ascii="Times New Roman" w:hAnsi="Times New Roman" w:eastAsia="宋体" w:cs="Times New Roman"/>
                      <w:color w:val="auto"/>
                      <w:sz w:val="21"/>
                      <w:szCs w:val="21"/>
                      <w:u w:color="auto"/>
                    </w:rPr>
                    <w:t>废水</w:t>
                  </w:r>
                </w:p>
              </w:tc>
              <w:tc>
                <w:tcPr>
                  <w:tcW w:w="897"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color w:val="auto"/>
                      <w:sz w:val="21"/>
                      <w:szCs w:val="21"/>
                      <w:u w:color="auto"/>
                    </w:rPr>
                  </w:pPr>
                  <w:r>
                    <w:rPr>
                      <w:rFonts w:hint="default" w:ascii="Times New Roman" w:hAnsi="Times New Roman" w:eastAsia="宋体" w:cs="Times New Roman"/>
                      <w:color w:val="auto"/>
                      <w:sz w:val="21"/>
                      <w:szCs w:val="21"/>
                      <w:u w:color="auto"/>
                    </w:rPr>
                    <w:t>生活污水</w:t>
                  </w:r>
                </w:p>
              </w:tc>
              <w:tc>
                <w:tcPr>
                  <w:tcW w:w="1892"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eastAsia" w:ascii="Times New Roman" w:hAnsi="Times New Roman" w:eastAsia="宋体" w:cs="Times New Roman"/>
                      <w:color w:val="auto"/>
                      <w:sz w:val="21"/>
                      <w:szCs w:val="21"/>
                      <w:u w:color="auto"/>
                      <w:lang w:val="en-US" w:eastAsia="zh-CN"/>
                    </w:rPr>
                  </w:pPr>
                  <w:r>
                    <w:rPr>
                      <w:rFonts w:hint="default" w:ascii="Times New Roman" w:hAnsi="Times New Roman" w:eastAsia="宋体" w:cs="Times New Roman"/>
                      <w:color w:val="auto"/>
                      <w:sz w:val="21"/>
                      <w:szCs w:val="21"/>
                      <w:u w:color="auto"/>
                    </w:rPr>
                    <w:t>COD、BOD</w:t>
                  </w:r>
                  <w:r>
                    <w:rPr>
                      <w:rFonts w:hint="default" w:ascii="Times New Roman" w:hAnsi="Times New Roman" w:eastAsia="宋体" w:cs="Times New Roman"/>
                      <w:color w:val="auto"/>
                      <w:sz w:val="21"/>
                      <w:szCs w:val="21"/>
                      <w:u w:color="auto"/>
                      <w:vertAlign w:val="subscript"/>
                    </w:rPr>
                    <w:t>5</w:t>
                  </w:r>
                  <w:r>
                    <w:rPr>
                      <w:rFonts w:hint="default" w:ascii="Times New Roman" w:hAnsi="Times New Roman" w:eastAsia="宋体" w:cs="Times New Roman"/>
                      <w:color w:val="auto"/>
                      <w:sz w:val="21"/>
                      <w:szCs w:val="21"/>
                      <w:u w:color="auto"/>
                    </w:rPr>
                    <w:t>、</w:t>
                  </w:r>
                  <w:r>
                    <w:rPr>
                      <w:rFonts w:hint="default" w:ascii="Times New Roman" w:hAnsi="Times New Roman" w:eastAsia="宋体" w:cs="Times New Roman"/>
                      <w:color w:val="auto"/>
                      <w:sz w:val="21"/>
                      <w:szCs w:val="21"/>
                      <w:u w:color="auto"/>
                      <w:lang w:eastAsia="zh-CN"/>
                    </w:rPr>
                    <w:t>氨氮</w:t>
                  </w:r>
                  <w:r>
                    <w:rPr>
                      <w:rFonts w:hint="default" w:ascii="Times New Roman" w:hAnsi="Times New Roman" w:eastAsia="宋体" w:cs="Times New Roman"/>
                      <w:color w:val="auto"/>
                      <w:sz w:val="21"/>
                      <w:szCs w:val="21"/>
                      <w:u w:color="auto"/>
                    </w:rPr>
                    <w:t>、SS</w:t>
                  </w:r>
                  <w:r>
                    <w:rPr>
                      <w:rFonts w:hint="eastAsia" w:cs="Times New Roman"/>
                      <w:color w:val="auto"/>
                      <w:sz w:val="21"/>
                      <w:szCs w:val="21"/>
                      <w:u w:color="auto"/>
                      <w:lang w:eastAsia="zh-CN"/>
                    </w:rPr>
                    <w:t>、动植物油</w:t>
                  </w:r>
                </w:p>
              </w:tc>
              <w:tc>
                <w:tcPr>
                  <w:tcW w:w="1600"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24" w:leftChars="10"/>
                    <w:jc w:val="center"/>
                    <w:textAlignment w:val="auto"/>
                    <w:rPr>
                      <w:rFonts w:hint="default" w:ascii="Times New Roman" w:hAnsi="Times New Roman" w:eastAsia="宋体" w:cs="Times New Roman"/>
                      <w:color w:val="auto"/>
                      <w:sz w:val="21"/>
                      <w:szCs w:val="21"/>
                      <w:u w:color="auto"/>
                    </w:rPr>
                  </w:pPr>
                  <w:r>
                    <w:rPr>
                      <w:rFonts w:hint="default" w:ascii="Times New Roman" w:hAnsi="Times New Roman" w:eastAsia="宋体" w:cs="Times New Roman"/>
                      <w:color w:val="auto"/>
                      <w:sz w:val="21"/>
                      <w:szCs w:val="21"/>
                      <w:u w:color="auto"/>
                    </w:rPr>
                    <w:t>员工生活用水</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83" w:hRule="atLeast"/>
                <w:jc w:val="center"/>
              </w:trPr>
              <w:tc>
                <w:tcPr>
                  <w:tcW w:w="219" w:type="pct"/>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color w:val="auto"/>
                      <w:sz w:val="21"/>
                      <w:szCs w:val="21"/>
                      <w:u w:color="auto"/>
                    </w:rPr>
                  </w:pPr>
                </w:p>
              </w:tc>
              <w:tc>
                <w:tcPr>
                  <w:tcW w:w="389" w:type="pct"/>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color w:val="auto"/>
                      <w:sz w:val="21"/>
                      <w:szCs w:val="21"/>
                      <w:u w:color="auto"/>
                    </w:rPr>
                  </w:pPr>
                </w:p>
              </w:tc>
              <w:tc>
                <w:tcPr>
                  <w:tcW w:w="897"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color w:val="auto"/>
                      <w:sz w:val="21"/>
                      <w:szCs w:val="21"/>
                      <w:u w:color="auto"/>
                      <w:lang w:val="en-US" w:eastAsia="zh-CN"/>
                    </w:rPr>
                  </w:pPr>
                  <w:r>
                    <w:rPr>
                      <w:rFonts w:hint="eastAsia" w:cs="Times New Roman"/>
                      <w:color w:val="auto"/>
                      <w:sz w:val="21"/>
                      <w:szCs w:val="21"/>
                      <w:u w:color="auto"/>
                      <w:lang w:val="en-US" w:eastAsia="zh-CN"/>
                    </w:rPr>
                    <w:t>初期雨水</w:t>
                  </w:r>
                </w:p>
              </w:tc>
              <w:tc>
                <w:tcPr>
                  <w:tcW w:w="1892"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color w:val="auto"/>
                      <w:sz w:val="21"/>
                      <w:szCs w:val="21"/>
                      <w:u w:color="auto"/>
                      <w:lang w:val="en-US" w:eastAsia="zh-CN"/>
                    </w:rPr>
                  </w:pPr>
                  <w:r>
                    <w:rPr>
                      <w:rFonts w:hint="eastAsia" w:cs="Times New Roman"/>
                      <w:color w:val="auto"/>
                      <w:sz w:val="21"/>
                      <w:szCs w:val="21"/>
                      <w:u w:color="auto"/>
                      <w:lang w:val="en-US" w:eastAsia="zh-CN"/>
                    </w:rPr>
                    <w:t>COD、SS、石油类</w:t>
                  </w:r>
                </w:p>
              </w:tc>
              <w:tc>
                <w:tcPr>
                  <w:tcW w:w="1600"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24" w:leftChars="10"/>
                    <w:jc w:val="center"/>
                    <w:textAlignment w:val="auto"/>
                    <w:rPr>
                      <w:rFonts w:hint="default" w:ascii="Times New Roman" w:hAnsi="Times New Roman" w:eastAsia="宋体" w:cs="Times New Roman"/>
                      <w:color w:val="auto"/>
                      <w:sz w:val="21"/>
                      <w:szCs w:val="21"/>
                      <w:u w:color="auto"/>
                      <w:lang w:val="en-US" w:eastAsia="zh-CN"/>
                    </w:rPr>
                  </w:pPr>
                  <w:r>
                    <w:rPr>
                      <w:rFonts w:hint="eastAsia" w:cs="Times New Roman"/>
                      <w:color w:val="auto"/>
                      <w:sz w:val="21"/>
                      <w:szCs w:val="21"/>
                      <w:u w:color="auto"/>
                      <w:lang w:val="en-US" w:eastAsia="zh-CN"/>
                    </w:rPr>
                    <w:t>初期雨水</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83" w:hRule="atLeast"/>
                <w:jc w:val="center"/>
              </w:trPr>
              <w:tc>
                <w:tcPr>
                  <w:tcW w:w="219" w:type="pct"/>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color w:val="auto"/>
                      <w:sz w:val="21"/>
                      <w:szCs w:val="21"/>
                      <w:u w:color="auto"/>
                    </w:rPr>
                  </w:pPr>
                </w:p>
              </w:tc>
              <w:tc>
                <w:tcPr>
                  <w:tcW w:w="389" w:type="pct"/>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color w:val="auto"/>
                      <w:sz w:val="21"/>
                      <w:szCs w:val="21"/>
                      <w:u w:color="auto"/>
                    </w:rPr>
                  </w:pPr>
                </w:p>
              </w:tc>
              <w:tc>
                <w:tcPr>
                  <w:tcW w:w="897"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eastAsia" w:ascii="Times New Roman" w:hAnsi="Times New Roman" w:eastAsia="宋体" w:cs="Times New Roman"/>
                      <w:color w:val="auto"/>
                      <w:sz w:val="21"/>
                      <w:szCs w:val="21"/>
                      <w:u w:color="auto"/>
                      <w:lang w:eastAsia="zh-CN"/>
                    </w:rPr>
                  </w:pPr>
                  <w:r>
                    <w:rPr>
                      <w:rFonts w:hint="eastAsia" w:cs="Times New Roman"/>
                      <w:color w:val="auto"/>
                      <w:sz w:val="21"/>
                      <w:szCs w:val="21"/>
                      <w:u w:color="auto"/>
                      <w:lang w:eastAsia="zh-CN"/>
                    </w:rPr>
                    <w:t>拖把清洗废水</w:t>
                  </w:r>
                </w:p>
              </w:tc>
              <w:tc>
                <w:tcPr>
                  <w:tcW w:w="1892"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color w:val="auto"/>
                      <w:sz w:val="21"/>
                      <w:szCs w:val="21"/>
                      <w:u w:color="auto"/>
                    </w:rPr>
                  </w:pPr>
                  <w:r>
                    <w:rPr>
                      <w:rFonts w:hint="default" w:ascii="Times New Roman" w:hAnsi="Times New Roman" w:eastAsia="宋体" w:cs="Times New Roman"/>
                      <w:color w:val="auto"/>
                      <w:sz w:val="21"/>
                      <w:szCs w:val="21"/>
                      <w:u w:color="auto"/>
                    </w:rPr>
                    <w:t>COD、SS、石油类</w:t>
                  </w:r>
                </w:p>
              </w:tc>
              <w:tc>
                <w:tcPr>
                  <w:tcW w:w="1600"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24" w:leftChars="10"/>
                    <w:jc w:val="center"/>
                    <w:textAlignment w:val="auto"/>
                    <w:rPr>
                      <w:rFonts w:hint="default" w:ascii="Times New Roman" w:hAnsi="Times New Roman" w:eastAsia="宋体" w:cs="Times New Roman"/>
                      <w:color w:val="auto"/>
                      <w:sz w:val="21"/>
                      <w:szCs w:val="21"/>
                      <w:u w:color="auto"/>
                    </w:rPr>
                  </w:pPr>
                  <w:r>
                    <w:rPr>
                      <w:rFonts w:hint="default" w:ascii="Times New Roman" w:hAnsi="Times New Roman" w:eastAsia="宋体" w:cs="Times New Roman"/>
                      <w:color w:val="auto"/>
                      <w:sz w:val="21"/>
                      <w:szCs w:val="21"/>
                      <w:u w:color="auto"/>
                    </w:rPr>
                    <w:t>清</w:t>
                  </w:r>
                  <w:r>
                    <w:rPr>
                      <w:rFonts w:hint="default" w:ascii="Times New Roman" w:hAnsi="Times New Roman" w:eastAsia="宋体" w:cs="Times New Roman"/>
                      <w:color w:val="auto"/>
                      <w:sz w:val="21"/>
                      <w:szCs w:val="21"/>
                      <w:u w:color="auto"/>
                      <w:lang w:eastAsia="zh-CN"/>
                    </w:rPr>
                    <w:t>洁</w:t>
                  </w:r>
                  <w:r>
                    <w:rPr>
                      <w:rFonts w:hint="eastAsia" w:cs="Times New Roman"/>
                      <w:color w:val="auto"/>
                      <w:sz w:val="21"/>
                      <w:szCs w:val="21"/>
                      <w:u w:color="auto"/>
                      <w:lang w:val="en-US" w:eastAsia="zh-CN"/>
                    </w:rPr>
                    <w:t>拆解</w:t>
                  </w:r>
                  <w:r>
                    <w:rPr>
                      <w:rFonts w:hint="default" w:ascii="Times New Roman" w:hAnsi="Times New Roman" w:eastAsia="宋体" w:cs="Times New Roman"/>
                      <w:color w:val="auto"/>
                      <w:sz w:val="21"/>
                      <w:szCs w:val="21"/>
                      <w:u w:color="auto"/>
                    </w:rPr>
                    <w:t>车间地面</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83" w:hRule="atLeast"/>
                <w:jc w:val="center"/>
              </w:trPr>
              <w:tc>
                <w:tcPr>
                  <w:tcW w:w="219" w:type="pct"/>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color w:val="auto"/>
                      <w:sz w:val="21"/>
                      <w:szCs w:val="21"/>
                      <w:u w:color="auto"/>
                    </w:rPr>
                  </w:pPr>
                </w:p>
              </w:tc>
              <w:tc>
                <w:tcPr>
                  <w:tcW w:w="389" w:type="pct"/>
                  <w:vMerge w:val="restar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color w:val="auto"/>
                      <w:sz w:val="21"/>
                      <w:szCs w:val="21"/>
                      <w:u w:color="auto"/>
                    </w:rPr>
                  </w:pPr>
                  <w:r>
                    <w:rPr>
                      <w:rFonts w:hint="default" w:ascii="Times New Roman" w:hAnsi="Times New Roman" w:eastAsia="宋体" w:cs="Times New Roman"/>
                      <w:color w:val="auto"/>
                      <w:sz w:val="21"/>
                      <w:szCs w:val="21"/>
                      <w:u w:color="auto"/>
                    </w:rPr>
                    <w:t>固废</w:t>
                  </w:r>
                </w:p>
              </w:tc>
              <w:tc>
                <w:tcPr>
                  <w:tcW w:w="897" w:type="pct"/>
                  <w:vMerge w:val="restar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color w:val="auto"/>
                      <w:sz w:val="21"/>
                      <w:szCs w:val="21"/>
                      <w:u w:color="auto"/>
                    </w:rPr>
                  </w:pPr>
                  <w:r>
                    <w:rPr>
                      <w:rFonts w:hint="default" w:ascii="Times New Roman" w:hAnsi="Times New Roman" w:eastAsia="宋体" w:cs="Times New Roman"/>
                      <w:color w:val="auto"/>
                      <w:sz w:val="21"/>
                      <w:szCs w:val="21"/>
                      <w:u w:color="auto"/>
                    </w:rPr>
                    <w:t>一般固废</w:t>
                  </w:r>
                </w:p>
              </w:tc>
              <w:tc>
                <w:tcPr>
                  <w:tcW w:w="1892"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color w:val="auto"/>
                      <w:sz w:val="21"/>
                      <w:szCs w:val="21"/>
                      <w:u w:color="auto"/>
                    </w:rPr>
                  </w:pPr>
                  <w:r>
                    <w:rPr>
                      <w:rFonts w:hint="default" w:ascii="Times New Roman" w:hAnsi="Times New Roman" w:eastAsia="宋体" w:cs="Times New Roman"/>
                      <w:color w:val="auto"/>
                      <w:sz w:val="21"/>
                      <w:szCs w:val="21"/>
                      <w:u w:color="auto"/>
                    </w:rPr>
                    <w:t>钢铁、有色金属、废电线电缆、废塑料、废玻璃、废橡胶</w:t>
                  </w:r>
                </w:p>
              </w:tc>
              <w:tc>
                <w:tcPr>
                  <w:tcW w:w="1600" w:type="pct"/>
                  <w:vMerge w:val="restar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24" w:leftChars="10"/>
                    <w:jc w:val="center"/>
                    <w:textAlignment w:val="auto"/>
                    <w:rPr>
                      <w:rFonts w:hint="default" w:ascii="Times New Roman" w:hAnsi="Times New Roman" w:eastAsia="宋体" w:cs="Times New Roman"/>
                      <w:color w:val="auto"/>
                      <w:sz w:val="21"/>
                      <w:szCs w:val="21"/>
                      <w:u w:color="auto"/>
                    </w:rPr>
                  </w:pPr>
                  <w:r>
                    <w:rPr>
                      <w:rFonts w:hint="default" w:ascii="Times New Roman" w:hAnsi="Times New Roman" w:eastAsia="宋体" w:cs="Times New Roman"/>
                      <w:color w:val="auto"/>
                      <w:sz w:val="21"/>
                      <w:szCs w:val="21"/>
                      <w:u w:color="auto"/>
                    </w:rPr>
                    <w:t>预处理、拆解工序</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83" w:hRule="atLeast"/>
                <w:jc w:val="center"/>
              </w:trPr>
              <w:tc>
                <w:tcPr>
                  <w:tcW w:w="219" w:type="pct"/>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color w:val="auto"/>
                      <w:sz w:val="21"/>
                      <w:szCs w:val="21"/>
                      <w:u w:color="auto"/>
                    </w:rPr>
                  </w:pPr>
                </w:p>
              </w:tc>
              <w:tc>
                <w:tcPr>
                  <w:tcW w:w="389" w:type="pct"/>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color w:val="auto"/>
                      <w:sz w:val="21"/>
                      <w:szCs w:val="21"/>
                      <w:u w:color="auto"/>
                    </w:rPr>
                  </w:pPr>
                </w:p>
              </w:tc>
              <w:tc>
                <w:tcPr>
                  <w:tcW w:w="897" w:type="pct"/>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color w:val="auto"/>
                      <w:sz w:val="21"/>
                      <w:szCs w:val="21"/>
                      <w:u w:color="auto"/>
                    </w:rPr>
                  </w:pPr>
                </w:p>
              </w:tc>
              <w:tc>
                <w:tcPr>
                  <w:tcW w:w="1892"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color w:val="auto"/>
                      <w:sz w:val="21"/>
                      <w:szCs w:val="21"/>
                      <w:u w:color="auto"/>
                    </w:rPr>
                  </w:pPr>
                  <w:r>
                    <w:rPr>
                      <w:rFonts w:hint="default" w:ascii="Times New Roman" w:hAnsi="Times New Roman" w:eastAsia="宋体" w:cs="Times New Roman"/>
                      <w:color w:val="auto"/>
                      <w:sz w:val="21"/>
                      <w:szCs w:val="21"/>
                      <w:u w:color="auto"/>
                    </w:rPr>
                    <w:t>不可利用材料、废安全气囊、废动力组电池</w:t>
                  </w:r>
                </w:p>
              </w:tc>
              <w:tc>
                <w:tcPr>
                  <w:tcW w:w="1600" w:type="pct"/>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24" w:leftChars="10"/>
                    <w:jc w:val="center"/>
                    <w:textAlignment w:val="auto"/>
                    <w:rPr>
                      <w:rFonts w:hint="default" w:ascii="Times New Roman" w:hAnsi="Times New Roman" w:eastAsia="宋体" w:cs="Times New Roman"/>
                      <w:color w:val="auto"/>
                      <w:sz w:val="21"/>
                      <w:szCs w:val="21"/>
                      <w:u w:color="auto"/>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83" w:hRule="atLeast"/>
                <w:jc w:val="center"/>
              </w:trPr>
              <w:tc>
                <w:tcPr>
                  <w:tcW w:w="219" w:type="pct"/>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color w:val="auto"/>
                      <w:sz w:val="21"/>
                      <w:szCs w:val="21"/>
                      <w:u w:color="auto"/>
                    </w:rPr>
                  </w:pPr>
                </w:p>
              </w:tc>
              <w:tc>
                <w:tcPr>
                  <w:tcW w:w="389" w:type="pct"/>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color w:val="auto"/>
                      <w:sz w:val="21"/>
                      <w:szCs w:val="21"/>
                      <w:u w:color="auto"/>
                    </w:rPr>
                  </w:pPr>
                </w:p>
              </w:tc>
              <w:tc>
                <w:tcPr>
                  <w:tcW w:w="897"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color w:val="auto"/>
                      <w:sz w:val="21"/>
                      <w:szCs w:val="21"/>
                      <w:u w:color="auto"/>
                    </w:rPr>
                  </w:pPr>
                  <w:r>
                    <w:rPr>
                      <w:rFonts w:hint="default" w:ascii="Times New Roman" w:hAnsi="Times New Roman" w:eastAsia="宋体" w:cs="Times New Roman"/>
                      <w:color w:val="auto"/>
                      <w:sz w:val="21"/>
                      <w:szCs w:val="21"/>
                      <w:u w:color="auto"/>
                    </w:rPr>
                    <w:t>危险废物</w:t>
                  </w:r>
                </w:p>
              </w:tc>
              <w:tc>
                <w:tcPr>
                  <w:tcW w:w="1892"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firstLine="420" w:firstLineChars="200"/>
                    <w:jc w:val="center"/>
                    <w:textAlignment w:val="auto"/>
                    <w:rPr>
                      <w:rFonts w:hint="default" w:ascii="Times New Roman" w:hAnsi="Times New Roman" w:eastAsia="宋体" w:cs="Times New Roman"/>
                      <w:color w:val="auto"/>
                      <w:sz w:val="21"/>
                      <w:szCs w:val="21"/>
                      <w:u w:color="auto"/>
                    </w:rPr>
                  </w:pPr>
                  <w:r>
                    <w:rPr>
                      <w:rFonts w:hint="default" w:ascii="Times New Roman" w:hAnsi="Times New Roman" w:eastAsia="宋体" w:cs="Times New Roman"/>
                      <w:color w:val="auto"/>
                      <w:sz w:val="21"/>
                      <w:szCs w:val="21"/>
                      <w:u w:color="auto"/>
                    </w:rPr>
                    <w:t>废蓄电池、废尾气净化装置（含催化剂）、废线路板、废空调制冷剂、燃油类废油液、非燃油类废油液、废含油抹布手套、含铅部件、含汞开关、</w:t>
                  </w:r>
                  <w:r>
                    <w:rPr>
                      <w:rFonts w:hint="eastAsia" w:cs="Times New Roman"/>
                      <w:color w:val="auto"/>
                      <w:sz w:val="21"/>
                      <w:szCs w:val="21"/>
                      <w:u w:color="auto"/>
                      <w:lang w:eastAsia="zh-CN"/>
                    </w:rPr>
                    <w:t>油水分离器废油</w:t>
                  </w:r>
                  <w:r>
                    <w:rPr>
                      <w:rFonts w:hint="default" w:ascii="Times New Roman" w:hAnsi="Times New Roman" w:eastAsia="宋体" w:cs="Times New Roman"/>
                      <w:color w:val="auto"/>
                      <w:sz w:val="21"/>
                      <w:szCs w:val="21"/>
                      <w:u w:color="auto"/>
                    </w:rPr>
                    <w:t>、</w:t>
                  </w:r>
                  <w:r>
                    <w:rPr>
                      <w:rFonts w:hint="eastAsia" w:cs="Times New Roman"/>
                      <w:color w:val="auto"/>
                      <w:sz w:val="21"/>
                      <w:szCs w:val="21"/>
                      <w:u w:color="auto"/>
                      <w:lang w:val="en-US" w:eastAsia="zh-CN"/>
                    </w:rPr>
                    <w:t>污泥、</w:t>
                  </w:r>
                  <w:r>
                    <w:rPr>
                      <w:rFonts w:hint="default" w:ascii="Times New Roman" w:hAnsi="Times New Roman" w:eastAsia="宋体" w:cs="Times New Roman"/>
                      <w:color w:val="auto"/>
                      <w:sz w:val="21"/>
                      <w:szCs w:val="21"/>
                      <w:u w:color="auto"/>
                    </w:rPr>
                    <w:t>废液化气罐、废冷却液</w:t>
                  </w:r>
                </w:p>
              </w:tc>
              <w:tc>
                <w:tcPr>
                  <w:tcW w:w="1600"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24" w:leftChars="10"/>
                    <w:jc w:val="center"/>
                    <w:textAlignment w:val="auto"/>
                    <w:rPr>
                      <w:rFonts w:hint="default" w:ascii="Times New Roman" w:hAnsi="Times New Roman" w:eastAsia="宋体" w:cs="Times New Roman"/>
                      <w:color w:val="auto"/>
                      <w:sz w:val="21"/>
                      <w:szCs w:val="21"/>
                      <w:u w:color="auto"/>
                    </w:rPr>
                  </w:pPr>
                  <w:r>
                    <w:rPr>
                      <w:rFonts w:hint="default" w:ascii="Times New Roman" w:hAnsi="Times New Roman" w:eastAsia="宋体" w:cs="Times New Roman"/>
                      <w:color w:val="auto"/>
                      <w:sz w:val="21"/>
                      <w:szCs w:val="21"/>
                      <w:u w:color="auto"/>
                    </w:rPr>
                    <w:t>预处理、拆解工序</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83" w:hRule="atLeast"/>
                <w:jc w:val="center"/>
              </w:trPr>
              <w:tc>
                <w:tcPr>
                  <w:tcW w:w="219" w:type="pct"/>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color w:val="auto"/>
                      <w:sz w:val="21"/>
                      <w:szCs w:val="21"/>
                      <w:u w:color="auto"/>
                    </w:rPr>
                  </w:pPr>
                </w:p>
              </w:tc>
              <w:tc>
                <w:tcPr>
                  <w:tcW w:w="389" w:type="pct"/>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color w:val="auto"/>
                      <w:sz w:val="21"/>
                      <w:szCs w:val="21"/>
                      <w:u w:color="auto"/>
                    </w:rPr>
                  </w:pPr>
                </w:p>
              </w:tc>
              <w:tc>
                <w:tcPr>
                  <w:tcW w:w="897"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color w:val="auto"/>
                      <w:sz w:val="21"/>
                      <w:szCs w:val="21"/>
                      <w:u w:color="auto"/>
                    </w:rPr>
                  </w:pPr>
                  <w:r>
                    <w:rPr>
                      <w:rFonts w:hint="default" w:ascii="Times New Roman" w:hAnsi="Times New Roman" w:eastAsia="宋体" w:cs="Times New Roman"/>
                      <w:color w:val="auto"/>
                      <w:sz w:val="21"/>
                      <w:szCs w:val="21"/>
                      <w:u w:color="auto"/>
                    </w:rPr>
                    <w:t>生活垃圾</w:t>
                  </w:r>
                </w:p>
              </w:tc>
              <w:tc>
                <w:tcPr>
                  <w:tcW w:w="1892"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color w:val="auto"/>
                      <w:sz w:val="21"/>
                      <w:szCs w:val="21"/>
                      <w:u w:color="auto"/>
                    </w:rPr>
                  </w:pPr>
                  <w:r>
                    <w:rPr>
                      <w:rFonts w:hint="default" w:ascii="Times New Roman" w:hAnsi="Times New Roman" w:eastAsia="宋体" w:cs="Times New Roman"/>
                      <w:color w:val="auto"/>
                      <w:sz w:val="21"/>
                      <w:szCs w:val="21"/>
                      <w:u w:color="auto"/>
                    </w:rPr>
                    <w:t>生活垃圾</w:t>
                  </w:r>
                </w:p>
              </w:tc>
              <w:tc>
                <w:tcPr>
                  <w:tcW w:w="1600"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24" w:leftChars="10"/>
                    <w:jc w:val="center"/>
                    <w:textAlignment w:val="auto"/>
                    <w:rPr>
                      <w:rFonts w:hint="default" w:ascii="Times New Roman" w:hAnsi="Times New Roman" w:eastAsia="宋体" w:cs="Times New Roman"/>
                      <w:color w:val="auto"/>
                      <w:sz w:val="21"/>
                      <w:szCs w:val="21"/>
                      <w:u w:color="auto"/>
                    </w:rPr>
                  </w:pPr>
                  <w:r>
                    <w:rPr>
                      <w:rFonts w:hint="default" w:ascii="Times New Roman" w:hAnsi="Times New Roman" w:eastAsia="宋体" w:cs="Times New Roman"/>
                      <w:color w:val="auto"/>
                      <w:sz w:val="21"/>
                      <w:szCs w:val="21"/>
                      <w:u w:color="auto"/>
                    </w:rPr>
                    <w:t>员工生活</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83" w:hRule="atLeast"/>
                <w:jc w:val="center"/>
              </w:trPr>
              <w:tc>
                <w:tcPr>
                  <w:tcW w:w="219" w:type="pct"/>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color w:val="auto"/>
                      <w:sz w:val="21"/>
                      <w:szCs w:val="21"/>
                      <w:u w:color="auto"/>
                    </w:rPr>
                  </w:pPr>
                </w:p>
              </w:tc>
              <w:tc>
                <w:tcPr>
                  <w:tcW w:w="389"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color w:val="auto"/>
                      <w:sz w:val="21"/>
                      <w:szCs w:val="21"/>
                      <w:u w:color="auto"/>
                    </w:rPr>
                  </w:pPr>
                  <w:r>
                    <w:rPr>
                      <w:rFonts w:hint="default" w:ascii="Times New Roman" w:hAnsi="Times New Roman" w:eastAsia="宋体" w:cs="Times New Roman"/>
                      <w:color w:val="auto"/>
                      <w:sz w:val="21"/>
                      <w:szCs w:val="21"/>
                      <w:u w:color="auto"/>
                    </w:rPr>
                    <w:t>噪声</w:t>
                  </w:r>
                </w:p>
              </w:tc>
              <w:tc>
                <w:tcPr>
                  <w:tcW w:w="897"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color w:val="auto"/>
                      <w:sz w:val="21"/>
                      <w:szCs w:val="21"/>
                      <w:u w:color="auto"/>
                    </w:rPr>
                  </w:pPr>
                  <w:r>
                    <w:rPr>
                      <w:rFonts w:hint="default" w:ascii="Times New Roman" w:hAnsi="Times New Roman" w:eastAsia="宋体" w:cs="Times New Roman"/>
                      <w:color w:val="auto"/>
                      <w:sz w:val="21"/>
                      <w:szCs w:val="21"/>
                      <w:u w:color="auto"/>
                    </w:rPr>
                    <w:t>生产噪声</w:t>
                  </w:r>
                </w:p>
              </w:tc>
              <w:tc>
                <w:tcPr>
                  <w:tcW w:w="1892"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color w:val="auto"/>
                      <w:sz w:val="21"/>
                      <w:szCs w:val="21"/>
                      <w:u w:color="auto"/>
                    </w:rPr>
                  </w:pPr>
                  <w:r>
                    <w:rPr>
                      <w:rFonts w:hint="default" w:ascii="Times New Roman" w:hAnsi="Times New Roman" w:eastAsia="宋体" w:cs="Times New Roman"/>
                      <w:color w:val="auto"/>
                      <w:sz w:val="21"/>
                      <w:szCs w:val="21"/>
                      <w:u w:color="auto"/>
                    </w:rPr>
                    <w:t>等效连续 A 声级</w:t>
                  </w:r>
                </w:p>
              </w:tc>
              <w:tc>
                <w:tcPr>
                  <w:tcW w:w="1600"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24" w:leftChars="10"/>
                    <w:jc w:val="center"/>
                    <w:textAlignment w:val="auto"/>
                    <w:rPr>
                      <w:rFonts w:hint="default" w:ascii="Times New Roman" w:hAnsi="Times New Roman" w:eastAsia="宋体" w:cs="Times New Roman"/>
                      <w:color w:val="auto"/>
                      <w:sz w:val="21"/>
                      <w:szCs w:val="21"/>
                      <w:u w:color="auto"/>
                    </w:rPr>
                  </w:pPr>
                  <w:r>
                    <w:rPr>
                      <w:rFonts w:hint="default" w:ascii="Times New Roman" w:hAnsi="Times New Roman" w:eastAsia="宋体" w:cs="Times New Roman"/>
                      <w:color w:val="auto"/>
                      <w:sz w:val="21"/>
                      <w:szCs w:val="21"/>
                      <w:u w:color="auto"/>
                    </w:rPr>
                    <w:t>设备运行过程</w:t>
                  </w:r>
                </w:p>
              </w:tc>
            </w:tr>
          </w:tbl>
          <w:p>
            <w:pPr>
              <w:bidi w:val="0"/>
              <w:ind w:firstLine="482" w:firstLineChars="200"/>
              <w:jc w:val="both"/>
              <w:rPr>
                <w:rFonts w:hint="default" w:ascii="Times New Roman" w:hAnsi="Times New Roman" w:eastAsia="宋体" w:cs="Times New Roman"/>
                <w:b/>
                <w:bCs/>
                <w:color w:val="auto"/>
                <w:sz w:val="24"/>
                <w:szCs w:val="24"/>
                <w:u w:color="auto"/>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4" w:hRule="atLeast"/>
        </w:trPr>
        <w:tc>
          <w:tcPr>
            <w:tcW w:w="810" w:type="dxa"/>
            <w:vAlign w:val="center"/>
          </w:tcPr>
          <w:p>
            <w:pPr>
              <w:pStyle w:val="15"/>
              <w:keepNext w:val="0"/>
              <w:keepLines w:val="0"/>
              <w:pageBreakBefore w:val="0"/>
              <w:widowControl/>
              <w:kinsoku/>
              <w:wordWrap/>
              <w:overflowPunct/>
              <w:topLinePunct w:val="0"/>
              <w:autoSpaceDE/>
              <w:autoSpaceDN/>
              <w:bidi w:val="0"/>
              <w:adjustRightInd/>
              <w:snapToGrid/>
              <w:spacing w:before="0" w:beforeAutospacing="0" w:after="0" w:afterAutospacing="0" w:line="240" w:lineRule="auto"/>
              <w:jc w:val="center"/>
              <w:textAlignment w:val="auto"/>
              <w:outlineLvl w:val="0"/>
              <w:rPr>
                <w:rFonts w:hint="eastAsia" w:cs="宋体"/>
                <w:sz w:val="21"/>
                <w:szCs w:val="21"/>
              </w:rPr>
            </w:pPr>
            <w:r>
              <w:rPr>
                <w:rFonts w:hint="eastAsia" w:cs="宋体"/>
                <w:bCs/>
                <w:kern w:val="2"/>
                <w:sz w:val="21"/>
                <w:szCs w:val="21"/>
              </w:rPr>
              <w:t>与项目有关的原有环境污染问题</w:t>
            </w:r>
          </w:p>
        </w:tc>
        <w:tc>
          <w:tcPr>
            <w:tcW w:w="7913" w:type="dxa"/>
          </w:tcPr>
          <w:p>
            <w:pPr>
              <w:keepNext w:val="0"/>
              <w:keepLines w:val="0"/>
              <w:widowControl/>
              <w:suppressLineNumbers w:val="0"/>
              <w:ind w:firstLine="480" w:firstLineChars="200"/>
              <w:jc w:val="left"/>
              <w:rPr>
                <w:rFonts w:hint="default" w:ascii="Times New Roman" w:hAnsi="Times New Roman" w:eastAsia="宋体" w:cs="Times New Roman"/>
                <w:b/>
                <w:bCs/>
                <w:color w:val="auto"/>
                <w:sz w:val="24"/>
                <w:szCs w:val="24"/>
                <w:u w:color="auto"/>
                <w:lang w:val="en-US" w:eastAsia="zh-CN"/>
              </w:rPr>
            </w:pPr>
            <w:r>
              <w:rPr>
                <w:rFonts w:hint="default" w:ascii="Times New Roman" w:hAnsi="Times New Roman" w:eastAsia="宋体" w:cs="Times New Roman"/>
                <w:lang w:val="en-US" w:eastAsia="zh-CN"/>
              </w:rPr>
              <w:t>本项目为新建项目，尚未运营，目前厂</w:t>
            </w:r>
            <w:r>
              <w:rPr>
                <w:rFonts w:hint="eastAsia" w:ascii="Times New Roman" w:hAnsi="Times New Roman" w:eastAsia="宋体" w:cs="Times New Roman"/>
                <w:lang w:val="en-US" w:eastAsia="zh-CN"/>
              </w:rPr>
              <w:t>区</w:t>
            </w:r>
            <w:r>
              <w:rPr>
                <w:rFonts w:hint="default" w:ascii="Times New Roman" w:hAnsi="Times New Roman" w:eastAsia="宋体" w:cs="Times New Roman"/>
                <w:lang w:val="en-US" w:eastAsia="zh-CN"/>
              </w:rPr>
              <w:t>为</w:t>
            </w:r>
            <w:r>
              <w:rPr>
                <w:rFonts w:hint="eastAsia" w:ascii="Times New Roman" w:hAnsi="Times New Roman" w:eastAsia="宋体" w:cs="Times New Roman"/>
                <w:lang w:val="en-US" w:eastAsia="zh-CN"/>
              </w:rPr>
              <w:t>空地</w:t>
            </w:r>
            <w:r>
              <w:rPr>
                <w:rFonts w:hint="default" w:ascii="Times New Roman" w:hAnsi="Times New Roman" w:eastAsia="宋体" w:cs="Times New Roman"/>
                <w:lang w:val="en-US" w:eastAsia="zh-CN"/>
              </w:rPr>
              <w:t>，不存在原有污染情况及主要环境问题。根据现场踏勘和调查尚未发现与本工程有关的环境问题和生态破坏问题。</w:t>
            </w:r>
          </w:p>
        </w:tc>
      </w:tr>
    </w:tbl>
    <w:p>
      <w:pPr>
        <w:pStyle w:val="22"/>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15"/>
        <w:keepNext w:val="0"/>
        <w:keepLines w:val="0"/>
        <w:pageBreakBefore w:val="0"/>
        <w:widowControl/>
        <w:kinsoku/>
        <w:wordWrap/>
        <w:overflowPunct/>
        <w:topLinePunct w:val="0"/>
        <w:autoSpaceDE/>
        <w:autoSpaceDN/>
        <w:bidi w:val="0"/>
        <w:adjustRightInd/>
        <w:snapToGrid/>
        <w:spacing w:before="0" w:beforeAutospacing="0" w:after="0" w:afterAutospacing="0" w:line="240" w:lineRule="auto"/>
        <w:jc w:val="center"/>
        <w:textAlignment w:val="auto"/>
        <w:outlineLvl w:val="0"/>
        <w:rPr>
          <w:rFonts w:hint="eastAsia" w:ascii="Times New Roman" w:hAnsi="Times New Roman" w:eastAsia="宋体" w:cs="Times New Roman"/>
          <w:b/>
          <w:bCs/>
          <w:snapToGrid w:val="0"/>
          <w:color w:val="auto"/>
          <w:sz w:val="28"/>
          <w:szCs w:val="28"/>
          <w:u w:val="none" w:color="auto"/>
        </w:rPr>
      </w:pPr>
      <w:bookmarkStart w:id="2" w:name="_Toc4474"/>
      <w:r>
        <w:rPr>
          <w:rFonts w:hint="eastAsia" w:ascii="Times New Roman" w:hAnsi="Times New Roman" w:eastAsia="宋体" w:cs="Times New Roman"/>
          <w:b/>
          <w:bCs/>
          <w:snapToGrid w:val="0"/>
          <w:color w:val="auto"/>
          <w:sz w:val="28"/>
          <w:szCs w:val="28"/>
          <w:u w:val="none" w:color="auto"/>
        </w:rPr>
        <w:t>三、区域环境质量现状、环境保护目标及评价标准</w:t>
      </w:r>
      <w:bookmarkEnd w:id="2"/>
    </w:p>
    <w:tbl>
      <w:tblPr>
        <w:tblStyle w:val="18"/>
        <w:tblW w:w="8884"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456"/>
        <w:gridCol w:w="9033"/>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385" w:hRule="atLeast"/>
          <w:jc w:val="center"/>
        </w:trPr>
        <w:tc>
          <w:tcPr>
            <w:tcW w:w="475" w:type="dxa"/>
            <w:noWrap w:val="0"/>
            <w:vAlign w:val="center"/>
          </w:tcPr>
          <w:p>
            <w:pPr>
              <w:adjustRightInd w:val="0"/>
              <w:snapToGrid w:val="0"/>
              <w:jc w:val="center"/>
              <w:rPr>
                <w:rFonts w:hint="eastAsia" w:ascii="宋体" w:hAnsi="宋体" w:cs="宋体"/>
                <w:kern w:val="0"/>
                <w:szCs w:val="21"/>
              </w:rPr>
            </w:pPr>
            <w:r>
              <w:rPr>
                <w:rFonts w:hint="eastAsia" w:ascii="宋体" w:hAnsi="宋体" w:cs="宋体"/>
                <w:kern w:val="0"/>
                <w:szCs w:val="21"/>
              </w:rPr>
              <w:t>区域</w:t>
            </w:r>
          </w:p>
          <w:p>
            <w:pPr>
              <w:adjustRightInd w:val="0"/>
              <w:snapToGrid w:val="0"/>
              <w:jc w:val="center"/>
              <w:rPr>
                <w:rFonts w:hint="eastAsia" w:ascii="宋体" w:hAnsi="宋体" w:cs="宋体"/>
                <w:kern w:val="0"/>
                <w:szCs w:val="21"/>
              </w:rPr>
            </w:pPr>
            <w:r>
              <w:rPr>
                <w:rFonts w:hint="eastAsia" w:ascii="宋体" w:hAnsi="宋体" w:cs="宋体"/>
                <w:kern w:val="0"/>
                <w:szCs w:val="21"/>
              </w:rPr>
              <w:t>环境</w:t>
            </w:r>
          </w:p>
          <w:p>
            <w:pPr>
              <w:adjustRightInd w:val="0"/>
              <w:snapToGrid w:val="0"/>
              <w:jc w:val="center"/>
              <w:rPr>
                <w:rFonts w:hint="eastAsia" w:ascii="宋体" w:hAnsi="宋体" w:cs="宋体"/>
                <w:kern w:val="0"/>
                <w:szCs w:val="21"/>
              </w:rPr>
            </w:pPr>
            <w:r>
              <w:rPr>
                <w:rFonts w:hint="eastAsia" w:ascii="宋体" w:hAnsi="宋体" w:cs="宋体"/>
                <w:kern w:val="0"/>
                <w:szCs w:val="21"/>
              </w:rPr>
              <w:t>质量</w:t>
            </w:r>
          </w:p>
          <w:p>
            <w:pPr>
              <w:adjustRightInd w:val="0"/>
              <w:snapToGrid w:val="0"/>
              <w:jc w:val="center"/>
              <w:rPr>
                <w:rFonts w:ascii="宋体" w:hAnsi="宋体" w:cs="宋体"/>
                <w:kern w:val="0"/>
                <w:szCs w:val="21"/>
              </w:rPr>
            </w:pPr>
            <w:r>
              <w:rPr>
                <w:rFonts w:hint="eastAsia" w:ascii="宋体" w:hAnsi="宋体" w:cs="宋体"/>
                <w:kern w:val="0"/>
                <w:szCs w:val="21"/>
              </w:rPr>
              <w:t>现状</w:t>
            </w:r>
          </w:p>
        </w:tc>
        <w:tc>
          <w:tcPr>
            <w:tcW w:w="8409" w:type="dxa"/>
            <w:noWrap w:val="0"/>
            <w:vAlign w:val="top"/>
          </w:tcPr>
          <w:p>
            <w:pPr>
              <w:pStyle w:val="25"/>
              <w:bidi w:val="0"/>
              <w:rPr>
                <w:rFonts w:hint="eastAsia"/>
                <w:lang w:val="en-US" w:eastAsia="zh-CN"/>
              </w:rPr>
            </w:pPr>
            <w:r>
              <w:rPr>
                <w:rFonts w:hint="eastAsia"/>
                <w:b/>
                <w:bCs/>
                <w:lang w:val="en-US" w:eastAsia="zh-CN"/>
              </w:rPr>
              <w:t>1、大气环境质量现状</w:t>
            </w:r>
          </w:p>
          <w:p>
            <w:pPr>
              <w:pStyle w:val="25"/>
              <w:bidi w:val="0"/>
              <w:rPr>
                <w:rFonts w:hint="default"/>
                <w:lang w:val="en-US" w:eastAsia="zh-CN"/>
              </w:rPr>
            </w:pPr>
            <w:r>
              <w:rPr>
                <w:rFonts w:hint="eastAsia"/>
                <w:b/>
                <w:bCs/>
                <w:lang w:val="en-US" w:eastAsia="zh-CN"/>
              </w:rPr>
              <w:t>（一）环境空气质量现状</w:t>
            </w:r>
          </w:p>
          <w:p>
            <w:pPr>
              <w:pStyle w:val="25"/>
              <w:bidi w:val="0"/>
              <w:ind w:left="0" w:leftChars="0" w:firstLine="480" w:firstLineChars="200"/>
            </w:pPr>
            <w:r>
              <w:t>根据衡阳市生态环境局发布的《关于2022年12月及1~12月全市环境质量状况的通报》，</w:t>
            </w:r>
            <w:r>
              <w:rPr>
                <w:rFonts w:hint="eastAsia"/>
                <w:lang w:val="en-US" w:eastAsia="zh-CN"/>
              </w:rPr>
              <w:t>祁东县</w:t>
            </w:r>
            <w:r>
              <w:t>二氧化硫和二氧化氮年平均质量浓度、可吸入颗粒物（PM10）、细颗粒物（PM2.5）年平均质量浓度、一氧化碳年评价浓度（第95百分位数）、臭氧年评价浓度（第90百分位数）均达到《环境空气质量标准》（GB3095-2012）二级标准，具体如下表所示，项目所在区域为达标区。</w:t>
            </w:r>
          </w:p>
          <w:p>
            <w:pPr>
              <w:pStyle w:val="27"/>
              <w:bidi w:val="0"/>
              <w:spacing w:line="240" w:lineRule="auto"/>
              <w:jc w:val="center"/>
              <w:rPr>
                <w:rFonts w:hint="default" w:ascii="Times New Roman" w:hAnsi="Times New Roman" w:eastAsia="宋体" w:cs="Times New Roman"/>
                <w:lang w:val="en-US" w:eastAsia="zh-CN"/>
              </w:rPr>
            </w:pPr>
            <w:r>
              <w:rPr>
                <w:rFonts w:hint="default" w:ascii="Times New Roman" w:hAnsi="Times New Roman" w:eastAsia="宋体" w:cs="Times New Roman"/>
                <w:lang w:val="en-US" w:eastAsia="zh-CN"/>
              </w:rPr>
              <w:drawing>
                <wp:anchor distT="0" distB="0" distL="114300" distR="114300" simplePos="0" relativeHeight="251662336" behindDoc="1" locked="0" layoutInCell="1" allowOverlap="1">
                  <wp:simplePos x="0" y="0"/>
                  <wp:positionH relativeFrom="column">
                    <wp:posOffset>19050</wp:posOffset>
                  </wp:positionH>
                  <wp:positionV relativeFrom="paragraph">
                    <wp:posOffset>180975</wp:posOffset>
                  </wp:positionV>
                  <wp:extent cx="5273040" cy="3016250"/>
                  <wp:effectExtent l="0" t="0" r="3810" b="12700"/>
                  <wp:wrapNone/>
                  <wp:docPr id="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
                          <pic:cNvPicPr>
                            <a:picLocks noChangeAspect="1"/>
                          </pic:cNvPicPr>
                        </pic:nvPicPr>
                        <pic:blipFill>
                          <a:blip r:embed="rId14"/>
                          <a:stretch>
                            <a:fillRect/>
                          </a:stretch>
                        </pic:blipFill>
                        <pic:spPr>
                          <a:xfrm>
                            <a:off x="0" y="0"/>
                            <a:ext cx="5273040" cy="3016250"/>
                          </a:xfrm>
                          <a:prstGeom prst="rect">
                            <a:avLst/>
                          </a:prstGeom>
                          <a:noFill/>
                          <a:ln>
                            <a:noFill/>
                          </a:ln>
                        </pic:spPr>
                      </pic:pic>
                    </a:graphicData>
                  </a:graphic>
                </wp:anchor>
              </w:drawing>
            </w:r>
            <w:r>
              <w:rPr>
                <w:rFonts w:hint="default" w:ascii="Times New Roman" w:hAnsi="Times New Roman" w:eastAsia="宋体" w:cs="Times New Roman"/>
                <w:lang w:val="en-US" w:eastAsia="zh-CN"/>
              </w:rPr>
              <w:t>表3-1  2022年12月及1-12月衡阳市城区环境空气污染物浓度情况</w:t>
            </w:r>
          </w:p>
          <w:p>
            <w:pPr>
              <w:pStyle w:val="25"/>
              <w:bidi w:val="0"/>
              <w:ind w:left="0" w:leftChars="0" w:firstLine="480" w:firstLineChars="200"/>
            </w:pPr>
            <w:r>
              <w:rPr>
                <w:color w:val="000000"/>
                <w:highlight w:val="none"/>
              </w:rPr>
              <mc:AlternateContent>
                <mc:Choice Requires="wps">
                  <w:drawing>
                    <wp:anchor distT="0" distB="0" distL="114300" distR="114300" simplePos="0" relativeHeight="251661312" behindDoc="0" locked="0" layoutInCell="1" allowOverlap="1">
                      <wp:simplePos x="0" y="0"/>
                      <wp:positionH relativeFrom="column">
                        <wp:posOffset>21590</wp:posOffset>
                      </wp:positionH>
                      <wp:positionV relativeFrom="paragraph">
                        <wp:posOffset>1419860</wp:posOffset>
                      </wp:positionV>
                      <wp:extent cx="5359400" cy="152400"/>
                      <wp:effectExtent l="9525" t="9525" r="22225" b="9525"/>
                      <wp:wrapNone/>
                      <wp:docPr id="6" name="矩形 6"/>
                      <wp:cNvGraphicFramePr/>
                      <a:graphic xmlns:a="http://schemas.openxmlformats.org/drawingml/2006/main">
                        <a:graphicData uri="http://schemas.microsoft.com/office/word/2010/wordprocessingShape">
                          <wps:wsp>
                            <wps:cNvSpPr/>
                            <wps:spPr>
                              <a:xfrm>
                                <a:off x="0" y="0"/>
                                <a:ext cx="5359400" cy="152400"/>
                              </a:xfrm>
                              <a:prstGeom prst="rect">
                                <a:avLst/>
                              </a:prstGeom>
                              <a:noFill/>
                              <a:ln w="19050" cap="flat" cmpd="sng">
                                <a:solidFill>
                                  <a:srgbClr val="FF0000"/>
                                </a:solidFill>
                                <a:prstDash val="solid"/>
                                <a:miter/>
                                <a:headEnd type="none" w="med" len="med"/>
                                <a:tailEnd type="none" w="med" len="med"/>
                              </a:ln>
                            </wps:spPr>
                            <wps:bodyPr upright="1"/>
                          </wps:wsp>
                        </a:graphicData>
                      </a:graphic>
                    </wp:anchor>
                  </w:drawing>
                </mc:Choice>
                <mc:Fallback>
                  <w:pict>
                    <v:rect id="_x0000_s1026" o:spid="_x0000_s1026" o:spt="1" style="position:absolute;left:0pt;margin-left:1.7pt;margin-top:111.8pt;height:12pt;width:422pt;z-index:251661312;mso-width-relative:page;mso-height-relative:page;" filled="f" stroked="t" coordsize="21600,21600" o:gfxdata="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C0SozfYAAAACQEAAA8AAAAAAAAAAQAgAAAAIgAAAGRycy9kb3ducmV2LnhtbFBL&#10;AQIUABQAAAAIAIdO4kAw+WqC9gEAAPYDAAAOAAAAAAAAAAEAIAAAACcBAABkcnMvZTJvRG9jLnht&#10;bFBLBQYAAAAABgAGAFkBAACPBQAAAAA=&#10;">
                      <v:fill on="f" focussize="0,0"/>
                      <v:stroke weight="1.5pt" color="#FF0000" joinstyle="miter"/>
                      <v:imagedata o:title=""/>
                      <o:lock v:ext="edit" aspectratio="f"/>
                    </v:rect>
                  </w:pict>
                </mc:Fallback>
              </mc:AlternateContent>
            </w:r>
          </w:p>
          <w:p>
            <w:pPr>
              <w:pStyle w:val="25"/>
              <w:bidi w:val="0"/>
              <w:ind w:left="0" w:leftChars="0" w:firstLine="480" w:firstLineChars="200"/>
            </w:pPr>
          </w:p>
          <w:p>
            <w:pPr>
              <w:pStyle w:val="25"/>
              <w:bidi w:val="0"/>
              <w:ind w:left="0" w:leftChars="0" w:firstLine="480" w:firstLineChars="200"/>
            </w:pPr>
          </w:p>
          <w:p>
            <w:pPr>
              <w:pStyle w:val="25"/>
              <w:bidi w:val="0"/>
              <w:ind w:left="0" w:leftChars="0" w:firstLine="480" w:firstLineChars="200"/>
            </w:pPr>
          </w:p>
          <w:p>
            <w:pPr>
              <w:pStyle w:val="27"/>
              <w:bidi w:val="0"/>
              <w:rPr>
                <w:rFonts w:hint="eastAsia"/>
                <w:lang w:eastAsia="zh-CN"/>
              </w:rPr>
            </w:pPr>
          </w:p>
          <w:p>
            <w:pPr>
              <w:pStyle w:val="27"/>
              <w:bidi w:val="0"/>
              <w:rPr>
                <w:rFonts w:hint="eastAsia"/>
                <w:lang w:eastAsia="zh-CN"/>
              </w:rPr>
            </w:pPr>
          </w:p>
          <w:p>
            <w:pPr>
              <w:pStyle w:val="27"/>
              <w:bidi w:val="0"/>
              <w:rPr>
                <w:rFonts w:hint="eastAsia"/>
                <w:lang w:eastAsia="zh-CN"/>
              </w:rPr>
            </w:pPr>
          </w:p>
          <w:p>
            <w:pPr>
              <w:pStyle w:val="27"/>
              <w:bidi w:val="0"/>
              <w:jc w:val="both"/>
              <w:rPr>
                <w:rFonts w:hint="eastAsia"/>
                <w:lang w:eastAsia="zh-CN"/>
              </w:rPr>
            </w:pPr>
          </w:p>
          <w:p>
            <w:pPr>
              <w:pStyle w:val="33"/>
              <w:jc w:val="center"/>
              <w:rPr>
                <w:rStyle w:val="34"/>
                <w:rFonts w:eastAsia="宋体"/>
                <w:color w:val="000000"/>
                <w:highlight w:val="none"/>
              </w:rPr>
            </w:pPr>
          </w:p>
          <w:p>
            <w:pPr>
              <w:pStyle w:val="33"/>
              <w:jc w:val="center"/>
              <w:rPr>
                <w:rStyle w:val="34"/>
                <w:rFonts w:eastAsia="宋体"/>
                <w:color w:val="000000"/>
                <w:highlight w:val="none"/>
              </w:rPr>
            </w:pPr>
          </w:p>
          <w:p>
            <w:pPr>
              <w:pStyle w:val="33"/>
              <w:jc w:val="center"/>
              <w:rPr>
                <w:rStyle w:val="34"/>
                <w:rFonts w:eastAsia="宋体"/>
                <w:color w:val="000000"/>
                <w:highlight w:val="none"/>
              </w:rPr>
            </w:pPr>
          </w:p>
          <w:p>
            <w:pPr>
              <w:pStyle w:val="27"/>
              <w:bidi w:val="0"/>
              <w:spacing w:line="240" w:lineRule="auto"/>
              <w:jc w:val="center"/>
              <w:rPr>
                <w:rFonts w:hint="default" w:ascii="Times New Roman" w:hAnsi="Times New Roman" w:eastAsia="宋体" w:cs="Times New Roman"/>
                <w:lang w:val="en-US" w:eastAsia="zh-CN"/>
              </w:rPr>
            </w:pPr>
          </w:p>
          <w:p>
            <w:pPr>
              <w:pStyle w:val="27"/>
              <w:bidi w:val="0"/>
              <w:spacing w:line="240" w:lineRule="auto"/>
              <w:jc w:val="center"/>
              <w:rPr>
                <w:rFonts w:hint="default" w:ascii="Times New Roman" w:hAnsi="Times New Roman" w:eastAsia="宋体" w:cs="Times New Roman"/>
                <w:lang w:val="en-US" w:eastAsia="zh-CN"/>
              </w:rPr>
            </w:pPr>
            <w:r>
              <w:rPr>
                <w:rFonts w:hint="default" w:ascii="Times New Roman" w:hAnsi="Times New Roman" w:eastAsia="宋体" w:cs="Times New Roman"/>
                <w:lang w:val="en-US" w:eastAsia="zh-CN"/>
              </w:rPr>
              <w:t xml:space="preserve">表3-2  </w:t>
            </w:r>
            <w:r>
              <w:rPr>
                <w:rFonts w:hint="eastAsia" w:ascii="Times New Roman" w:hAnsi="Times New Roman" w:eastAsia="宋体" w:cs="Times New Roman"/>
                <w:lang w:val="en-US" w:eastAsia="zh-CN"/>
              </w:rPr>
              <w:t>祁东县</w:t>
            </w:r>
            <w:r>
              <w:rPr>
                <w:rFonts w:hint="default" w:ascii="Times New Roman" w:hAnsi="Times New Roman" w:eastAsia="宋体" w:cs="Times New Roman"/>
                <w:lang w:val="en-US" w:eastAsia="zh-CN"/>
              </w:rPr>
              <w:t>区域空气质量现状评价表</w:t>
            </w:r>
          </w:p>
          <w:tbl>
            <w:tblPr>
              <w:tblStyle w:val="18"/>
              <w:tblW w:w="0" w:type="auto"/>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897"/>
              <w:gridCol w:w="2286"/>
              <w:gridCol w:w="1738"/>
              <w:gridCol w:w="1558"/>
              <w:gridCol w:w="906"/>
              <w:gridCol w:w="93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97"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污染物</w:t>
                  </w:r>
                </w:p>
              </w:tc>
              <w:tc>
                <w:tcPr>
                  <w:tcW w:w="2286"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年评价指标</w:t>
                  </w:r>
                </w:p>
              </w:tc>
              <w:tc>
                <w:tcPr>
                  <w:tcW w:w="1738"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现状浓度（µg/m</w:t>
                  </w:r>
                  <w:r>
                    <w:rPr>
                      <w:rFonts w:hint="default" w:ascii="Times New Roman" w:hAnsi="Times New Roman" w:eastAsia="宋体" w:cs="Times New Roman"/>
                      <w:b w:val="0"/>
                      <w:bCs w:val="0"/>
                      <w:color w:val="auto"/>
                      <w:sz w:val="21"/>
                      <w:szCs w:val="21"/>
                      <w:u w:color="auto"/>
                      <w:vertAlign w:val="superscript"/>
                    </w:rPr>
                    <w:t>3</w:t>
                  </w:r>
                  <w:r>
                    <w:rPr>
                      <w:rFonts w:hint="default" w:ascii="Times New Roman" w:hAnsi="Times New Roman" w:eastAsia="宋体" w:cs="Times New Roman"/>
                      <w:b w:val="0"/>
                      <w:bCs w:val="0"/>
                      <w:color w:val="auto"/>
                      <w:sz w:val="21"/>
                      <w:szCs w:val="21"/>
                      <w:u w:color="auto"/>
                    </w:rPr>
                    <w:t>）</w:t>
                  </w:r>
                </w:p>
              </w:tc>
              <w:tc>
                <w:tcPr>
                  <w:tcW w:w="1558"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标准值（µg/m</w:t>
                  </w:r>
                  <w:r>
                    <w:rPr>
                      <w:rFonts w:hint="default" w:ascii="Times New Roman" w:hAnsi="Times New Roman" w:eastAsia="宋体" w:cs="Times New Roman"/>
                      <w:b w:val="0"/>
                      <w:bCs w:val="0"/>
                      <w:color w:val="auto"/>
                      <w:sz w:val="21"/>
                      <w:szCs w:val="21"/>
                      <w:u w:color="auto"/>
                      <w:vertAlign w:val="superscript"/>
                    </w:rPr>
                    <w:t>3</w:t>
                  </w:r>
                  <w:r>
                    <w:rPr>
                      <w:rFonts w:hint="default" w:ascii="Times New Roman" w:hAnsi="Times New Roman" w:eastAsia="宋体" w:cs="Times New Roman"/>
                      <w:b w:val="0"/>
                      <w:bCs w:val="0"/>
                      <w:color w:val="auto"/>
                      <w:sz w:val="21"/>
                      <w:szCs w:val="21"/>
                      <w:u w:color="auto"/>
                    </w:rPr>
                    <w:t>）</w:t>
                  </w:r>
                </w:p>
              </w:tc>
              <w:tc>
                <w:tcPr>
                  <w:tcW w:w="906"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占标率%</w:t>
                  </w:r>
                </w:p>
              </w:tc>
              <w:tc>
                <w:tcPr>
                  <w:tcW w:w="936"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达标情况</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97"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SO</w:t>
                  </w:r>
                  <w:r>
                    <w:rPr>
                      <w:rFonts w:hint="default" w:ascii="Times New Roman" w:hAnsi="Times New Roman" w:eastAsia="宋体" w:cs="Times New Roman"/>
                      <w:b w:val="0"/>
                      <w:bCs w:val="0"/>
                      <w:color w:val="auto"/>
                      <w:sz w:val="21"/>
                      <w:szCs w:val="21"/>
                      <w:u w:color="auto"/>
                      <w:vertAlign w:val="subscript"/>
                    </w:rPr>
                    <w:t>2</w:t>
                  </w:r>
                </w:p>
              </w:tc>
              <w:tc>
                <w:tcPr>
                  <w:tcW w:w="2286"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年平均质量浓度</w:t>
                  </w:r>
                </w:p>
              </w:tc>
              <w:tc>
                <w:tcPr>
                  <w:tcW w:w="1738"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eastAsia" w:ascii="Times New Roman" w:hAnsi="Times New Roman" w:eastAsia="宋体" w:cs="Times New Roman"/>
                      <w:b w:val="0"/>
                      <w:bCs w:val="0"/>
                      <w:color w:val="auto"/>
                      <w:sz w:val="21"/>
                      <w:szCs w:val="21"/>
                      <w:u w:color="auto"/>
                    </w:rPr>
                    <w:t>7</w:t>
                  </w:r>
                </w:p>
              </w:tc>
              <w:tc>
                <w:tcPr>
                  <w:tcW w:w="1558"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60</w:t>
                  </w:r>
                </w:p>
              </w:tc>
              <w:tc>
                <w:tcPr>
                  <w:tcW w:w="906"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eastAsia" w:ascii="Times New Roman" w:hAnsi="Times New Roman" w:eastAsia="宋体" w:cs="Times New Roman"/>
                      <w:b w:val="0"/>
                      <w:bCs w:val="0"/>
                      <w:color w:val="auto"/>
                      <w:sz w:val="21"/>
                      <w:szCs w:val="21"/>
                      <w:u w:color="auto"/>
                    </w:rPr>
                    <w:t>12</w:t>
                  </w:r>
                </w:p>
              </w:tc>
              <w:tc>
                <w:tcPr>
                  <w:tcW w:w="936"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75" w:hRule="atLeast"/>
                <w:jc w:val="center"/>
              </w:trPr>
              <w:tc>
                <w:tcPr>
                  <w:tcW w:w="897"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NO</w:t>
                  </w:r>
                  <w:r>
                    <w:rPr>
                      <w:rFonts w:hint="default" w:ascii="Times New Roman" w:hAnsi="Times New Roman" w:eastAsia="宋体" w:cs="Times New Roman"/>
                      <w:b w:val="0"/>
                      <w:bCs w:val="0"/>
                      <w:color w:val="auto"/>
                      <w:sz w:val="21"/>
                      <w:szCs w:val="21"/>
                      <w:u w:color="auto"/>
                      <w:vertAlign w:val="subscript"/>
                    </w:rPr>
                    <w:t>2</w:t>
                  </w:r>
                </w:p>
              </w:tc>
              <w:tc>
                <w:tcPr>
                  <w:tcW w:w="2286"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年平均质量浓度</w:t>
                  </w:r>
                </w:p>
              </w:tc>
              <w:tc>
                <w:tcPr>
                  <w:tcW w:w="1738"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eastAsia" w:ascii="Times New Roman" w:hAnsi="Times New Roman" w:eastAsia="宋体" w:cs="Times New Roman"/>
                      <w:b w:val="0"/>
                      <w:bCs w:val="0"/>
                      <w:color w:val="auto"/>
                      <w:sz w:val="21"/>
                      <w:szCs w:val="21"/>
                      <w:u w:color="auto"/>
                    </w:rPr>
                    <w:t>12</w:t>
                  </w:r>
                </w:p>
              </w:tc>
              <w:tc>
                <w:tcPr>
                  <w:tcW w:w="1558"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40</w:t>
                  </w:r>
                </w:p>
              </w:tc>
              <w:tc>
                <w:tcPr>
                  <w:tcW w:w="906"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eastAsia" w:ascii="Times New Roman" w:hAnsi="Times New Roman" w:eastAsia="宋体" w:cs="Times New Roman"/>
                      <w:b w:val="0"/>
                      <w:bCs w:val="0"/>
                      <w:color w:val="auto"/>
                      <w:sz w:val="21"/>
                      <w:szCs w:val="21"/>
                      <w:u w:color="auto"/>
                    </w:rPr>
                    <w:t>30</w:t>
                  </w:r>
                </w:p>
              </w:tc>
              <w:tc>
                <w:tcPr>
                  <w:tcW w:w="936"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97"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CO</w:t>
                  </w:r>
                </w:p>
              </w:tc>
              <w:tc>
                <w:tcPr>
                  <w:tcW w:w="2286"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百分位数日平均质量浓度</w:t>
                  </w:r>
                </w:p>
              </w:tc>
              <w:tc>
                <w:tcPr>
                  <w:tcW w:w="1738"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eastAsia" w:ascii="Times New Roman" w:hAnsi="Times New Roman" w:eastAsia="宋体" w:cs="Times New Roman"/>
                      <w:b w:val="0"/>
                      <w:bCs w:val="0"/>
                      <w:color w:val="auto"/>
                      <w:sz w:val="21"/>
                      <w:szCs w:val="21"/>
                      <w:u w:color="auto"/>
                    </w:rPr>
                    <w:t>1100</w:t>
                  </w:r>
                </w:p>
              </w:tc>
              <w:tc>
                <w:tcPr>
                  <w:tcW w:w="1558"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4000</w:t>
                  </w:r>
                </w:p>
              </w:tc>
              <w:tc>
                <w:tcPr>
                  <w:tcW w:w="906"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eastAsia" w:ascii="Times New Roman" w:hAnsi="Times New Roman" w:eastAsia="宋体" w:cs="Times New Roman"/>
                      <w:b w:val="0"/>
                      <w:bCs w:val="0"/>
                      <w:color w:val="auto"/>
                      <w:sz w:val="21"/>
                      <w:szCs w:val="21"/>
                      <w:u w:color="auto"/>
                    </w:rPr>
                    <w:t>28</w:t>
                  </w:r>
                </w:p>
              </w:tc>
              <w:tc>
                <w:tcPr>
                  <w:tcW w:w="936"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97"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O</w:t>
                  </w:r>
                  <w:r>
                    <w:rPr>
                      <w:rFonts w:hint="default" w:ascii="Times New Roman" w:hAnsi="Times New Roman" w:eastAsia="宋体" w:cs="Times New Roman"/>
                      <w:b w:val="0"/>
                      <w:bCs w:val="0"/>
                      <w:color w:val="auto"/>
                      <w:sz w:val="21"/>
                      <w:szCs w:val="21"/>
                      <w:u w:color="auto"/>
                      <w:vertAlign w:val="subscript"/>
                    </w:rPr>
                    <w:t>3</w:t>
                  </w:r>
                </w:p>
              </w:tc>
              <w:tc>
                <w:tcPr>
                  <w:tcW w:w="2286"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百分位数8h平均质量浓度</w:t>
                  </w:r>
                </w:p>
              </w:tc>
              <w:tc>
                <w:tcPr>
                  <w:tcW w:w="1738"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eastAsia" w:ascii="Times New Roman" w:hAnsi="Times New Roman" w:eastAsia="宋体" w:cs="Times New Roman"/>
                      <w:b w:val="0"/>
                      <w:bCs w:val="0"/>
                      <w:color w:val="auto"/>
                      <w:sz w:val="21"/>
                      <w:szCs w:val="21"/>
                      <w:u w:color="auto"/>
                    </w:rPr>
                    <w:t>141</w:t>
                  </w:r>
                </w:p>
              </w:tc>
              <w:tc>
                <w:tcPr>
                  <w:tcW w:w="1558"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160</w:t>
                  </w:r>
                </w:p>
              </w:tc>
              <w:tc>
                <w:tcPr>
                  <w:tcW w:w="906"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eastAsia" w:ascii="Times New Roman" w:hAnsi="Times New Roman" w:eastAsia="宋体" w:cs="Times New Roman"/>
                      <w:b w:val="0"/>
                      <w:bCs w:val="0"/>
                      <w:color w:val="auto"/>
                      <w:sz w:val="21"/>
                      <w:szCs w:val="21"/>
                      <w:u w:color="auto"/>
                    </w:rPr>
                    <w:t>88</w:t>
                  </w:r>
                </w:p>
              </w:tc>
              <w:tc>
                <w:tcPr>
                  <w:tcW w:w="936"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97"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PM</w:t>
                  </w:r>
                  <w:r>
                    <w:rPr>
                      <w:rFonts w:hint="default" w:ascii="Times New Roman" w:hAnsi="Times New Roman" w:eastAsia="宋体" w:cs="Times New Roman"/>
                      <w:b w:val="0"/>
                      <w:bCs w:val="0"/>
                      <w:color w:val="auto"/>
                      <w:sz w:val="21"/>
                      <w:szCs w:val="21"/>
                      <w:u w:color="auto"/>
                      <w:vertAlign w:val="subscript"/>
                    </w:rPr>
                    <w:t>10</w:t>
                  </w:r>
                </w:p>
              </w:tc>
              <w:tc>
                <w:tcPr>
                  <w:tcW w:w="2286"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年平均质量浓度</w:t>
                  </w:r>
                </w:p>
              </w:tc>
              <w:tc>
                <w:tcPr>
                  <w:tcW w:w="1738"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eastAsia" w:ascii="Times New Roman" w:hAnsi="Times New Roman" w:eastAsia="宋体" w:cs="Times New Roman"/>
                      <w:b w:val="0"/>
                      <w:bCs w:val="0"/>
                      <w:color w:val="auto"/>
                      <w:sz w:val="21"/>
                      <w:szCs w:val="21"/>
                      <w:u w:color="auto"/>
                    </w:rPr>
                    <w:t>38</w:t>
                  </w:r>
                </w:p>
              </w:tc>
              <w:tc>
                <w:tcPr>
                  <w:tcW w:w="1558"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70</w:t>
                  </w:r>
                </w:p>
              </w:tc>
              <w:tc>
                <w:tcPr>
                  <w:tcW w:w="906"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eastAsia" w:ascii="Times New Roman" w:hAnsi="Times New Roman" w:eastAsia="宋体" w:cs="Times New Roman"/>
                      <w:b w:val="0"/>
                      <w:bCs w:val="0"/>
                      <w:color w:val="auto"/>
                      <w:sz w:val="21"/>
                      <w:szCs w:val="21"/>
                      <w:u w:color="auto"/>
                    </w:rPr>
                    <w:t>54</w:t>
                  </w:r>
                </w:p>
              </w:tc>
              <w:tc>
                <w:tcPr>
                  <w:tcW w:w="936"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97"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PM</w:t>
                  </w:r>
                  <w:r>
                    <w:rPr>
                      <w:rFonts w:hint="default" w:ascii="Times New Roman" w:hAnsi="Times New Roman" w:eastAsia="宋体" w:cs="Times New Roman"/>
                      <w:b w:val="0"/>
                      <w:bCs w:val="0"/>
                      <w:color w:val="auto"/>
                      <w:sz w:val="21"/>
                      <w:szCs w:val="21"/>
                      <w:u w:color="auto"/>
                      <w:vertAlign w:val="subscript"/>
                    </w:rPr>
                    <w:t>2.5</w:t>
                  </w:r>
                </w:p>
              </w:tc>
              <w:tc>
                <w:tcPr>
                  <w:tcW w:w="2286"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年平均质量浓度</w:t>
                  </w:r>
                </w:p>
              </w:tc>
              <w:tc>
                <w:tcPr>
                  <w:tcW w:w="1738"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eastAsia" w:ascii="Times New Roman" w:hAnsi="Times New Roman" w:eastAsia="宋体" w:cs="Times New Roman"/>
                      <w:b w:val="0"/>
                      <w:bCs w:val="0"/>
                      <w:color w:val="auto"/>
                      <w:sz w:val="21"/>
                      <w:szCs w:val="21"/>
                      <w:u w:color="auto"/>
                    </w:rPr>
                    <w:t>26</w:t>
                  </w:r>
                </w:p>
              </w:tc>
              <w:tc>
                <w:tcPr>
                  <w:tcW w:w="1558"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35</w:t>
                  </w:r>
                </w:p>
              </w:tc>
              <w:tc>
                <w:tcPr>
                  <w:tcW w:w="906"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eastAsia" w:ascii="Times New Roman" w:hAnsi="Times New Roman" w:eastAsia="宋体" w:cs="Times New Roman"/>
                      <w:b w:val="0"/>
                      <w:bCs w:val="0"/>
                      <w:color w:val="auto"/>
                      <w:sz w:val="21"/>
                      <w:szCs w:val="21"/>
                      <w:u w:color="auto"/>
                    </w:rPr>
                    <w:t>74</w:t>
                  </w:r>
                </w:p>
              </w:tc>
              <w:tc>
                <w:tcPr>
                  <w:tcW w:w="936"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达标</w:t>
                  </w:r>
                </w:p>
              </w:tc>
            </w:tr>
          </w:tbl>
          <w:p>
            <w:pPr>
              <w:pStyle w:val="25"/>
              <w:bidi w:val="0"/>
              <w:ind w:left="0" w:leftChars="0" w:firstLine="480" w:firstLineChars="200"/>
              <w:rPr>
                <w:rFonts w:ascii="Times New Roman" w:hAnsi="Times New Roman" w:eastAsia="宋体" w:cs="Times New Roman"/>
              </w:rPr>
            </w:pPr>
            <w:r>
              <w:rPr>
                <w:rFonts w:ascii="Times New Roman" w:hAnsi="Times New Roman" w:eastAsia="宋体" w:cs="Times New Roman"/>
              </w:rPr>
              <w:t>由上表可知，SO</w:t>
            </w:r>
            <w:r>
              <w:rPr>
                <w:rFonts w:ascii="Times New Roman" w:hAnsi="Times New Roman" w:eastAsia="宋体" w:cs="Times New Roman"/>
                <w:vertAlign w:val="subscript"/>
              </w:rPr>
              <w:t>2</w:t>
            </w:r>
            <w:r>
              <w:rPr>
                <w:rFonts w:ascii="Times New Roman" w:hAnsi="Times New Roman" w:eastAsia="宋体" w:cs="Times New Roman"/>
              </w:rPr>
              <w:t>、NO</w:t>
            </w:r>
            <w:r>
              <w:rPr>
                <w:rFonts w:ascii="Times New Roman" w:hAnsi="Times New Roman" w:eastAsia="宋体" w:cs="Times New Roman"/>
                <w:vertAlign w:val="subscript"/>
              </w:rPr>
              <w:t>2</w:t>
            </w:r>
            <w:r>
              <w:rPr>
                <w:rFonts w:ascii="Times New Roman" w:hAnsi="Times New Roman" w:eastAsia="宋体" w:cs="Times New Roman"/>
              </w:rPr>
              <w:t>、PM</w:t>
            </w:r>
            <w:r>
              <w:rPr>
                <w:rFonts w:ascii="Times New Roman" w:hAnsi="Times New Roman" w:eastAsia="宋体" w:cs="Times New Roman"/>
                <w:vertAlign w:val="subscript"/>
              </w:rPr>
              <w:t>10</w:t>
            </w:r>
            <w:r>
              <w:rPr>
                <w:rFonts w:ascii="Times New Roman" w:hAnsi="Times New Roman" w:eastAsia="宋体" w:cs="Times New Roman"/>
              </w:rPr>
              <w:t>、PM</w:t>
            </w:r>
            <w:r>
              <w:rPr>
                <w:rFonts w:ascii="Times New Roman" w:hAnsi="Times New Roman" w:eastAsia="宋体" w:cs="Times New Roman"/>
                <w:vertAlign w:val="subscript"/>
              </w:rPr>
              <w:t>2.5</w:t>
            </w:r>
            <w:r>
              <w:rPr>
                <w:rFonts w:ascii="Times New Roman" w:hAnsi="Times New Roman" w:eastAsia="宋体" w:cs="Times New Roman"/>
              </w:rPr>
              <w:t>年平均质量浓度，CO百分位数日平均质量浓度、O</w:t>
            </w:r>
            <w:r>
              <w:rPr>
                <w:rFonts w:ascii="Times New Roman" w:hAnsi="Times New Roman" w:eastAsia="宋体" w:cs="Times New Roman"/>
                <w:vertAlign w:val="subscript"/>
              </w:rPr>
              <w:t>3</w:t>
            </w:r>
            <w:r>
              <w:rPr>
                <w:rFonts w:ascii="Times New Roman" w:hAnsi="Times New Roman" w:eastAsia="宋体" w:cs="Times New Roman"/>
              </w:rPr>
              <w:t>百分位数8h平均质量浓度均未超出《环境空气质量标准》（GB3095-2012）二级标准，因此，</w:t>
            </w:r>
            <w:r>
              <w:rPr>
                <w:rFonts w:hint="eastAsia" w:ascii="Times New Roman" w:hAnsi="Times New Roman" w:eastAsia="宋体" w:cs="Times New Roman"/>
                <w:lang w:val="en-US" w:eastAsia="zh-CN"/>
              </w:rPr>
              <w:t>祁东县</w:t>
            </w:r>
            <w:r>
              <w:rPr>
                <w:rFonts w:ascii="Times New Roman" w:hAnsi="Times New Roman" w:eastAsia="宋体" w:cs="Times New Roman"/>
              </w:rPr>
              <w:t>环境空气质量属于达标区。</w:t>
            </w:r>
          </w:p>
          <w:p>
            <w:pPr>
              <w:pStyle w:val="25"/>
              <w:bidi w:val="0"/>
              <w:rPr>
                <w:rFonts w:hint="default" w:eastAsia="宋体"/>
                <w:highlight w:val="none"/>
                <w:lang w:val="en-US" w:eastAsia="zh-CN"/>
              </w:rPr>
            </w:pPr>
            <w:r>
              <w:rPr>
                <w:rFonts w:hint="eastAsia"/>
                <w:b/>
                <w:bCs/>
                <w:highlight w:val="none"/>
                <w:lang w:val="en-US" w:eastAsia="zh-CN"/>
              </w:rPr>
              <w:t>（二）</w:t>
            </w:r>
            <w:r>
              <w:rPr>
                <w:rFonts w:hint="eastAsia"/>
                <w:b/>
                <w:bCs/>
                <w:highlight w:val="none"/>
                <w:lang w:eastAsia="zh-CN"/>
              </w:rPr>
              <w:t>特征污染物环境质量现状</w:t>
            </w:r>
          </w:p>
          <w:p>
            <w:pPr>
              <w:pStyle w:val="25"/>
              <w:bidi w:val="0"/>
              <w:ind w:left="0" w:leftChars="0" w:firstLine="480" w:firstLineChars="200"/>
              <w:rPr>
                <w:rFonts w:ascii="Times New Roman" w:hAnsi="Times New Roman" w:eastAsia="宋体" w:cs="Times New Roman"/>
              </w:rPr>
            </w:pPr>
            <w:r>
              <w:rPr>
                <w:rFonts w:ascii="Times New Roman" w:hAnsi="Times New Roman" w:eastAsia="宋体" w:cs="Times New Roman"/>
              </w:rPr>
              <w:t>根据《环境影响评价技术导则—大气环境》（HJ2.2-2018）的相关规定，本报告引用《</w:t>
            </w:r>
            <w:r>
              <w:rPr>
                <w:rFonts w:hint="eastAsia" w:ascii="Times New Roman" w:hAnsi="Times New Roman" w:eastAsia="宋体" w:cs="Times New Roman"/>
              </w:rPr>
              <w:t>湖南志达电子科技有限公司塑胶、电子玩具厂建设项目（一期）环境影响报告表（报批稿）</w:t>
            </w:r>
            <w:r>
              <w:rPr>
                <w:rFonts w:ascii="Times New Roman" w:hAnsi="Times New Roman" w:eastAsia="宋体" w:cs="Times New Roman"/>
              </w:rPr>
              <w:t>》中对项目所在区域非甲烷总烃</w:t>
            </w:r>
            <w:r>
              <w:rPr>
                <w:rFonts w:hint="eastAsia" w:ascii="Times New Roman" w:hAnsi="Times New Roman" w:eastAsia="宋体" w:cs="Times New Roman"/>
                <w:lang w:eastAsia="zh-CN"/>
              </w:rPr>
              <w:t>、</w:t>
            </w:r>
            <w:r>
              <w:rPr>
                <w:rFonts w:hint="eastAsia" w:ascii="Times New Roman" w:hAnsi="Times New Roman" w:eastAsia="宋体" w:cs="Times New Roman"/>
                <w:lang w:val="en-US" w:eastAsia="zh-CN"/>
              </w:rPr>
              <w:t>TSP</w:t>
            </w:r>
            <w:r>
              <w:rPr>
                <w:rFonts w:ascii="Times New Roman" w:hAnsi="Times New Roman" w:eastAsia="宋体" w:cs="Times New Roman"/>
              </w:rPr>
              <w:t>监测的数据进行评价。引用现状数据为近三年有效数据，且均位于项目边界5km范围内，项目引用现状监测数据有效、可行。</w:t>
            </w:r>
          </w:p>
          <w:p>
            <w:pPr>
              <w:pStyle w:val="25"/>
              <w:bidi w:val="0"/>
              <w:ind w:left="0" w:leftChars="0" w:firstLine="480" w:firstLineChars="200"/>
              <w:rPr>
                <w:rFonts w:ascii="Times New Roman" w:hAnsi="Times New Roman" w:eastAsia="宋体" w:cs="Times New Roman"/>
              </w:rPr>
            </w:pPr>
            <w:r>
              <w:rPr>
                <w:rFonts w:ascii="Times New Roman" w:hAnsi="Times New Roman" w:eastAsia="宋体" w:cs="Times New Roman"/>
              </w:rPr>
              <w:t>（1）监测项目：非甲烷总烃</w:t>
            </w:r>
            <w:r>
              <w:rPr>
                <w:rFonts w:hint="eastAsia" w:ascii="Times New Roman" w:hAnsi="Times New Roman" w:eastAsia="宋体" w:cs="Times New Roman"/>
                <w:lang w:eastAsia="zh-CN"/>
              </w:rPr>
              <w:t>、</w:t>
            </w:r>
            <w:r>
              <w:rPr>
                <w:rFonts w:hint="eastAsia" w:ascii="Times New Roman" w:hAnsi="Times New Roman" w:eastAsia="宋体" w:cs="Times New Roman"/>
                <w:lang w:val="en-US" w:eastAsia="zh-CN"/>
              </w:rPr>
              <w:t>TSP</w:t>
            </w:r>
            <w:r>
              <w:rPr>
                <w:rFonts w:ascii="Times New Roman" w:hAnsi="Times New Roman" w:eastAsia="宋体" w:cs="Times New Roman"/>
              </w:rPr>
              <w:t>。</w:t>
            </w:r>
          </w:p>
          <w:p>
            <w:pPr>
              <w:pStyle w:val="25"/>
              <w:bidi w:val="0"/>
              <w:ind w:left="0" w:leftChars="0" w:firstLine="480" w:firstLineChars="200"/>
              <w:rPr>
                <w:rFonts w:ascii="Times New Roman" w:hAnsi="Times New Roman" w:eastAsia="宋体" w:cs="Times New Roman"/>
              </w:rPr>
            </w:pPr>
            <w:r>
              <w:rPr>
                <w:rFonts w:ascii="Times New Roman" w:hAnsi="Times New Roman" w:eastAsia="宋体" w:cs="Times New Roman"/>
              </w:rPr>
              <w:t>（2）监测点布设：G1</w:t>
            </w:r>
            <w:r>
              <w:rPr>
                <w:rFonts w:hint="eastAsia" w:ascii="Times New Roman" w:hAnsi="Times New Roman" w:eastAsia="宋体" w:cs="Times New Roman"/>
              </w:rPr>
              <w:t>湖南志达电子科技有限公司项目所在地，位于本项目N</w:t>
            </w:r>
            <w:r>
              <w:rPr>
                <w:rFonts w:hint="eastAsia" w:ascii="Times New Roman" w:hAnsi="Times New Roman" w:eastAsia="宋体" w:cs="Times New Roman"/>
                <w:lang w:val="en-US" w:eastAsia="zh-CN"/>
              </w:rPr>
              <w:t>E1627</w:t>
            </w:r>
            <w:r>
              <w:rPr>
                <w:rFonts w:hint="eastAsia" w:ascii="Times New Roman" w:hAnsi="Times New Roman" w:eastAsia="宋体" w:cs="Times New Roman"/>
              </w:rPr>
              <w:t>m；G2湖南志达电子科技有限公司项目上风向300m，位于本项目N</w:t>
            </w:r>
            <w:r>
              <w:rPr>
                <w:rFonts w:hint="eastAsia" w:ascii="Times New Roman" w:hAnsi="Times New Roman" w:eastAsia="宋体" w:cs="Times New Roman"/>
                <w:lang w:val="en-US" w:eastAsia="zh-CN"/>
              </w:rPr>
              <w:t>E</w:t>
            </w:r>
            <w:r>
              <w:rPr>
                <w:rFonts w:hint="eastAsia" w:ascii="Times New Roman" w:hAnsi="Times New Roman" w:eastAsia="宋体" w:cs="Times New Roman"/>
              </w:rPr>
              <w:t>1</w:t>
            </w:r>
            <w:r>
              <w:rPr>
                <w:rFonts w:hint="eastAsia" w:ascii="Times New Roman" w:hAnsi="Times New Roman" w:eastAsia="宋体" w:cs="Times New Roman"/>
                <w:lang w:val="en-US" w:eastAsia="zh-CN"/>
              </w:rPr>
              <w:t>612</w:t>
            </w:r>
            <w:r>
              <w:rPr>
                <w:rFonts w:hint="eastAsia" w:ascii="Times New Roman" w:hAnsi="Times New Roman" w:eastAsia="宋体" w:cs="Times New Roman"/>
              </w:rPr>
              <w:t>m；G3湖南志达电子科技有限公司项目下风向300m，位于本项目N</w:t>
            </w:r>
            <w:r>
              <w:rPr>
                <w:rFonts w:hint="eastAsia" w:ascii="Times New Roman" w:hAnsi="Times New Roman" w:eastAsia="宋体" w:cs="Times New Roman"/>
                <w:lang w:val="en-US" w:eastAsia="zh-CN"/>
              </w:rPr>
              <w:t>E</w:t>
            </w:r>
            <w:r>
              <w:rPr>
                <w:rFonts w:hint="eastAsia" w:ascii="Times New Roman" w:hAnsi="Times New Roman" w:eastAsia="宋体" w:cs="Times New Roman"/>
              </w:rPr>
              <w:t>1</w:t>
            </w:r>
            <w:r>
              <w:rPr>
                <w:rFonts w:hint="eastAsia" w:ascii="Times New Roman" w:hAnsi="Times New Roman" w:eastAsia="宋体" w:cs="Times New Roman"/>
                <w:lang w:val="en-US" w:eastAsia="zh-CN"/>
              </w:rPr>
              <w:t>587</w:t>
            </w:r>
            <w:r>
              <w:rPr>
                <w:rFonts w:hint="eastAsia" w:ascii="Times New Roman" w:hAnsi="Times New Roman" w:eastAsia="宋体" w:cs="Times New Roman"/>
              </w:rPr>
              <w:t>m。</w:t>
            </w:r>
          </w:p>
          <w:p>
            <w:pPr>
              <w:pStyle w:val="25"/>
              <w:bidi w:val="0"/>
              <w:ind w:left="0" w:leftChars="0" w:firstLine="480" w:firstLineChars="200"/>
              <w:rPr>
                <w:rFonts w:ascii="Times New Roman" w:hAnsi="Times New Roman" w:eastAsia="宋体" w:cs="Times New Roman"/>
              </w:rPr>
            </w:pPr>
            <w:r>
              <w:rPr>
                <w:rFonts w:ascii="Times New Roman" w:hAnsi="Times New Roman" w:eastAsia="宋体" w:cs="Times New Roman"/>
              </w:rPr>
              <w:t>（3）监测时间：</w:t>
            </w:r>
            <w:r>
              <w:rPr>
                <w:rFonts w:hint="eastAsia" w:ascii="Times New Roman" w:hAnsi="Times New Roman" w:eastAsia="宋体" w:cs="Times New Roman"/>
              </w:rPr>
              <w:t>2021年05月</w:t>
            </w:r>
            <w:r>
              <w:rPr>
                <w:rFonts w:hint="eastAsia" w:cs="Times New Roman"/>
                <w:lang w:val="en-US" w:eastAsia="zh-CN"/>
              </w:rPr>
              <w:t>25</w:t>
            </w:r>
            <w:r>
              <w:rPr>
                <w:rFonts w:hint="eastAsia" w:ascii="Times New Roman" w:hAnsi="Times New Roman" w:eastAsia="宋体" w:cs="Times New Roman"/>
              </w:rPr>
              <w:t>日~</w:t>
            </w:r>
            <w:r>
              <w:rPr>
                <w:rFonts w:hint="eastAsia" w:cs="Times New Roman"/>
                <w:lang w:val="en-US" w:eastAsia="zh-CN"/>
              </w:rPr>
              <w:t>27</w:t>
            </w:r>
            <w:r>
              <w:rPr>
                <w:rFonts w:hint="eastAsia" w:ascii="Times New Roman" w:hAnsi="Times New Roman" w:eastAsia="宋体" w:cs="Times New Roman"/>
              </w:rPr>
              <w:t>日连续3天</w:t>
            </w:r>
            <w:r>
              <w:rPr>
                <w:rFonts w:ascii="Times New Roman" w:hAnsi="Times New Roman" w:eastAsia="宋体" w:cs="Times New Roman"/>
              </w:rPr>
              <w:t>。</w:t>
            </w:r>
          </w:p>
          <w:p>
            <w:pPr>
              <w:pStyle w:val="25"/>
              <w:bidi w:val="0"/>
              <w:ind w:left="0" w:leftChars="0" w:firstLine="480" w:firstLineChars="200"/>
              <w:rPr>
                <w:rFonts w:ascii="Times New Roman" w:hAnsi="Times New Roman" w:eastAsia="宋体" w:cs="Times New Roman"/>
              </w:rPr>
            </w:pPr>
            <w:r>
              <w:rPr>
                <w:rFonts w:ascii="Times New Roman" w:hAnsi="Times New Roman" w:eastAsia="宋体" w:cs="Times New Roman"/>
              </w:rPr>
              <w:t>（4）执行标准：</w:t>
            </w:r>
            <w:r>
              <w:rPr>
                <w:rFonts w:hint="eastAsia" w:ascii="Times New Roman" w:hAnsi="Times New Roman" w:eastAsia="宋体" w:cs="Times New Roman"/>
                <w:lang w:val="en-US" w:eastAsia="zh-CN"/>
              </w:rPr>
              <w:t>非甲烷总烃执行</w:t>
            </w:r>
            <w:r>
              <w:rPr>
                <w:rFonts w:hint="eastAsia" w:ascii="Times New Roman" w:hAnsi="Times New Roman" w:eastAsia="宋体" w:cs="Times New Roman"/>
              </w:rPr>
              <w:t>《大气污染物综合排放标准详解》标准</w:t>
            </w:r>
            <w:r>
              <w:rPr>
                <w:rFonts w:hint="eastAsia" w:ascii="Times New Roman" w:hAnsi="Times New Roman" w:eastAsia="宋体" w:cs="Times New Roman"/>
                <w:lang w:eastAsia="zh-CN"/>
              </w:rPr>
              <w:t>、</w:t>
            </w:r>
            <w:r>
              <w:rPr>
                <w:rFonts w:hint="eastAsia" w:ascii="Times New Roman" w:hAnsi="Times New Roman" w:eastAsia="宋体" w:cs="Times New Roman"/>
                <w:lang w:val="en-US" w:eastAsia="zh-CN"/>
              </w:rPr>
              <w:t>TSP执行</w:t>
            </w:r>
            <w:r>
              <w:rPr>
                <w:rFonts w:hint="eastAsia" w:ascii="Times New Roman" w:hAnsi="Times New Roman" w:eastAsia="宋体" w:cs="Times New Roman"/>
                <w:lang w:eastAsia="zh-CN"/>
              </w:rPr>
              <w:t>《环境空气质量标准》（GB3095-2012）二级标准</w:t>
            </w:r>
            <w:r>
              <w:rPr>
                <w:rFonts w:ascii="Times New Roman" w:hAnsi="Times New Roman" w:eastAsia="宋体" w:cs="Times New Roman"/>
              </w:rPr>
              <w:t>。</w:t>
            </w:r>
          </w:p>
          <w:p>
            <w:pPr>
              <w:pStyle w:val="25"/>
              <w:bidi w:val="0"/>
              <w:ind w:left="0" w:leftChars="0" w:firstLine="480" w:firstLineChars="200"/>
              <w:rPr>
                <w:rFonts w:ascii="Times New Roman" w:hAnsi="Times New Roman" w:eastAsia="宋体" w:cs="Times New Roman"/>
              </w:rPr>
            </w:pPr>
            <w:r>
              <w:rPr>
                <w:rFonts w:ascii="Times New Roman" w:hAnsi="Times New Roman" w:eastAsia="宋体" w:cs="Times New Roman"/>
              </w:rPr>
              <w:t>（5）采样和分析方法：采样方法按《环境监测技术规范》大气部分执行，分析方法按《环境空气质量标准》（GB3095-2012）表3中的规定执行。</w:t>
            </w:r>
          </w:p>
          <w:p>
            <w:pPr>
              <w:pStyle w:val="25"/>
              <w:bidi w:val="0"/>
              <w:ind w:left="0" w:leftChars="0" w:firstLine="480" w:firstLineChars="200"/>
              <w:rPr>
                <w:rFonts w:ascii="Times New Roman" w:hAnsi="Times New Roman" w:eastAsia="宋体" w:cs="Times New Roman"/>
              </w:rPr>
            </w:pPr>
            <w:r>
              <w:rPr>
                <w:rFonts w:ascii="Times New Roman" w:hAnsi="Times New Roman" w:eastAsia="宋体" w:cs="Times New Roman"/>
              </w:rPr>
              <w:t>（6）监测结果统计与评价：监测及评价结果见表3-3。</w:t>
            </w:r>
          </w:p>
          <w:p>
            <w:pPr>
              <w:pStyle w:val="27"/>
              <w:bidi w:val="0"/>
              <w:spacing w:line="240" w:lineRule="auto"/>
              <w:jc w:val="center"/>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表3-3 特征污染因子环境空气质量监测情况</w:t>
            </w:r>
          </w:p>
          <w:tbl>
            <w:tblPr>
              <w:tblStyle w:val="18"/>
              <w:tblW w:w="0" w:type="auto"/>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971"/>
              <w:gridCol w:w="5893"/>
              <w:gridCol w:w="1210"/>
              <w:gridCol w:w="71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0" w:type="auto"/>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采样日期</w:t>
                  </w:r>
                </w:p>
              </w:tc>
              <w:tc>
                <w:tcPr>
                  <w:tcW w:w="0" w:type="auto"/>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点位名称</w:t>
                  </w:r>
                </w:p>
              </w:tc>
              <w:tc>
                <w:tcPr>
                  <w:tcW w:w="0" w:type="auto"/>
                  <w:gridSpan w:val="2"/>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检测结果（mg/m</w:t>
                  </w:r>
                  <w:r>
                    <w:rPr>
                      <w:rFonts w:hint="default" w:ascii="Times New Roman" w:hAnsi="Times New Roman" w:eastAsia="宋体" w:cs="Times New Roman"/>
                      <w:b w:val="0"/>
                      <w:bCs w:val="0"/>
                      <w:color w:val="auto"/>
                      <w:sz w:val="21"/>
                      <w:szCs w:val="21"/>
                      <w:u w:color="auto"/>
                      <w:vertAlign w:val="superscript"/>
                    </w:rPr>
                    <w:t>3</w:t>
                  </w:r>
                  <w:r>
                    <w:rPr>
                      <w:rFonts w:hint="default" w:ascii="Times New Roman" w:hAnsi="Times New Roman" w:eastAsia="宋体" w:cs="Times New Roman"/>
                      <w:b w:val="0"/>
                      <w:bCs w:val="0"/>
                      <w:color w:val="auto"/>
                      <w:sz w:val="21"/>
                      <w:szCs w:val="21"/>
                      <w:u w:color="auto"/>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0" w:type="auto"/>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p>
              </w:tc>
              <w:tc>
                <w:tcPr>
                  <w:tcW w:w="0" w:type="auto"/>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p>
              </w:tc>
              <w:tc>
                <w:tcPr>
                  <w:tcW w:w="0" w:type="auto"/>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非甲烷总烃</w:t>
                  </w:r>
                </w:p>
              </w:tc>
              <w:tc>
                <w:tcPr>
                  <w:tcW w:w="0" w:type="auto"/>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TSP</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0" w:type="auto"/>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05月25日</w:t>
                  </w:r>
                </w:p>
              </w:tc>
              <w:tc>
                <w:tcPr>
                  <w:tcW w:w="0" w:type="auto"/>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G1湖南志达电子科技有限公司项目所在地，位于本项目N</w:t>
                  </w:r>
                  <w:r>
                    <w:rPr>
                      <w:rFonts w:hint="eastAsia" w:ascii="Times New Roman" w:hAnsi="Times New Roman" w:eastAsia="宋体" w:cs="Times New Roman"/>
                      <w:b w:val="0"/>
                      <w:bCs w:val="0"/>
                      <w:color w:val="auto"/>
                      <w:sz w:val="21"/>
                      <w:szCs w:val="21"/>
                      <w:u w:color="auto"/>
                      <w:lang w:val="en-US" w:eastAsia="zh-CN"/>
                    </w:rPr>
                    <w:t>E</w:t>
                  </w:r>
                  <w:r>
                    <w:rPr>
                      <w:rFonts w:hint="default" w:ascii="Times New Roman" w:hAnsi="Times New Roman" w:eastAsia="宋体" w:cs="Times New Roman"/>
                      <w:b w:val="0"/>
                      <w:bCs w:val="0"/>
                      <w:color w:val="auto"/>
                      <w:sz w:val="21"/>
                      <w:szCs w:val="21"/>
                      <w:u w:color="auto"/>
                      <w:lang w:val="en-US" w:eastAsia="zh-CN"/>
                    </w:rPr>
                    <w:t>1627</w:t>
                  </w:r>
                  <w:r>
                    <w:rPr>
                      <w:rFonts w:hint="default" w:ascii="Times New Roman" w:hAnsi="Times New Roman" w:eastAsia="宋体" w:cs="Times New Roman"/>
                      <w:b w:val="0"/>
                      <w:bCs w:val="0"/>
                      <w:color w:val="auto"/>
                      <w:sz w:val="21"/>
                      <w:szCs w:val="21"/>
                      <w:u w:color="auto"/>
                    </w:rPr>
                    <w:t>m</w:t>
                  </w:r>
                </w:p>
              </w:tc>
              <w:tc>
                <w:tcPr>
                  <w:tcW w:w="0" w:type="auto"/>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ND</w:t>
                  </w:r>
                </w:p>
              </w:tc>
              <w:tc>
                <w:tcPr>
                  <w:tcW w:w="0" w:type="auto"/>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0.043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0" w:type="auto"/>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p>
              </w:tc>
              <w:tc>
                <w:tcPr>
                  <w:tcW w:w="0" w:type="auto"/>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G2湖南志达电子科技有限公司项目上风向300m，位于本项目N</w:t>
                  </w:r>
                  <w:r>
                    <w:rPr>
                      <w:rFonts w:hint="default" w:ascii="Times New Roman" w:hAnsi="Times New Roman" w:eastAsia="宋体" w:cs="Times New Roman"/>
                      <w:b w:val="0"/>
                      <w:bCs w:val="0"/>
                      <w:color w:val="auto"/>
                      <w:sz w:val="21"/>
                      <w:szCs w:val="21"/>
                      <w:u w:color="auto"/>
                      <w:lang w:val="en-US" w:eastAsia="zh-CN"/>
                    </w:rPr>
                    <w:t>E</w:t>
                  </w:r>
                  <w:r>
                    <w:rPr>
                      <w:rFonts w:hint="default" w:ascii="Times New Roman" w:hAnsi="Times New Roman" w:eastAsia="宋体" w:cs="Times New Roman"/>
                      <w:b w:val="0"/>
                      <w:bCs w:val="0"/>
                      <w:color w:val="auto"/>
                      <w:sz w:val="21"/>
                      <w:szCs w:val="21"/>
                      <w:u w:color="auto"/>
                    </w:rPr>
                    <w:t>1</w:t>
                  </w:r>
                  <w:r>
                    <w:rPr>
                      <w:rFonts w:hint="default" w:ascii="Times New Roman" w:hAnsi="Times New Roman" w:eastAsia="宋体" w:cs="Times New Roman"/>
                      <w:b w:val="0"/>
                      <w:bCs w:val="0"/>
                      <w:color w:val="auto"/>
                      <w:sz w:val="21"/>
                      <w:szCs w:val="21"/>
                      <w:u w:color="auto"/>
                      <w:lang w:val="en-US" w:eastAsia="zh-CN"/>
                    </w:rPr>
                    <w:t>612</w:t>
                  </w:r>
                  <w:r>
                    <w:rPr>
                      <w:rFonts w:hint="default" w:ascii="Times New Roman" w:hAnsi="Times New Roman" w:eastAsia="宋体" w:cs="Times New Roman"/>
                      <w:b w:val="0"/>
                      <w:bCs w:val="0"/>
                      <w:color w:val="auto"/>
                      <w:sz w:val="21"/>
                      <w:szCs w:val="21"/>
                      <w:u w:color="auto"/>
                    </w:rPr>
                    <w:t>m</w:t>
                  </w:r>
                </w:p>
              </w:tc>
              <w:tc>
                <w:tcPr>
                  <w:tcW w:w="0" w:type="auto"/>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ND</w:t>
                  </w:r>
                </w:p>
              </w:tc>
              <w:tc>
                <w:tcPr>
                  <w:tcW w:w="0" w:type="auto"/>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0.17</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0" w:type="auto"/>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p>
              </w:tc>
              <w:tc>
                <w:tcPr>
                  <w:tcW w:w="0" w:type="auto"/>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G3湖南志达电子科技有限公司项目下风向300m，位于本项目N</w:t>
                  </w:r>
                  <w:r>
                    <w:rPr>
                      <w:rFonts w:hint="default" w:ascii="Times New Roman" w:hAnsi="Times New Roman" w:eastAsia="宋体" w:cs="Times New Roman"/>
                      <w:b w:val="0"/>
                      <w:bCs w:val="0"/>
                      <w:color w:val="auto"/>
                      <w:sz w:val="21"/>
                      <w:szCs w:val="21"/>
                      <w:u w:color="auto"/>
                      <w:lang w:val="en-US" w:eastAsia="zh-CN"/>
                    </w:rPr>
                    <w:t>E</w:t>
                  </w:r>
                  <w:r>
                    <w:rPr>
                      <w:rFonts w:hint="default" w:ascii="Times New Roman" w:hAnsi="Times New Roman" w:eastAsia="宋体" w:cs="Times New Roman"/>
                      <w:b w:val="0"/>
                      <w:bCs w:val="0"/>
                      <w:color w:val="auto"/>
                      <w:sz w:val="21"/>
                      <w:szCs w:val="21"/>
                      <w:u w:color="auto"/>
                    </w:rPr>
                    <w:t>1</w:t>
                  </w:r>
                  <w:r>
                    <w:rPr>
                      <w:rFonts w:hint="default" w:ascii="Times New Roman" w:hAnsi="Times New Roman" w:eastAsia="宋体" w:cs="Times New Roman"/>
                      <w:b w:val="0"/>
                      <w:bCs w:val="0"/>
                      <w:color w:val="auto"/>
                      <w:sz w:val="21"/>
                      <w:szCs w:val="21"/>
                      <w:u w:color="auto"/>
                      <w:lang w:val="en-US" w:eastAsia="zh-CN"/>
                    </w:rPr>
                    <w:t>587</w:t>
                  </w:r>
                  <w:r>
                    <w:rPr>
                      <w:rFonts w:hint="default" w:ascii="Times New Roman" w:hAnsi="Times New Roman" w:eastAsia="宋体" w:cs="Times New Roman"/>
                      <w:b w:val="0"/>
                      <w:bCs w:val="0"/>
                      <w:color w:val="auto"/>
                      <w:sz w:val="21"/>
                      <w:szCs w:val="21"/>
                      <w:u w:color="auto"/>
                    </w:rPr>
                    <w:t>m</w:t>
                  </w:r>
                </w:p>
              </w:tc>
              <w:tc>
                <w:tcPr>
                  <w:tcW w:w="0" w:type="auto"/>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ND</w:t>
                  </w:r>
                </w:p>
              </w:tc>
              <w:tc>
                <w:tcPr>
                  <w:tcW w:w="0" w:type="auto"/>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0.11</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0" w:type="auto"/>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05月26日</w:t>
                  </w:r>
                </w:p>
              </w:tc>
              <w:tc>
                <w:tcPr>
                  <w:tcW w:w="0" w:type="auto"/>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G1湖南志达电子科技有限公司项目所在地，位于本项目N</w:t>
                  </w:r>
                  <w:r>
                    <w:rPr>
                      <w:rFonts w:hint="eastAsia" w:ascii="Times New Roman" w:hAnsi="Times New Roman" w:eastAsia="宋体" w:cs="Times New Roman"/>
                      <w:b w:val="0"/>
                      <w:bCs w:val="0"/>
                      <w:color w:val="auto"/>
                      <w:sz w:val="21"/>
                      <w:szCs w:val="21"/>
                      <w:u w:color="auto"/>
                      <w:lang w:val="en-US" w:eastAsia="zh-CN"/>
                    </w:rPr>
                    <w:t>E</w:t>
                  </w:r>
                  <w:r>
                    <w:rPr>
                      <w:rFonts w:hint="default" w:ascii="Times New Roman" w:hAnsi="Times New Roman" w:eastAsia="宋体" w:cs="Times New Roman"/>
                      <w:b w:val="0"/>
                      <w:bCs w:val="0"/>
                      <w:color w:val="auto"/>
                      <w:sz w:val="21"/>
                      <w:szCs w:val="21"/>
                      <w:u w:color="auto"/>
                      <w:lang w:val="en-US" w:eastAsia="zh-CN"/>
                    </w:rPr>
                    <w:t>1627</w:t>
                  </w:r>
                  <w:r>
                    <w:rPr>
                      <w:rFonts w:hint="default" w:ascii="Times New Roman" w:hAnsi="Times New Roman" w:eastAsia="宋体" w:cs="Times New Roman"/>
                      <w:b w:val="0"/>
                      <w:bCs w:val="0"/>
                      <w:color w:val="auto"/>
                      <w:sz w:val="21"/>
                      <w:szCs w:val="21"/>
                      <w:u w:color="auto"/>
                    </w:rPr>
                    <w:t>m</w:t>
                  </w:r>
                </w:p>
              </w:tc>
              <w:tc>
                <w:tcPr>
                  <w:tcW w:w="0" w:type="auto"/>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ND</w:t>
                  </w:r>
                </w:p>
              </w:tc>
              <w:tc>
                <w:tcPr>
                  <w:tcW w:w="0" w:type="auto"/>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0.040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0" w:type="auto"/>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p>
              </w:tc>
              <w:tc>
                <w:tcPr>
                  <w:tcW w:w="0" w:type="auto"/>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G2湖南志达电子科技有限公司项目上风向300m，位于本项目N</w:t>
                  </w:r>
                  <w:r>
                    <w:rPr>
                      <w:rFonts w:hint="default" w:ascii="Times New Roman" w:hAnsi="Times New Roman" w:eastAsia="宋体" w:cs="Times New Roman"/>
                      <w:b w:val="0"/>
                      <w:bCs w:val="0"/>
                      <w:color w:val="auto"/>
                      <w:sz w:val="21"/>
                      <w:szCs w:val="21"/>
                      <w:u w:color="auto"/>
                      <w:lang w:val="en-US" w:eastAsia="zh-CN"/>
                    </w:rPr>
                    <w:t>E</w:t>
                  </w:r>
                  <w:r>
                    <w:rPr>
                      <w:rFonts w:hint="default" w:ascii="Times New Roman" w:hAnsi="Times New Roman" w:eastAsia="宋体" w:cs="Times New Roman"/>
                      <w:b w:val="0"/>
                      <w:bCs w:val="0"/>
                      <w:color w:val="auto"/>
                      <w:sz w:val="21"/>
                      <w:szCs w:val="21"/>
                      <w:u w:color="auto"/>
                    </w:rPr>
                    <w:t>1</w:t>
                  </w:r>
                  <w:r>
                    <w:rPr>
                      <w:rFonts w:hint="default" w:ascii="Times New Roman" w:hAnsi="Times New Roman" w:eastAsia="宋体" w:cs="Times New Roman"/>
                      <w:b w:val="0"/>
                      <w:bCs w:val="0"/>
                      <w:color w:val="auto"/>
                      <w:sz w:val="21"/>
                      <w:szCs w:val="21"/>
                      <w:u w:color="auto"/>
                      <w:lang w:val="en-US" w:eastAsia="zh-CN"/>
                    </w:rPr>
                    <w:t>612</w:t>
                  </w:r>
                  <w:r>
                    <w:rPr>
                      <w:rFonts w:hint="default" w:ascii="Times New Roman" w:hAnsi="Times New Roman" w:eastAsia="宋体" w:cs="Times New Roman"/>
                      <w:b w:val="0"/>
                      <w:bCs w:val="0"/>
                      <w:color w:val="auto"/>
                      <w:sz w:val="21"/>
                      <w:szCs w:val="21"/>
                      <w:u w:color="auto"/>
                    </w:rPr>
                    <w:t>m</w:t>
                  </w:r>
                </w:p>
              </w:tc>
              <w:tc>
                <w:tcPr>
                  <w:tcW w:w="0" w:type="auto"/>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ND</w:t>
                  </w:r>
                </w:p>
              </w:tc>
              <w:tc>
                <w:tcPr>
                  <w:tcW w:w="0" w:type="auto"/>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0.083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0" w:type="auto"/>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p>
              </w:tc>
              <w:tc>
                <w:tcPr>
                  <w:tcW w:w="0" w:type="auto"/>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G3湖南志达电子科技有限公司项目下风向300m，位于本项目N</w:t>
                  </w:r>
                  <w:r>
                    <w:rPr>
                      <w:rFonts w:hint="default" w:ascii="Times New Roman" w:hAnsi="Times New Roman" w:eastAsia="宋体" w:cs="Times New Roman"/>
                      <w:b w:val="0"/>
                      <w:bCs w:val="0"/>
                      <w:color w:val="auto"/>
                      <w:sz w:val="21"/>
                      <w:szCs w:val="21"/>
                      <w:u w:color="auto"/>
                      <w:lang w:val="en-US" w:eastAsia="zh-CN"/>
                    </w:rPr>
                    <w:t>E</w:t>
                  </w:r>
                  <w:r>
                    <w:rPr>
                      <w:rFonts w:hint="default" w:ascii="Times New Roman" w:hAnsi="Times New Roman" w:eastAsia="宋体" w:cs="Times New Roman"/>
                      <w:b w:val="0"/>
                      <w:bCs w:val="0"/>
                      <w:color w:val="auto"/>
                      <w:sz w:val="21"/>
                      <w:szCs w:val="21"/>
                      <w:u w:color="auto"/>
                    </w:rPr>
                    <w:t>1</w:t>
                  </w:r>
                  <w:r>
                    <w:rPr>
                      <w:rFonts w:hint="default" w:ascii="Times New Roman" w:hAnsi="Times New Roman" w:eastAsia="宋体" w:cs="Times New Roman"/>
                      <w:b w:val="0"/>
                      <w:bCs w:val="0"/>
                      <w:color w:val="auto"/>
                      <w:sz w:val="21"/>
                      <w:szCs w:val="21"/>
                      <w:u w:color="auto"/>
                      <w:lang w:val="en-US" w:eastAsia="zh-CN"/>
                    </w:rPr>
                    <w:t>587</w:t>
                  </w:r>
                  <w:r>
                    <w:rPr>
                      <w:rFonts w:hint="default" w:ascii="Times New Roman" w:hAnsi="Times New Roman" w:eastAsia="宋体" w:cs="Times New Roman"/>
                      <w:b w:val="0"/>
                      <w:bCs w:val="0"/>
                      <w:color w:val="auto"/>
                      <w:sz w:val="21"/>
                      <w:szCs w:val="21"/>
                      <w:u w:color="auto"/>
                    </w:rPr>
                    <w:t>m</w:t>
                  </w:r>
                </w:p>
              </w:tc>
              <w:tc>
                <w:tcPr>
                  <w:tcW w:w="0" w:type="auto"/>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ND</w:t>
                  </w:r>
                </w:p>
              </w:tc>
              <w:tc>
                <w:tcPr>
                  <w:tcW w:w="0" w:type="auto"/>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0.25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0" w:type="auto"/>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05月27日</w:t>
                  </w:r>
                </w:p>
              </w:tc>
              <w:tc>
                <w:tcPr>
                  <w:tcW w:w="0" w:type="auto"/>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G1湖南志达电子科技有限公司项目所在地，位于本项目N</w:t>
                  </w:r>
                  <w:r>
                    <w:rPr>
                      <w:rFonts w:hint="eastAsia" w:ascii="Times New Roman" w:hAnsi="Times New Roman" w:eastAsia="宋体" w:cs="Times New Roman"/>
                      <w:b w:val="0"/>
                      <w:bCs w:val="0"/>
                      <w:color w:val="auto"/>
                      <w:sz w:val="21"/>
                      <w:szCs w:val="21"/>
                      <w:u w:color="auto"/>
                      <w:lang w:val="en-US" w:eastAsia="zh-CN"/>
                    </w:rPr>
                    <w:t>E</w:t>
                  </w:r>
                  <w:r>
                    <w:rPr>
                      <w:rFonts w:hint="default" w:ascii="Times New Roman" w:hAnsi="Times New Roman" w:eastAsia="宋体" w:cs="Times New Roman"/>
                      <w:b w:val="0"/>
                      <w:bCs w:val="0"/>
                      <w:color w:val="auto"/>
                      <w:sz w:val="21"/>
                      <w:szCs w:val="21"/>
                      <w:u w:color="auto"/>
                      <w:lang w:val="en-US" w:eastAsia="zh-CN"/>
                    </w:rPr>
                    <w:t>1627</w:t>
                  </w:r>
                  <w:r>
                    <w:rPr>
                      <w:rFonts w:hint="default" w:ascii="Times New Roman" w:hAnsi="Times New Roman" w:eastAsia="宋体" w:cs="Times New Roman"/>
                      <w:b w:val="0"/>
                      <w:bCs w:val="0"/>
                      <w:color w:val="auto"/>
                      <w:sz w:val="21"/>
                      <w:szCs w:val="21"/>
                      <w:u w:color="auto"/>
                    </w:rPr>
                    <w:t>m</w:t>
                  </w:r>
                </w:p>
              </w:tc>
              <w:tc>
                <w:tcPr>
                  <w:tcW w:w="0" w:type="auto"/>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ND</w:t>
                  </w:r>
                </w:p>
              </w:tc>
              <w:tc>
                <w:tcPr>
                  <w:tcW w:w="0" w:type="auto"/>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0.056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0" w:type="auto"/>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p>
              </w:tc>
              <w:tc>
                <w:tcPr>
                  <w:tcW w:w="0" w:type="auto"/>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G2湖南志达电子科技有限公司项目上风向300m，位于本项目N</w:t>
                  </w:r>
                  <w:r>
                    <w:rPr>
                      <w:rFonts w:hint="default" w:ascii="Times New Roman" w:hAnsi="Times New Roman" w:eastAsia="宋体" w:cs="Times New Roman"/>
                      <w:b w:val="0"/>
                      <w:bCs w:val="0"/>
                      <w:color w:val="auto"/>
                      <w:sz w:val="21"/>
                      <w:szCs w:val="21"/>
                      <w:u w:color="auto"/>
                      <w:lang w:val="en-US" w:eastAsia="zh-CN"/>
                    </w:rPr>
                    <w:t>E</w:t>
                  </w:r>
                  <w:r>
                    <w:rPr>
                      <w:rFonts w:hint="default" w:ascii="Times New Roman" w:hAnsi="Times New Roman" w:eastAsia="宋体" w:cs="Times New Roman"/>
                      <w:b w:val="0"/>
                      <w:bCs w:val="0"/>
                      <w:color w:val="auto"/>
                      <w:sz w:val="21"/>
                      <w:szCs w:val="21"/>
                      <w:u w:color="auto"/>
                    </w:rPr>
                    <w:t>1</w:t>
                  </w:r>
                  <w:r>
                    <w:rPr>
                      <w:rFonts w:hint="default" w:ascii="Times New Roman" w:hAnsi="Times New Roman" w:eastAsia="宋体" w:cs="Times New Roman"/>
                      <w:b w:val="0"/>
                      <w:bCs w:val="0"/>
                      <w:color w:val="auto"/>
                      <w:sz w:val="21"/>
                      <w:szCs w:val="21"/>
                      <w:u w:color="auto"/>
                      <w:lang w:val="en-US" w:eastAsia="zh-CN"/>
                    </w:rPr>
                    <w:t>612</w:t>
                  </w:r>
                  <w:r>
                    <w:rPr>
                      <w:rFonts w:hint="default" w:ascii="Times New Roman" w:hAnsi="Times New Roman" w:eastAsia="宋体" w:cs="Times New Roman"/>
                      <w:b w:val="0"/>
                      <w:bCs w:val="0"/>
                      <w:color w:val="auto"/>
                      <w:sz w:val="21"/>
                      <w:szCs w:val="21"/>
                      <w:u w:color="auto"/>
                    </w:rPr>
                    <w:t>m</w:t>
                  </w:r>
                </w:p>
              </w:tc>
              <w:tc>
                <w:tcPr>
                  <w:tcW w:w="0" w:type="auto"/>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ND</w:t>
                  </w:r>
                </w:p>
              </w:tc>
              <w:tc>
                <w:tcPr>
                  <w:tcW w:w="0" w:type="auto"/>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0.10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0" w:type="auto"/>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p>
              </w:tc>
              <w:tc>
                <w:tcPr>
                  <w:tcW w:w="0" w:type="auto"/>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G3湖南志达电子科技有限公司项目下风向300m，位于本项目N</w:t>
                  </w:r>
                  <w:r>
                    <w:rPr>
                      <w:rFonts w:hint="default" w:ascii="Times New Roman" w:hAnsi="Times New Roman" w:eastAsia="宋体" w:cs="Times New Roman"/>
                      <w:b w:val="0"/>
                      <w:bCs w:val="0"/>
                      <w:color w:val="auto"/>
                      <w:sz w:val="21"/>
                      <w:szCs w:val="21"/>
                      <w:u w:color="auto"/>
                      <w:lang w:val="en-US" w:eastAsia="zh-CN"/>
                    </w:rPr>
                    <w:t>E</w:t>
                  </w:r>
                  <w:r>
                    <w:rPr>
                      <w:rFonts w:hint="default" w:ascii="Times New Roman" w:hAnsi="Times New Roman" w:eastAsia="宋体" w:cs="Times New Roman"/>
                      <w:b w:val="0"/>
                      <w:bCs w:val="0"/>
                      <w:color w:val="auto"/>
                      <w:sz w:val="21"/>
                      <w:szCs w:val="21"/>
                      <w:u w:color="auto"/>
                    </w:rPr>
                    <w:t>1</w:t>
                  </w:r>
                  <w:r>
                    <w:rPr>
                      <w:rFonts w:hint="default" w:ascii="Times New Roman" w:hAnsi="Times New Roman" w:eastAsia="宋体" w:cs="Times New Roman"/>
                      <w:b w:val="0"/>
                      <w:bCs w:val="0"/>
                      <w:color w:val="auto"/>
                      <w:sz w:val="21"/>
                      <w:szCs w:val="21"/>
                      <w:u w:color="auto"/>
                      <w:lang w:val="en-US" w:eastAsia="zh-CN"/>
                    </w:rPr>
                    <w:t>587</w:t>
                  </w:r>
                  <w:r>
                    <w:rPr>
                      <w:rFonts w:hint="default" w:ascii="Times New Roman" w:hAnsi="Times New Roman" w:eastAsia="宋体" w:cs="Times New Roman"/>
                      <w:b w:val="0"/>
                      <w:bCs w:val="0"/>
                      <w:color w:val="auto"/>
                      <w:sz w:val="21"/>
                      <w:szCs w:val="21"/>
                      <w:u w:color="auto"/>
                    </w:rPr>
                    <w:t>m</w:t>
                  </w:r>
                </w:p>
              </w:tc>
              <w:tc>
                <w:tcPr>
                  <w:tcW w:w="0" w:type="auto"/>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ND</w:t>
                  </w:r>
                </w:p>
              </w:tc>
              <w:tc>
                <w:tcPr>
                  <w:tcW w:w="0" w:type="auto"/>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0.16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0" w:type="auto"/>
                  <w:gridSpan w:val="2"/>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eastAsia" w:ascii="Times New Roman" w:hAnsi="Times New Roman" w:eastAsia="宋体" w:cs="Times New Roman"/>
                      <w:b w:val="0"/>
                      <w:bCs w:val="0"/>
                      <w:color w:val="auto"/>
                      <w:sz w:val="21"/>
                      <w:szCs w:val="21"/>
                      <w:u w:color="auto"/>
                      <w:lang w:val="en-US" w:eastAsia="zh-CN"/>
                    </w:rPr>
                    <w:t>标准限值</w:t>
                  </w:r>
                </w:p>
              </w:tc>
              <w:tc>
                <w:tcPr>
                  <w:tcW w:w="0" w:type="auto"/>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2.0</w:t>
                  </w:r>
                </w:p>
              </w:tc>
              <w:tc>
                <w:tcPr>
                  <w:tcW w:w="0" w:type="auto"/>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eastAsia"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0.3</w:t>
                  </w:r>
                </w:p>
              </w:tc>
            </w:tr>
          </w:tbl>
          <w:p>
            <w:pPr>
              <w:pStyle w:val="25"/>
              <w:bidi w:val="0"/>
              <w:rPr>
                <w:rFonts w:hint="eastAsia" w:ascii="Times New Roman" w:hAnsi="Times New Roman" w:cs="Times New Roman"/>
                <w:color w:val="auto"/>
                <w:highlight w:val="none"/>
                <w:u w:val="none"/>
                <w:lang w:val="en-US" w:eastAsia="zh-CN"/>
              </w:rPr>
            </w:pPr>
            <w:r>
              <w:rPr>
                <w:rFonts w:hint="eastAsia" w:ascii="Times New Roman" w:hAnsi="Times New Roman" w:cs="Times New Roman"/>
                <w:color w:val="auto"/>
                <w:highlight w:val="none"/>
                <w:u w:val="none"/>
                <w:lang w:val="en-US" w:eastAsia="zh-CN"/>
              </w:rPr>
              <w:t>根据上表监测结果可知，本项目所在地非甲烷总烃现状监测数据可以满足《大气污染物综合排放标准详解》标准要求；TSP现状监测数据可以满足《环境空气质量标准》（GB3095-2012）二级标准。</w:t>
            </w:r>
          </w:p>
          <w:p>
            <w:pPr>
              <w:pStyle w:val="25"/>
              <w:bidi w:val="0"/>
              <w:rPr>
                <w:rFonts w:hint="default"/>
                <w:lang w:val="en-US" w:eastAsia="zh-CN"/>
              </w:rPr>
            </w:pPr>
            <w:r>
              <w:rPr>
                <w:rFonts w:hint="eastAsia"/>
                <w:b/>
                <w:bCs/>
                <w:lang w:val="en-US" w:eastAsia="zh-CN"/>
              </w:rPr>
              <w:t>2、地表水环境质量现状</w:t>
            </w:r>
          </w:p>
          <w:p>
            <w:pPr>
              <w:spacing w:line="360" w:lineRule="auto"/>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根据衡阳市生态环境局发布的《关于202</w:t>
            </w:r>
            <w:r>
              <w:rPr>
                <w:rFonts w:hint="eastAsia" w:ascii="Times New Roman" w:hAnsi="Times New Roman" w:eastAsia="宋体" w:cs="Times New Roman"/>
                <w:color w:val="auto"/>
                <w:sz w:val="24"/>
                <w:szCs w:val="24"/>
                <w:lang w:val="en-US" w:eastAsia="zh-CN"/>
              </w:rPr>
              <w:t>2</w:t>
            </w:r>
            <w:r>
              <w:rPr>
                <w:rFonts w:hint="default" w:ascii="Times New Roman" w:hAnsi="Times New Roman" w:eastAsia="宋体" w:cs="Times New Roman"/>
                <w:color w:val="auto"/>
                <w:sz w:val="24"/>
                <w:szCs w:val="24"/>
              </w:rPr>
              <w:t>年12月及1~12月全市环境质量状况的通报》可知，202</w:t>
            </w:r>
            <w:r>
              <w:rPr>
                <w:rFonts w:hint="eastAsia" w:ascii="Times New Roman" w:hAnsi="Times New Roman" w:eastAsia="宋体" w:cs="Times New Roman"/>
                <w:color w:val="auto"/>
                <w:sz w:val="24"/>
                <w:szCs w:val="24"/>
                <w:lang w:val="en-US" w:eastAsia="zh-CN"/>
              </w:rPr>
              <w:t>2</w:t>
            </w:r>
            <w:r>
              <w:rPr>
                <w:rFonts w:hint="default" w:ascii="Times New Roman" w:hAnsi="Times New Roman" w:eastAsia="宋体" w:cs="Times New Roman"/>
                <w:color w:val="auto"/>
                <w:sz w:val="24"/>
                <w:szCs w:val="24"/>
              </w:rPr>
              <w:t>年1-12月，我市44个断面中，Ⅱ类3</w:t>
            </w:r>
            <w:r>
              <w:rPr>
                <w:rFonts w:hint="eastAsia" w:ascii="Times New Roman" w:hAnsi="Times New Roman" w:eastAsia="宋体" w:cs="Times New Roman"/>
                <w:color w:val="auto"/>
                <w:sz w:val="24"/>
                <w:szCs w:val="24"/>
                <w:lang w:val="en-US" w:eastAsia="zh-CN"/>
              </w:rPr>
              <w:t>7</w:t>
            </w:r>
            <w:r>
              <w:rPr>
                <w:rFonts w:hint="default" w:ascii="Times New Roman" w:hAnsi="Times New Roman" w:eastAsia="宋体" w:cs="Times New Roman"/>
                <w:color w:val="auto"/>
                <w:sz w:val="24"/>
                <w:szCs w:val="24"/>
              </w:rPr>
              <w:t>个，Ⅲ类7个</w:t>
            </w:r>
            <w:r>
              <w:rPr>
                <w:rFonts w:hint="eastAsia"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rPr>
              <w:t>其中13个交界断面中Ⅱ类水质10个，Ⅲ类</w:t>
            </w:r>
            <w:r>
              <w:rPr>
                <w:rFonts w:hint="eastAsia" w:ascii="Times New Roman" w:hAnsi="Times New Roman" w:eastAsia="宋体" w:cs="Times New Roman"/>
                <w:color w:val="auto"/>
                <w:sz w:val="24"/>
                <w:szCs w:val="24"/>
                <w:lang w:val="en-US" w:eastAsia="zh-CN"/>
              </w:rPr>
              <w:t>3</w:t>
            </w:r>
            <w:r>
              <w:rPr>
                <w:rFonts w:hint="default" w:ascii="Times New Roman" w:hAnsi="Times New Roman" w:eastAsia="宋体" w:cs="Times New Roman"/>
                <w:color w:val="auto"/>
                <w:sz w:val="24"/>
                <w:szCs w:val="24"/>
              </w:rPr>
              <w:t>个；13个国考断面中Ⅱ类1</w:t>
            </w:r>
            <w:r>
              <w:rPr>
                <w:rFonts w:hint="eastAsia" w:ascii="Times New Roman" w:hAnsi="Times New Roman" w:eastAsia="宋体" w:cs="Times New Roman"/>
                <w:color w:val="auto"/>
                <w:sz w:val="24"/>
                <w:szCs w:val="24"/>
                <w:lang w:val="en-US" w:eastAsia="zh-CN"/>
              </w:rPr>
              <w:t>2</w:t>
            </w:r>
            <w:r>
              <w:rPr>
                <w:rFonts w:hint="default" w:ascii="Times New Roman" w:hAnsi="Times New Roman" w:eastAsia="宋体" w:cs="Times New Roman"/>
                <w:color w:val="auto"/>
                <w:sz w:val="24"/>
                <w:szCs w:val="24"/>
              </w:rPr>
              <w:t>个，Ⅲ类</w:t>
            </w:r>
            <w:r>
              <w:rPr>
                <w:rFonts w:hint="eastAsia" w:ascii="Times New Roman" w:hAnsi="Times New Roman" w:eastAsia="宋体" w:cs="Times New Roman"/>
                <w:color w:val="auto"/>
                <w:sz w:val="24"/>
                <w:szCs w:val="24"/>
                <w:lang w:val="en-US" w:eastAsia="zh-CN"/>
              </w:rPr>
              <w:t>1</w:t>
            </w:r>
            <w:r>
              <w:rPr>
                <w:rFonts w:hint="default" w:ascii="Times New Roman" w:hAnsi="Times New Roman" w:eastAsia="宋体" w:cs="Times New Roman"/>
                <w:color w:val="auto"/>
                <w:sz w:val="24"/>
                <w:szCs w:val="24"/>
              </w:rPr>
              <w:t>个。</w:t>
            </w:r>
          </w:p>
          <w:p>
            <w:pPr>
              <w:pStyle w:val="25"/>
              <w:bidi w:val="0"/>
              <w:rPr>
                <w:rFonts w:hint="eastAsia"/>
                <w:color w:val="auto"/>
              </w:rPr>
            </w:pPr>
            <w:r>
              <w:rPr>
                <w:rFonts w:hint="eastAsia"/>
                <w:color w:val="auto"/>
              </w:rPr>
              <w:t>本项目周边最近的地表水体为北侧白河及南侧湘江，距离本项目最近的地表水监测断面为白河入湘江口监测断面（湘江白河）和管山村断面（湘江），其水质监测情况如下表。</w:t>
            </w:r>
          </w:p>
          <w:p>
            <w:pPr>
              <w:pStyle w:val="27"/>
              <w:bidi w:val="0"/>
              <w:spacing w:line="240" w:lineRule="auto"/>
              <w:jc w:val="center"/>
              <w:rPr>
                <w:rFonts w:hint="eastAsia" w:ascii="Times New Roman" w:hAnsi="Times New Roman" w:eastAsia="宋体" w:cs="Times New Roman"/>
                <w:lang w:val="en-US" w:eastAsia="zh-CN"/>
              </w:rPr>
            </w:pPr>
            <w:r>
              <w:rPr>
                <w:rFonts w:hint="eastAsia" w:ascii="Times New Roman" w:hAnsi="Times New Roman" w:eastAsia="宋体" w:cs="Times New Roman"/>
                <w:lang w:val="en-US" w:eastAsia="zh-CN"/>
              </w:rPr>
              <w:drawing>
                <wp:anchor distT="0" distB="0" distL="114300" distR="114300" simplePos="0" relativeHeight="251662336" behindDoc="1" locked="0" layoutInCell="1" allowOverlap="1">
                  <wp:simplePos x="0" y="0"/>
                  <wp:positionH relativeFrom="column">
                    <wp:posOffset>-85725</wp:posOffset>
                  </wp:positionH>
                  <wp:positionV relativeFrom="paragraph">
                    <wp:posOffset>175895</wp:posOffset>
                  </wp:positionV>
                  <wp:extent cx="5714365" cy="3665855"/>
                  <wp:effectExtent l="0" t="0" r="635" b="6985"/>
                  <wp:wrapNone/>
                  <wp:docPr id="20" name="图片 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5" descr="IMG_256"/>
                          <pic:cNvPicPr>
                            <a:picLocks noChangeAspect="1"/>
                          </pic:cNvPicPr>
                        </pic:nvPicPr>
                        <pic:blipFill>
                          <a:blip r:embed="rId15"/>
                          <a:srcRect l="7768" t="17118" r="7459" b="12841"/>
                          <a:stretch>
                            <a:fillRect/>
                          </a:stretch>
                        </pic:blipFill>
                        <pic:spPr>
                          <a:xfrm>
                            <a:off x="0" y="0"/>
                            <a:ext cx="5714365" cy="3665855"/>
                          </a:xfrm>
                          <a:prstGeom prst="rect">
                            <a:avLst/>
                          </a:prstGeom>
                          <a:noFill/>
                          <a:ln w="9525">
                            <a:noFill/>
                          </a:ln>
                        </pic:spPr>
                      </pic:pic>
                    </a:graphicData>
                  </a:graphic>
                </wp:anchor>
              </w:drawing>
            </w:r>
            <w:r>
              <w:rPr>
                <w:rFonts w:hint="eastAsia" w:ascii="Times New Roman" w:hAnsi="Times New Roman" w:eastAsia="宋体" w:cs="Times New Roman"/>
                <w:lang w:val="en-US" w:eastAsia="zh-CN"/>
              </w:rPr>
              <w:t>表3-4  2022年1-12月衡阳市地表水水质情况</w:t>
            </w:r>
          </w:p>
          <w:p>
            <w:pPr>
              <w:pStyle w:val="25"/>
              <w:bidi w:val="0"/>
              <w:rPr>
                <w:rFonts w:hint="eastAsia"/>
                <w:color w:val="auto"/>
              </w:rPr>
            </w:pPr>
          </w:p>
          <w:p>
            <w:pPr>
              <w:pStyle w:val="25"/>
              <w:bidi w:val="0"/>
              <w:rPr>
                <w:rFonts w:hint="eastAsia"/>
                <w:color w:val="auto"/>
              </w:rPr>
            </w:pPr>
            <w:r>
              <w:rPr>
                <w:sz w:val="24"/>
              </w:rPr>
              <mc:AlternateContent>
                <mc:Choice Requires="wps">
                  <w:drawing>
                    <wp:anchor distT="0" distB="0" distL="114300" distR="114300" simplePos="0" relativeHeight="251662336" behindDoc="0" locked="0" layoutInCell="1" allowOverlap="1">
                      <wp:simplePos x="0" y="0"/>
                      <wp:positionH relativeFrom="column">
                        <wp:posOffset>-97155</wp:posOffset>
                      </wp:positionH>
                      <wp:positionV relativeFrom="paragraph">
                        <wp:posOffset>92075</wp:posOffset>
                      </wp:positionV>
                      <wp:extent cx="5734050" cy="323850"/>
                      <wp:effectExtent l="9525" t="9525" r="9525" b="9525"/>
                      <wp:wrapNone/>
                      <wp:docPr id="8" name="矩形 8"/>
                      <wp:cNvGraphicFramePr/>
                      <a:graphic xmlns:a="http://schemas.openxmlformats.org/drawingml/2006/main">
                        <a:graphicData uri="http://schemas.microsoft.com/office/word/2010/wordprocessingShape">
                          <wps:wsp>
                            <wps:cNvSpPr/>
                            <wps:spPr>
                              <a:xfrm>
                                <a:off x="1137285" y="4707255"/>
                                <a:ext cx="5734050" cy="323850"/>
                              </a:xfrm>
                              <a:prstGeom prst="rect">
                                <a:avLst/>
                              </a:prstGeom>
                              <a:ln w="19050">
                                <a:solidFill>
                                  <a:srgbClr val="FF0000"/>
                                </a:solidFill>
                              </a:ln>
                            </wps:spPr>
                            <wps:style>
                              <a:lnRef idx="2">
                                <a:schemeClr val="accent1"/>
                              </a:lnRef>
                              <a:fillRef idx="0">
                                <a:srgbClr val="FFFFFF"/>
                              </a:fillRef>
                              <a:effectRef idx="0">
                                <a:srgbClr val="FFFFFF"/>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7.65pt;margin-top:7.25pt;height:25.5pt;width:451.5pt;z-index:251662336;v-text-anchor:middle;mso-width-relative:page;mso-height-relative:page;" filled="f" stroked="t" coordsize="21600,21600" o:gfxdata="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">
                      <v:fill on="f" focussize="0,0"/>
                      <v:stroke weight="1.5pt" color="#FF0000 [3204]" miterlimit="8" joinstyle="miter"/>
                      <v:imagedata o:title=""/>
                      <o:lock v:ext="edit" aspectratio="f"/>
                    </v:rect>
                  </w:pict>
                </mc:Fallback>
              </mc:AlternateContent>
            </w:r>
          </w:p>
          <w:p>
            <w:pPr>
              <w:pStyle w:val="25"/>
              <w:bidi w:val="0"/>
              <w:rPr>
                <w:rFonts w:hint="eastAsia"/>
                <w:color w:val="auto"/>
              </w:rPr>
            </w:pPr>
          </w:p>
          <w:p>
            <w:pPr>
              <w:pStyle w:val="25"/>
              <w:bidi w:val="0"/>
              <w:rPr>
                <w:rFonts w:hint="eastAsia"/>
                <w:color w:val="auto"/>
              </w:rPr>
            </w:pPr>
          </w:p>
          <w:p>
            <w:pPr>
              <w:pStyle w:val="25"/>
              <w:bidi w:val="0"/>
              <w:rPr>
                <w:rFonts w:hint="eastAsia"/>
                <w:color w:val="auto"/>
              </w:rPr>
            </w:pPr>
          </w:p>
          <w:p>
            <w:pPr>
              <w:pStyle w:val="25"/>
              <w:bidi w:val="0"/>
              <w:rPr>
                <w:rFonts w:hint="eastAsia"/>
                <w:color w:val="auto"/>
              </w:rPr>
            </w:pPr>
          </w:p>
          <w:p>
            <w:pPr>
              <w:pStyle w:val="25"/>
              <w:bidi w:val="0"/>
              <w:rPr>
                <w:rFonts w:hint="eastAsia"/>
                <w:color w:val="auto"/>
              </w:rPr>
            </w:pPr>
          </w:p>
          <w:p>
            <w:pPr>
              <w:pStyle w:val="25"/>
              <w:bidi w:val="0"/>
              <w:rPr>
                <w:rFonts w:hint="eastAsia"/>
                <w:color w:val="auto"/>
              </w:rPr>
            </w:pPr>
          </w:p>
          <w:p>
            <w:pPr>
              <w:pStyle w:val="25"/>
              <w:bidi w:val="0"/>
              <w:rPr>
                <w:rFonts w:hint="eastAsia"/>
                <w:color w:val="auto"/>
              </w:rPr>
            </w:pPr>
          </w:p>
          <w:p>
            <w:pPr>
              <w:pStyle w:val="25"/>
              <w:bidi w:val="0"/>
              <w:rPr>
                <w:rFonts w:hint="eastAsia"/>
                <w:b/>
                <w:bCs/>
                <w:highlight w:val="none"/>
                <w:lang w:val="en-US" w:eastAsia="zh-CN"/>
              </w:rPr>
            </w:pPr>
          </w:p>
          <w:p>
            <w:pPr>
              <w:pStyle w:val="25"/>
              <w:bidi w:val="0"/>
              <w:rPr>
                <w:rFonts w:hint="eastAsia"/>
                <w:b/>
                <w:bCs/>
                <w:highlight w:val="none"/>
                <w:lang w:val="en-US" w:eastAsia="zh-CN"/>
              </w:rPr>
            </w:pPr>
          </w:p>
          <w:p>
            <w:pPr>
              <w:pStyle w:val="25"/>
              <w:bidi w:val="0"/>
              <w:rPr>
                <w:rFonts w:hint="eastAsia"/>
                <w:b/>
                <w:bCs/>
                <w:highlight w:val="none"/>
                <w:lang w:val="en-US" w:eastAsia="zh-CN"/>
              </w:rPr>
            </w:pPr>
          </w:p>
          <w:p>
            <w:pPr>
              <w:pStyle w:val="25"/>
              <w:bidi w:val="0"/>
              <w:rPr>
                <w:rFonts w:hint="eastAsia"/>
                <w:b/>
                <w:bCs/>
                <w:highlight w:val="none"/>
                <w:lang w:val="en-US" w:eastAsia="zh-CN"/>
              </w:rPr>
            </w:pPr>
          </w:p>
          <w:p>
            <w:pPr>
              <w:pStyle w:val="25"/>
              <w:bidi w:val="0"/>
              <w:rPr>
                <w:rFonts w:hint="eastAsia"/>
                <w:b/>
                <w:bCs/>
                <w:highlight w:val="none"/>
                <w:lang w:val="en-US" w:eastAsia="zh-CN"/>
              </w:rPr>
            </w:pPr>
          </w:p>
          <w:p>
            <w:pPr>
              <w:pStyle w:val="25"/>
              <w:bidi w:val="0"/>
              <w:rPr>
                <w:rFonts w:hint="eastAsia"/>
                <w:b/>
                <w:bCs/>
                <w:highlight w:val="none"/>
                <w:lang w:val="en-US" w:eastAsia="zh-CN"/>
              </w:rPr>
            </w:pPr>
          </w:p>
          <w:p>
            <w:pPr>
              <w:pStyle w:val="25"/>
              <w:bidi w:val="0"/>
              <w:rPr>
                <w:rFonts w:hint="eastAsia"/>
                <w:b/>
                <w:bCs/>
                <w:highlight w:val="none"/>
                <w:lang w:val="en-US" w:eastAsia="zh-CN"/>
              </w:rPr>
            </w:pPr>
          </w:p>
          <w:p>
            <w:pPr>
              <w:pStyle w:val="25"/>
              <w:bidi w:val="0"/>
              <w:rPr>
                <w:rFonts w:hint="eastAsia"/>
                <w:b/>
                <w:bCs/>
                <w:highlight w:val="none"/>
                <w:lang w:val="en-US" w:eastAsia="zh-CN"/>
              </w:rPr>
            </w:pPr>
          </w:p>
          <w:p>
            <w:pPr>
              <w:pStyle w:val="25"/>
              <w:bidi w:val="0"/>
              <w:rPr>
                <w:rFonts w:hint="eastAsia"/>
                <w:b/>
                <w:bCs/>
                <w:highlight w:val="none"/>
                <w:lang w:val="en-US" w:eastAsia="zh-CN"/>
              </w:rPr>
            </w:pPr>
          </w:p>
          <w:p>
            <w:pPr>
              <w:pStyle w:val="25"/>
              <w:bidi w:val="0"/>
              <w:rPr>
                <w:rFonts w:hint="eastAsia"/>
                <w:b/>
                <w:bCs/>
                <w:highlight w:val="none"/>
                <w:lang w:val="en-US" w:eastAsia="zh-CN"/>
              </w:rPr>
            </w:pPr>
            <w:r>
              <w:rPr>
                <w:rFonts w:hint="eastAsia" w:ascii="微软雅黑" w:hAnsi="微软雅黑" w:eastAsia="微软雅黑" w:cs="微软雅黑"/>
                <w:color w:val="auto"/>
                <w:sz w:val="21"/>
                <w:szCs w:val="21"/>
                <w:shd w:val="clear" w:fill="FFFFFF"/>
              </w:rPr>
              <w:drawing>
                <wp:anchor distT="0" distB="0" distL="114300" distR="114300" simplePos="0" relativeHeight="251663360" behindDoc="1" locked="0" layoutInCell="1" allowOverlap="1">
                  <wp:simplePos x="0" y="0"/>
                  <wp:positionH relativeFrom="column">
                    <wp:posOffset>-53975</wp:posOffset>
                  </wp:positionH>
                  <wp:positionV relativeFrom="paragraph">
                    <wp:posOffset>-53340</wp:posOffset>
                  </wp:positionV>
                  <wp:extent cx="5751195" cy="4177030"/>
                  <wp:effectExtent l="0" t="0" r="9525" b="13970"/>
                  <wp:wrapNone/>
                  <wp:docPr id="21" name="图片 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6" descr="IMG_256"/>
                          <pic:cNvPicPr>
                            <a:picLocks noChangeAspect="1"/>
                          </pic:cNvPicPr>
                        </pic:nvPicPr>
                        <pic:blipFill>
                          <a:blip r:embed="rId16"/>
                          <a:srcRect l="8219" t="11188" r="8434" b="13856"/>
                          <a:stretch>
                            <a:fillRect/>
                          </a:stretch>
                        </pic:blipFill>
                        <pic:spPr>
                          <a:xfrm>
                            <a:off x="0" y="0"/>
                            <a:ext cx="5751195" cy="4177030"/>
                          </a:xfrm>
                          <a:prstGeom prst="rect">
                            <a:avLst/>
                          </a:prstGeom>
                          <a:noFill/>
                          <a:ln w="9525">
                            <a:noFill/>
                          </a:ln>
                        </pic:spPr>
                      </pic:pic>
                    </a:graphicData>
                  </a:graphic>
                </wp:anchor>
              </w:drawing>
            </w:r>
          </w:p>
          <w:p>
            <w:pPr>
              <w:pStyle w:val="25"/>
              <w:bidi w:val="0"/>
              <w:rPr>
                <w:rFonts w:hint="eastAsia"/>
                <w:b/>
                <w:bCs/>
                <w:highlight w:val="none"/>
                <w:lang w:val="en-US" w:eastAsia="zh-CN"/>
              </w:rPr>
            </w:pPr>
          </w:p>
          <w:p>
            <w:pPr>
              <w:pStyle w:val="25"/>
              <w:bidi w:val="0"/>
              <w:rPr>
                <w:rFonts w:hint="eastAsia"/>
                <w:b/>
                <w:bCs/>
                <w:highlight w:val="none"/>
                <w:lang w:val="en-US" w:eastAsia="zh-CN"/>
              </w:rPr>
            </w:pPr>
            <w:r>
              <w:rPr>
                <w:sz w:val="24"/>
              </w:rPr>
              <mc:AlternateContent>
                <mc:Choice Requires="wps">
                  <w:drawing>
                    <wp:anchor distT="0" distB="0" distL="114300" distR="114300" simplePos="0" relativeHeight="251663360" behindDoc="0" locked="0" layoutInCell="1" allowOverlap="1">
                      <wp:simplePos x="0" y="0"/>
                      <wp:positionH relativeFrom="column">
                        <wp:posOffset>34290</wp:posOffset>
                      </wp:positionH>
                      <wp:positionV relativeFrom="paragraph">
                        <wp:posOffset>114935</wp:posOffset>
                      </wp:positionV>
                      <wp:extent cx="5619750" cy="267335"/>
                      <wp:effectExtent l="9525" t="9525" r="9525" b="27940"/>
                      <wp:wrapNone/>
                      <wp:docPr id="11" name="矩形 11"/>
                      <wp:cNvGraphicFramePr/>
                      <a:graphic xmlns:a="http://schemas.openxmlformats.org/drawingml/2006/main">
                        <a:graphicData uri="http://schemas.microsoft.com/office/word/2010/wordprocessingShape">
                          <wps:wsp>
                            <wps:cNvSpPr/>
                            <wps:spPr>
                              <a:xfrm>
                                <a:off x="1175385" y="1524635"/>
                                <a:ext cx="5619750" cy="267335"/>
                              </a:xfrm>
                              <a:prstGeom prst="rect">
                                <a:avLst/>
                              </a:prstGeom>
                              <a:noFill/>
                              <a:ln w="19050">
                                <a:solidFill>
                                  <a:srgbClr val="FF00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7pt;margin-top:9.05pt;height:21.05pt;width:442.5pt;z-index:251663360;v-text-anchor:middle;mso-width-relative:page;mso-height-relative:page;" filled="f" stroked="t" coordsize="21600,21600" o:gfxdata="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">
                      <v:fill on="f" focussize="0,0"/>
                      <v:stroke weight="1.5pt" color="#FF0000 [2404]" miterlimit="8" joinstyle="miter"/>
                      <v:imagedata o:title=""/>
                      <o:lock v:ext="edit" aspectratio="f"/>
                    </v:rect>
                  </w:pict>
                </mc:Fallback>
              </mc:AlternateContent>
            </w:r>
          </w:p>
          <w:p>
            <w:pPr>
              <w:pStyle w:val="25"/>
              <w:bidi w:val="0"/>
              <w:rPr>
                <w:rFonts w:hint="eastAsia"/>
                <w:b/>
                <w:bCs/>
                <w:highlight w:val="none"/>
                <w:lang w:val="en-US" w:eastAsia="zh-CN"/>
              </w:rPr>
            </w:pPr>
          </w:p>
          <w:p>
            <w:pPr>
              <w:pStyle w:val="25"/>
              <w:bidi w:val="0"/>
              <w:rPr>
                <w:rFonts w:hint="eastAsia"/>
                <w:b/>
                <w:bCs/>
                <w:highlight w:val="none"/>
                <w:lang w:val="en-US" w:eastAsia="zh-CN"/>
              </w:rPr>
            </w:pPr>
          </w:p>
          <w:p>
            <w:pPr>
              <w:pStyle w:val="25"/>
              <w:bidi w:val="0"/>
              <w:rPr>
                <w:rFonts w:hint="eastAsia"/>
                <w:b/>
                <w:bCs/>
                <w:highlight w:val="none"/>
                <w:lang w:val="en-US" w:eastAsia="zh-CN"/>
              </w:rPr>
            </w:pPr>
          </w:p>
          <w:p>
            <w:pPr>
              <w:pStyle w:val="25"/>
              <w:bidi w:val="0"/>
              <w:rPr>
                <w:rFonts w:hint="eastAsia"/>
                <w:b/>
                <w:bCs/>
                <w:highlight w:val="none"/>
                <w:lang w:val="en-US" w:eastAsia="zh-CN"/>
              </w:rPr>
            </w:pPr>
          </w:p>
          <w:p>
            <w:pPr>
              <w:pStyle w:val="25"/>
              <w:bidi w:val="0"/>
              <w:rPr>
                <w:rFonts w:hint="eastAsia"/>
                <w:b/>
                <w:bCs/>
                <w:highlight w:val="none"/>
                <w:lang w:val="en-US" w:eastAsia="zh-CN"/>
              </w:rPr>
            </w:pPr>
          </w:p>
          <w:p>
            <w:pPr>
              <w:pStyle w:val="25"/>
              <w:bidi w:val="0"/>
              <w:rPr>
                <w:rFonts w:hint="eastAsia"/>
                <w:b/>
                <w:bCs/>
                <w:highlight w:val="none"/>
                <w:lang w:val="en-US" w:eastAsia="zh-CN"/>
              </w:rPr>
            </w:pPr>
          </w:p>
          <w:p>
            <w:pPr>
              <w:pStyle w:val="25"/>
              <w:bidi w:val="0"/>
              <w:rPr>
                <w:rFonts w:hint="eastAsia"/>
                <w:b/>
                <w:bCs/>
                <w:highlight w:val="none"/>
                <w:lang w:val="en-US" w:eastAsia="zh-CN"/>
              </w:rPr>
            </w:pPr>
          </w:p>
          <w:p>
            <w:pPr>
              <w:pStyle w:val="25"/>
              <w:bidi w:val="0"/>
              <w:rPr>
                <w:rFonts w:hint="eastAsia"/>
                <w:b/>
                <w:bCs/>
                <w:highlight w:val="none"/>
                <w:lang w:val="en-US" w:eastAsia="zh-CN"/>
              </w:rPr>
            </w:pPr>
          </w:p>
          <w:p>
            <w:pPr>
              <w:pStyle w:val="25"/>
              <w:bidi w:val="0"/>
              <w:rPr>
                <w:rFonts w:hint="eastAsia"/>
                <w:color w:val="auto"/>
              </w:rPr>
            </w:pPr>
          </w:p>
          <w:p>
            <w:pPr>
              <w:pStyle w:val="25"/>
              <w:bidi w:val="0"/>
              <w:rPr>
                <w:rFonts w:hint="eastAsia"/>
                <w:color w:val="auto"/>
              </w:rPr>
            </w:pPr>
          </w:p>
          <w:p>
            <w:pPr>
              <w:pStyle w:val="25"/>
              <w:bidi w:val="0"/>
              <w:rPr>
                <w:rFonts w:hint="eastAsia"/>
                <w:color w:val="auto"/>
              </w:rPr>
            </w:pPr>
          </w:p>
          <w:p>
            <w:pPr>
              <w:pStyle w:val="25"/>
              <w:bidi w:val="0"/>
              <w:rPr>
                <w:rFonts w:hint="eastAsia"/>
                <w:b/>
                <w:bCs/>
                <w:highlight w:val="none"/>
                <w:lang w:val="en-US" w:eastAsia="zh-CN"/>
              </w:rPr>
            </w:pPr>
            <w:r>
              <w:rPr>
                <w:rFonts w:hint="eastAsia"/>
                <w:color w:val="auto"/>
              </w:rPr>
              <w:t>根据衡阳市生态环境局发布的《衡阳市生态环境保护局关于</w:t>
            </w:r>
            <w:r>
              <w:rPr>
                <w:color w:val="auto"/>
              </w:rPr>
              <w:t>202</w:t>
            </w:r>
            <w:r>
              <w:rPr>
                <w:rFonts w:hint="eastAsia"/>
                <w:color w:val="auto"/>
                <w:lang w:val="en-US" w:eastAsia="zh-CN"/>
              </w:rPr>
              <w:t>2</w:t>
            </w:r>
            <w:r>
              <w:rPr>
                <w:rFonts w:hint="eastAsia"/>
                <w:color w:val="auto"/>
              </w:rPr>
              <w:t>年</w:t>
            </w:r>
            <w:r>
              <w:rPr>
                <w:color w:val="auto"/>
              </w:rPr>
              <w:t>12</w:t>
            </w:r>
            <w:r>
              <w:rPr>
                <w:rFonts w:hint="eastAsia"/>
                <w:color w:val="auto"/>
              </w:rPr>
              <w:t>月及</w:t>
            </w:r>
            <w:r>
              <w:rPr>
                <w:color w:val="auto"/>
              </w:rPr>
              <w:t>1-12</w:t>
            </w:r>
            <w:r>
              <w:rPr>
                <w:rFonts w:hint="eastAsia"/>
                <w:color w:val="auto"/>
              </w:rPr>
              <w:t>月全市环境质量状况的通报》，</w:t>
            </w:r>
            <w:r>
              <w:rPr>
                <w:rFonts w:hint="eastAsia"/>
                <w:color w:val="auto"/>
                <w:lang w:val="en-US" w:eastAsia="zh-CN"/>
              </w:rPr>
              <w:t>纳污水体下游</w:t>
            </w:r>
            <w:r>
              <w:rPr>
                <w:rFonts w:hint="eastAsia"/>
                <w:color w:val="auto"/>
              </w:rPr>
              <w:t>管山村断面（湘江）202</w:t>
            </w:r>
            <w:r>
              <w:rPr>
                <w:rFonts w:hint="eastAsia"/>
                <w:color w:val="auto"/>
                <w:lang w:val="en-US" w:eastAsia="zh-CN"/>
              </w:rPr>
              <w:t>2</w:t>
            </w:r>
            <w:r>
              <w:rPr>
                <w:rFonts w:hint="eastAsia"/>
                <w:color w:val="auto"/>
              </w:rPr>
              <w:t>年1~12月水质满足《地表水环境质量标准》（GB3838-2002）Ⅱ标准要求</w:t>
            </w:r>
            <w:r>
              <w:rPr>
                <w:rFonts w:hint="eastAsia"/>
                <w:color w:val="auto"/>
                <w:lang w:eastAsia="zh-CN"/>
              </w:rPr>
              <w:t>，</w:t>
            </w:r>
            <w:r>
              <w:rPr>
                <w:rFonts w:hint="eastAsia"/>
                <w:color w:val="auto"/>
                <w:lang w:val="en-US" w:eastAsia="zh-CN"/>
              </w:rPr>
              <w:t>白河入湘江口（湘江白河）</w:t>
            </w:r>
            <w:r>
              <w:rPr>
                <w:rFonts w:hint="eastAsia"/>
                <w:color w:val="auto"/>
              </w:rPr>
              <w:t>202</w:t>
            </w:r>
            <w:r>
              <w:rPr>
                <w:rFonts w:hint="eastAsia"/>
                <w:color w:val="auto"/>
                <w:lang w:val="en-US" w:eastAsia="zh-CN"/>
              </w:rPr>
              <w:t>2</w:t>
            </w:r>
            <w:r>
              <w:rPr>
                <w:rFonts w:hint="eastAsia"/>
                <w:color w:val="auto"/>
              </w:rPr>
              <w:t>年1~12月水质满足《地表水环境质量标准》（GB3838-2002）</w:t>
            </w:r>
            <w:r>
              <w:rPr>
                <w:rFonts w:hint="default" w:ascii="Times New Roman" w:hAnsi="Times New Roman" w:cs="Times New Roman"/>
                <w:color w:val="auto"/>
              </w:rPr>
              <w:t>Ⅲ</w:t>
            </w:r>
            <w:r>
              <w:rPr>
                <w:rFonts w:hint="eastAsia"/>
                <w:color w:val="auto"/>
              </w:rPr>
              <w:t>标准要求</w:t>
            </w:r>
            <w:r>
              <w:rPr>
                <w:rFonts w:hint="eastAsia"/>
                <w:color w:val="auto"/>
                <w:lang w:eastAsia="zh-CN"/>
              </w:rPr>
              <w:t>。</w:t>
            </w:r>
          </w:p>
          <w:p>
            <w:pPr>
              <w:pStyle w:val="25"/>
              <w:bidi w:val="0"/>
              <w:rPr>
                <w:rFonts w:hint="eastAsia" w:eastAsia="宋体"/>
                <w:highlight w:val="none"/>
                <w:lang w:val="en-US" w:eastAsia="zh-CN"/>
              </w:rPr>
            </w:pPr>
            <w:r>
              <w:rPr>
                <w:rFonts w:hint="eastAsia"/>
                <w:b/>
                <w:bCs/>
                <w:highlight w:val="none"/>
                <w:lang w:val="en-US" w:eastAsia="zh-CN"/>
              </w:rPr>
              <w:t>3、声环境质量现状</w:t>
            </w:r>
          </w:p>
          <w:p>
            <w:pPr>
              <w:pStyle w:val="25"/>
              <w:bidi w:val="0"/>
              <w:rPr>
                <w:rFonts w:hint="eastAsia" w:ascii="Times New Roman" w:hAnsi="Times New Roman" w:eastAsia="宋体" w:cs="Times New Roman"/>
                <w:color w:val="auto"/>
                <w:lang w:val="en-US" w:eastAsia="zh-CN"/>
              </w:rPr>
            </w:pPr>
            <w:r>
              <w:rPr>
                <w:rFonts w:hint="eastAsia" w:ascii="Times New Roman" w:hAnsi="Times New Roman" w:eastAsia="宋体" w:cs="Times New Roman"/>
                <w:color w:val="auto"/>
                <w:lang w:val="en-US" w:eastAsia="zh-CN"/>
              </w:rPr>
              <w:t>项目场界外周边50m范围内无声环境保护目标，参照《建设项目环境影响报告表编制技术指南（污染影响类）》（试行），本项目无需监测声环境。</w:t>
            </w:r>
          </w:p>
          <w:p>
            <w:pPr>
              <w:pStyle w:val="25"/>
              <w:bidi w:val="0"/>
              <w:rPr>
                <w:rFonts w:hint="default"/>
                <w:lang w:val="en-US" w:eastAsia="zh-CN"/>
              </w:rPr>
            </w:pPr>
            <w:r>
              <w:rPr>
                <w:rFonts w:hint="eastAsia"/>
                <w:b/>
                <w:bCs/>
                <w:lang w:val="en-US" w:eastAsia="zh-CN"/>
              </w:rPr>
              <w:t>4、生态环境现状</w:t>
            </w:r>
          </w:p>
          <w:p>
            <w:pPr>
              <w:pStyle w:val="25"/>
              <w:bidi w:val="0"/>
            </w:pPr>
            <w:r>
              <w:t>根据《建设项目环境影响报告表编制技术指南(污染影响类)》，产业园区外建设项目新增用地且用地范围内含有生态环境保护目标时，应进行生态现状调查。本项目位于</w:t>
            </w:r>
            <w:r>
              <w:rPr>
                <w:rFonts w:hint="eastAsia"/>
              </w:rPr>
              <w:t>归阳工业园</w:t>
            </w:r>
            <w:r>
              <w:t>，根据《建设项目环境影响报告表编制技术指南（污染影响类）》（试行），不对生态环境质量现状进行评价分析。</w:t>
            </w:r>
          </w:p>
          <w:p>
            <w:pPr>
              <w:pStyle w:val="25"/>
              <w:bidi w:val="0"/>
              <w:rPr>
                <w:rFonts w:hint="eastAsia" w:ascii="Times New Roman" w:hAnsi="Times New Roman" w:eastAsia="宋体" w:cs="Times New Roman"/>
                <w:b/>
                <w:bCs/>
                <w:lang w:val="en-US" w:eastAsia="zh-CN"/>
              </w:rPr>
            </w:pPr>
            <w:r>
              <w:rPr>
                <w:rFonts w:hint="eastAsia" w:ascii="Times New Roman" w:hAnsi="Times New Roman" w:eastAsia="宋体" w:cs="Times New Roman"/>
                <w:b/>
                <w:bCs/>
                <w:lang w:val="en-US" w:eastAsia="zh-CN"/>
              </w:rPr>
              <w:t>5、土壤和地下水环境现状调查与评价</w:t>
            </w:r>
          </w:p>
          <w:p>
            <w:pPr>
              <w:pStyle w:val="25"/>
              <w:bidi w:val="0"/>
              <w:rPr>
                <w:bCs/>
                <w:color w:val="000000"/>
                <w:szCs w:val="21"/>
                <w:highlight w:val="none"/>
              </w:rPr>
            </w:pPr>
            <w:r>
              <w:rPr>
                <w:bCs/>
                <w:color w:val="000000"/>
                <w:szCs w:val="21"/>
                <w:highlight w:val="none"/>
              </w:rPr>
              <w:t>根据生态环境部办公厅2020年12月24日印发的《建设项目环境影响报告表编制技术指南（污染影响类）（试行）》中的要求：“地下水、土壤环境。原则上不开展环境质量现状调查。建设项目存在土壤、地下水环境污染途径的，应结合污染源、保护目标分布情况开展现状调查以留作背景值。”，结合本项目工程分析，项目不存在土壤、地下水环境污染途径，因此，可不开展土壤、地下水环境质量现状调查。</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457" w:hRule="atLeast"/>
          <w:jc w:val="center"/>
        </w:trPr>
        <w:tc>
          <w:tcPr>
            <w:tcW w:w="475" w:type="dxa"/>
            <w:noWrap w:val="0"/>
            <w:vAlign w:val="center"/>
          </w:tcPr>
          <w:p>
            <w:pPr>
              <w:adjustRightInd w:val="0"/>
              <w:snapToGrid w:val="0"/>
              <w:jc w:val="center"/>
              <w:rPr>
                <w:rFonts w:hint="eastAsia" w:ascii="宋体" w:hAnsi="宋体" w:cs="宋体"/>
                <w:kern w:val="0"/>
                <w:szCs w:val="21"/>
              </w:rPr>
            </w:pPr>
            <w:r>
              <w:rPr>
                <w:rFonts w:hint="eastAsia" w:ascii="宋体" w:hAnsi="宋体" w:cs="宋体"/>
                <w:kern w:val="0"/>
                <w:szCs w:val="21"/>
              </w:rPr>
              <w:t>环境</w:t>
            </w:r>
          </w:p>
          <w:p>
            <w:pPr>
              <w:adjustRightInd w:val="0"/>
              <w:snapToGrid w:val="0"/>
              <w:jc w:val="center"/>
              <w:rPr>
                <w:rFonts w:hint="eastAsia" w:ascii="宋体" w:hAnsi="宋体" w:cs="宋体"/>
                <w:kern w:val="0"/>
                <w:szCs w:val="21"/>
              </w:rPr>
            </w:pPr>
            <w:r>
              <w:rPr>
                <w:rFonts w:hint="eastAsia" w:ascii="宋体" w:hAnsi="宋体" w:cs="宋体"/>
                <w:kern w:val="0"/>
                <w:szCs w:val="21"/>
              </w:rPr>
              <w:t>保护</w:t>
            </w:r>
          </w:p>
          <w:p>
            <w:pPr>
              <w:adjustRightInd w:val="0"/>
              <w:snapToGrid w:val="0"/>
              <w:jc w:val="center"/>
              <w:rPr>
                <w:rFonts w:hint="eastAsia" w:ascii="宋体" w:hAnsi="宋体" w:cs="宋体"/>
                <w:kern w:val="0"/>
                <w:szCs w:val="21"/>
              </w:rPr>
            </w:pPr>
            <w:r>
              <w:rPr>
                <w:rFonts w:hint="eastAsia" w:ascii="宋体" w:hAnsi="宋体" w:cs="宋体"/>
                <w:kern w:val="0"/>
                <w:szCs w:val="21"/>
              </w:rPr>
              <w:t>目标</w:t>
            </w:r>
          </w:p>
        </w:tc>
        <w:tc>
          <w:tcPr>
            <w:tcW w:w="8409" w:type="dxa"/>
            <w:noWrap w:val="0"/>
            <w:vAlign w:val="top"/>
          </w:tcPr>
          <w:p>
            <w:pPr>
              <w:pStyle w:val="25"/>
              <w:bidi w:val="0"/>
              <w:rPr>
                <w:rFonts w:hint="eastAsia"/>
                <w:lang w:val="en-US" w:eastAsia="zh-CN"/>
              </w:rPr>
            </w:pPr>
            <w:r>
              <w:rPr>
                <w:rFonts w:hint="eastAsia"/>
                <w:b/>
                <w:bCs/>
                <w:lang w:val="en-US" w:eastAsia="zh-CN"/>
              </w:rPr>
              <w:t>1、大气环境保护目标</w:t>
            </w:r>
          </w:p>
          <w:p>
            <w:pPr>
              <w:pStyle w:val="25"/>
              <w:bidi w:val="0"/>
              <w:rPr>
                <w:rFonts w:hint="eastAsia" w:ascii="宋体" w:hAnsi="宋体" w:eastAsia="宋体" w:cs="宋体"/>
                <w:lang w:val="en-US" w:eastAsia="zh-CN"/>
              </w:rPr>
            </w:pPr>
            <w:r>
              <w:rPr>
                <w:rFonts w:hint="eastAsia"/>
                <w:lang w:eastAsia="zh-CN"/>
              </w:rPr>
              <w:t>本项目</w:t>
            </w:r>
            <w:r>
              <w:rPr>
                <w:rFonts w:hint="eastAsia"/>
                <w:lang w:val="en-US" w:eastAsia="zh-CN"/>
              </w:rPr>
              <w:t>500m范围内大气环境保护目标情况见下表</w:t>
            </w:r>
            <w:r>
              <w:rPr>
                <w:rFonts w:hint="eastAsia" w:ascii="宋体" w:hAnsi="宋体" w:eastAsia="宋体" w:cs="宋体"/>
                <w:lang w:val="en-US" w:eastAsia="zh-CN"/>
              </w:rPr>
              <w:t>。</w:t>
            </w:r>
          </w:p>
          <w:p>
            <w:pPr>
              <w:pStyle w:val="27"/>
              <w:bidi w:val="0"/>
              <w:spacing w:line="240" w:lineRule="auto"/>
              <w:jc w:val="center"/>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表3-5 大气环境保护目标情况</w:t>
            </w:r>
          </w:p>
          <w:tbl>
            <w:tblPr>
              <w:tblStyle w:val="18"/>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346"/>
              <w:gridCol w:w="2418"/>
              <w:gridCol w:w="1299"/>
              <w:gridCol w:w="1759"/>
              <w:gridCol w:w="1144"/>
              <w:gridCol w:w="81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76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环保目标</w:t>
                  </w:r>
                </w:p>
              </w:tc>
              <w:tc>
                <w:tcPr>
                  <w:tcW w:w="137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坐标</w:t>
                  </w:r>
                </w:p>
              </w:tc>
              <w:tc>
                <w:tcPr>
                  <w:tcW w:w="73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规模</w:t>
                  </w:r>
                </w:p>
              </w:tc>
              <w:tc>
                <w:tcPr>
                  <w:tcW w:w="100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方位</w:t>
                  </w:r>
                  <w:r>
                    <w:rPr>
                      <w:rFonts w:hint="eastAsia" w:ascii="Times New Roman" w:hAnsi="Times New Roman" w:eastAsia="宋体" w:cs="Times New Roman"/>
                      <w:b w:val="0"/>
                      <w:bCs w:val="0"/>
                      <w:color w:val="auto"/>
                      <w:sz w:val="21"/>
                      <w:szCs w:val="21"/>
                      <w:u w:color="auto"/>
                    </w:rPr>
                    <w:t>，</w:t>
                  </w:r>
                  <w:r>
                    <w:rPr>
                      <w:rFonts w:hint="default" w:ascii="Times New Roman" w:hAnsi="Times New Roman" w:eastAsia="宋体" w:cs="Times New Roman"/>
                      <w:b w:val="0"/>
                      <w:bCs w:val="0"/>
                      <w:color w:val="auto"/>
                      <w:sz w:val="21"/>
                      <w:szCs w:val="21"/>
                      <w:u w:color="auto"/>
                    </w:rPr>
                    <w:t>直线距离</w:t>
                  </w:r>
                </w:p>
              </w:tc>
              <w:tc>
                <w:tcPr>
                  <w:tcW w:w="65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环境功能</w:t>
                  </w:r>
                </w:p>
              </w:tc>
              <w:tc>
                <w:tcPr>
                  <w:tcW w:w="465"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保护级别</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76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归阳派出所</w:t>
                  </w:r>
                </w:p>
              </w:tc>
              <w:tc>
                <w:tcPr>
                  <w:tcW w:w="137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eastAsia"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经度：112.199374878</w:t>
                  </w:r>
                </w:p>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纬度：26.561967845</w:t>
                  </w:r>
                </w:p>
              </w:tc>
              <w:tc>
                <w:tcPr>
                  <w:tcW w:w="73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约30人</w:t>
                  </w:r>
                </w:p>
              </w:tc>
              <w:tc>
                <w:tcPr>
                  <w:tcW w:w="100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西北，265m</w:t>
                  </w:r>
                </w:p>
              </w:tc>
              <w:tc>
                <w:tcPr>
                  <w:tcW w:w="65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文化</w:t>
                  </w:r>
                  <w:r>
                    <w:rPr>
                      <w:rFonts w:hint="default" w:ascii="Times New Roman" w:hAnsi="Times New Roman" w:eastAsia="宋体" w:cs="Times New Roman"/>
                      <w:b w:val="0"/>
                      <w:bCs w:val="0"/>
                      <w:color w:val="auto"/>
                      <w:sz w:val="21"/>
                      <w:szCs w:val="21"/>
                      <w:u w:color="auto"/>
                    </w:rPr>
                    <w:t>区</w:t>
                  </w:r>
                </w:p>
              </w:tc>
              <w:tc>
                <w:tcPr>
                  <w:tcW w:w="465"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lang w:val="en-US" w:eastAsia="zh-CN"/>
                    </w:rPr>
                  </w:pPr>
                  <w:r>
                    <w:rPr>
                      <w:rFonts w:hint="default" w:ascii="Times New Roman" w:hAnsi="Times New Roman" w:eastAsia="宋体" w:cs="Times New Roman"/>
                      <w:b w:val="0"/>
                      <w:bCs w:val="0"/>
                      <w:color w:val="auto"/>
                      <w:sz w:val="21"/>
                      <w:szCs w:val="21"/>
                      <w:u w:color="auto"/>
                    </w:rPr>
                    <w:t>二级</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76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龙家湾</w:t>
                  </w:r>
                </w:p>
              </w:tc>
              <w:tc>
                <w:tcPr>
                  <w:tcW w:w="137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经度：112.201048577</w:t>
                  </w:r>
                </w:p>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纬度：26.556689257</w:t>
                  </w:r>
                </w:p>
              </w:tc>
              <w:tc>
                <w:tcPr>
                  <w:tcW w:w="73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约40户，120人</w:t>
                  </w:r>
                </w:p>
              </w:tc>
              <w:tc>
                <w:tcPr>
                  <w:tcW w:w="100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西南，430m</w:t>
                  </w:r>
                </w:p>
              </w:tc>
              <w:tc>
                <w:tcPr>
                  <w:tcW w:w="65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lang w:val="en-US" w:eastAsia="zh-CN"/>
                    </w:rPr>
                  </w:pPr>
                  <w:r>
                    <w:rPr>
                      <w:rFonts w:hint="default" w:ascii="Times New Roman" w:hAnsi="Times New Roman" w:eastAsia="宋体" w:cs="Times New Roman"/>
                      <w:b w:val="0"/>
                      <w:bCs w:val="0"/>
                      <w:color w:val="auto"/>
                      <w:sz w:val="21"/>
                      <w:szCs w:val="21"/>
                      <w:u w:color="auto"/>
                    </w:rPr>
                    <w:t>居住区</w:t>
                  </w:r>
                </w:p>
              </w:tc>
              <w:tc>
                <w:tcPr>
                  <w:tcW w:w="465"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lang w:val="en-US" w:eastAsia="zh-CN"/>
                    </w:rPr>
                  </w:pPr>
                  <w:r>
                    <w:rPr>
                      <w:rFonts w:hint="default" w:ascii="Times New Roman" w:hAnsi="Times New Roman" w:eastAsia="宋体" w:cs="Times New Roman"/>
                      <w:b w:val="0"/>
                      <w:bCs w:val="0"/>
                      <w:color w:val="auto"/>
                      <w:sz w:val="21"/>
                      <w:szCs w:val="21"/>
                      <w:u w:color="auto"/>
                    </w:rPr>
                    <w:t>二级</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76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沙子岭（园区宿舍）</w:t>
                  </w:r>
                </w:p>
              </w:tc>
              <w:tc>
                <w:tcPr>
                  <w:tcW w:w="137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经度：112.198570216</w:t>
                  </w:r>
                </w:p>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纬度：26.560390706</w:t>
                  </w:r>
                </w:p>
              </w:tc>
              <w:tc>
                <w:tcPr>
                  <w:tcW w:w="73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约120人</w:t>
                  </w:r>
                </w:p>
              </w:tc>
              <w:tc>
                <w:tcPr>
                  <w:tcW w:w="100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西，</w:t>
                  </w:r>
                  <w:r>
                    <w:rPr>
                      <w:rFonts w:hint="eastAsia" w:cs="Times New Roman"/>
                      <w:b w:val="0"/>
                      <w:bCs w:val="0"/>
                      <w:color w:val="auto"/>
                      <w:sz w:val="21"/>
                      <w:szCs w:val="21"/>
                      <w:u w:color="auto"/>
                      <w:lang w:val="en-US" w:eastAsia="zh-CN"/>
                    </w:rPr>
                    <w:t>330</w:t>
                  </w:r>
                  <w:r>
                    <w:rPr>
                      <w:rFonts w:hint="eastAsia" w:ascii="Times New Roman" w:hAnsi="Times New Roman" w:eastAsia="宋体" w:cs="Times New Roman"/>
                      <w:b w:val="0"/>
                      <w:bCs w:val="0"/>
                      <w:color w:val="auto"/>
                      <w:sz w:val="21"/>
                      <w:szCs w:val="21"/>
                      <w:u w:color="auto"/>
                      <w:lang w:val="en-US" w:eastAsia="zh-CN"/>
                    </w:rPr>
                    <w:t>m</w:t>
                  </w:r>
                </w:p>
              </w:tc>
              <w:tc>
                <w:tcPr>
                  <w:tcW w:w="65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lang w:val="en-US" w:eastAsia="zh-CN"/>
                    </w:rPr>
                  </w:pPr>
                  <w:r>
                    <w:rPr>
                      <w:rFonts w:hint="default" w:ascii="Times New Roman" w:hAnsi="Times New Roman" w:eastAsia="宋体" w:cs="Times New Roman"/>
                      <w:b w:val="0"/>
                      <w:bCs w:val="0"/>
                      <w:color w:val="auto"/>
                      <w:sz w:val="21"/>
                      <w:szCs w:val="21"/>
                      <w:u w:color="auto"/>
                    </w:rPr>
                    <w:t>居住区</w:t>
                  </w:r>
                </w:p>
              </w:tc>
              <w:tc>
                <w:tcPr>
                  <w:tcW w:w="465"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lang w:val="en-US" w:eastAsia="zh-CN"/>
                    </w:rPr>
                  </w:pPr>
                  <w:r>
                    <w:rPr>
                      <w:rFonts w:hint="default" w:ascii="Times New Roman" w:hAnsi="Times New Roman" w:eastAsia="宋体" w:cs="Times New Roman"/>
                      <w:b w:val="0"/>
                      <w:bCs w:val="0"/>
                      <w:color w:val="auto"/>
                      <w:sz w:val="21"/>
                      <w:szCs w:val="21"/>
                      <w:u w:color="auto"/>
                    </w:rPr>
                    <w:t>二级</w:t>
                  </w:r>
                </w:p>
              </w:tc>
            </w:tr>
          </w:tbl>
          <w:p>
            <w:pPr>
              <w:pStyle w:val="25"/>
              <w:bidi w:val="0"/>
              <w:rPr>
                <w:rFonts w:hint="eastAsia"/>
                <w:lang w:val="en-US" w:eastAsia="zh-CN"/>
              </w:rPr>
            </w:pPr>
            <w:r>
              <w:rPr>
                <w:rFonts w:hint="eastAsia"/>
                <w:b/>
                <w:bCs/>
                <w:lang w:val="en-US" w:eastAsia="zh-CN"/>
              </w:rPr>
              <w:t>2、声环境保护目标</w:t>
            </w:r>
          </w:p>
          <w:p>
            <w:pPr>
              <w:pStyle w:val="25"/>
              <w:bidi w:val="0"/>
              <w:rPr>
                <w:rFonts w:hint="eastAsia" w:ascii="宋体" w:hAnsi="宋体" w:eastAsia="宋体" w:cs="宋体"/>
                <w:lang w:val="en-US" w:eastAsia="zh-CN"/>
              </w:rPr>
            </w:pPr>
            <w:r>
              <w:rPr>
                <w:rFonts w:hint="eastAsia" w:ascii="宋体" w:hAnsi="宋体" w:eastAsia="宋体" w:cs="宋体"/>
                <w:lang w:val="en-US" w:eastAsia="zh-CN"/>
              </w:rPr>
              <w:t>项目场界外周边</w:t>
            </w:r>
            <w:r>
              <w:rPr>
                <w:rFonts w:hint="default" w:ascii="Times New Roman" w:hAnsi="Times New Roman" w:eastAsia="宋体" w:cs="Times New Roman"/>
                <w:lang w:val="en-US" w:eastAsia="zh-CN"/>
              </w:rPr>
              <w:t>50m</w:t>
            </w:r>
            <w:r>
              <w:rPr>
                <w:rFonts w:hint="eastAsia" w:ascii="宋体" w:hAnsi="宋体" w:eastAsia="宋体" w:cs="宋体"/>
                <w:lang w:val="en-US" w:eastAsia="zh-CN"/>
              </w:rPr>
              <w:t>范围内无声环境保护目标</w:t>
            </w:r>
            <w:r>
              <w:rPr>
                <w:rFonts w:hint="eastAsia" w:ascii="宋体" w:hAnsi="宋体" w:cs="宋体"/>
                <w:lang w:val="en-US" w:eastAsia="zh-CN"/>
              </w:rPr>
              <w:t>。</w:t>
            </w:r>
          </w:p>
          <w:p>
            <w:pPr>
              <w:pStyle w:val="25"/>
              <w:bidi w:val="0"/>
              <w:rPr>
                <w:rFonts w:hint="eastAsia" w:eastAsia="宋体"/>
                <w:lang w:val="en-US" w:eastAsia="zh-CN"/>
              </w:rPr>
            </w:pPr>
            <w:r>
              <w:rPr>
                <w:rFonts w:hint="eastAsia"/>
                <w:b/>
                <w:bCs/>
                <w:lang w:val="en-US" w:eastAsia="zh-CN"/>
              </w:rPr>
              <w:t>3、地下水环境保护目标</w:t>
            </w:r>
          </w:p>
          <w:p>
            <w:pPr>
              <w:pStyle w:val="25"/>
              <w:bidi w:val="0"/>
            </w:pPr>
            <w:r>
              <w:rPr>
                <w:rFonts w:hint="default" w:ascii="Times New Roman" w:hAnsi="Times New Roman" w:cs="Times New Roman"/>
                <w:color w:val="auto"/>
              </w:rPr>
              <w:t>本项目厂界外500m范围内无地下水集中式饮用水水源和热水、矿泉水、温泉等特殊地下水资源</w:t>
            </w:r>
            <w:r>
              <w:rPr>
                <w:rFonts w:hint="eastAsia" w:ascii="宋体" w:hAnsi="宋体" w:eastAsia="宋体" w:cs="宋体"/>
                <w:color w:val="auto"/>
              </w:rPr>
              <w:t>。</w:t>
            </w:r>
          </w:p>
          <w:p>
            <w:pPr>
              <w:pStyle w:val="25"/>
              <w:bidi w:val="0"/>
              <w:rPr>
                <w:rFonts w:hint="eastAsia" w:eastAsia="宋体"/>
                <w:lang w:val="en-US" w:eastAsia="zh-CN"/>
              </w:rPr>
            </w:pPr>
            <w:r>
              <w:rPr>
                <w:rFonts w:hint="eastAsia"/>
                <w:b/>
                <w:bCs/>
                <w:lang w:val="en-US" w:eastAsia="zh-CN"/>
              </w:rPr>
              <w:t>4、生态环境保护目标</w:t>
            </w:r>
          </w:p>
          <w:p>
            <w:pPr>
              <w:pStyle w:val="25"/>
              <w:bidi w:val="0"/>
              <w:rPr>
                <w:rFonts w:hint="eastAsia" w:ascii="宋体" w:hAnsi="宋体" w:eastAsia="宋体" w:cs="宋体"/>
                <w:lang w:val="en-US" w:eastAsia="zh-CN"/>
              </w:rPr>
            </w:pPr>
            <w:r>
              <w:rPr>
                <w:rFonts w:hint="eastAsia"/>
                <w:lang w:eastAsia="zh-CN"/>
              </w:rPr>
              <w:t>根据现场踏勘情况</w:t>
            </w:r>
            <w:r>
              <w:rPr>
                <w:rFonts w:hint="eastAsia" w:ascii="宋体" w:hAnsi="宋体" w:eastAsia="宋体" w:cs="宋体"/>
                <w:lang w:eastAsia="zh-CN"/>
              </w:rPr>
              <w:t>，</w:t>
            </w:r>
            <w:r>
              <w:rPr>
                <w:color w:val="000000"/>
                <w:highlight w:val="none"/>
              </w:rPr>
              <w:t>本项目位于</w:t>
            </w:r>
            <w:r>
              <w:rPr>
                <w:rFonts w:hint="eastAsia"/>
                <w:color w:val="000000"/>
                <w:highlight w:val="none"/>
              </w:rPr>
              <w:t>归阳工业园</w:t>
            </w:r>
            <w:r>
              <w:rPr>
                <w:color w:val="000000"/>
                <w:highlight w:val="none"/>
              </w:rPr>
              <w:t>，且用地范围内不含生态环境保护目标</w:t>
            </w:r>
            <w:r>
              <w:rPr>
                <w:rFonts w:hint="eastAsia"/>
                <w:color w:val="000000"/>
                <w:highlight w:val="none"/>
                <w:lang w:eastAsia="zh-CN"/>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180" w:hRule="atLeast"/>
          <w:jc w:val="center"/>
        </w:trPr>
        <w:tc>
          <w:tcPr>
            <w:tcW w:w="475" w:type="dxa"/>
            <w:noWrap w:val="0"/>
            <w:vAlign w:val="center"/>
          </w:tcPr>
          <w:p>
            <w:pPr>
              <w:adjustRightInd w:val="0"/>
              <w:snapToGrid w:val="0"/>
              <w:jc w:val="center"/>
              <w:rPr>
                <w:rFonts w:hint="eastAsia" w:ascii="宋体" w:hAnsi="宋体" w:cs="宋体"/>
                <w:kern w:val="0"/>
                <w:szCs w:val="21"/>
              </w:rPr>
            </w:pPr>
            <w:r>
              <w:rPr>
                <w:rFonts w:hint="eastAsia" w:ascii="宋体" w:hAnsi="宋体" w:cs="宋体"/>
                <w:kern w:val="0"/>
                <w:szCs w:val="21"/>
              </w:rPr>
              <w:t>污染</w:t>
            </w:r>
          </w:p>
          <w:p>
            <w:pPr>
              <w:adjustRightInd w:val="0"/>
              <w:snapToGrid w:val="0"/>
              <w:jc w:val="center"/>
              <w:rPr>
                <w:rFonts w:hint="eastAsia" w:ascii="宋体" w:hAnsi="宋体" w:cs="宋体"/>
                <w:kern w:val="0"/>
                <w:szCs w:val="21"/>
              </w:rPr>
            </w:pPr>
            <w:r>
              <w:rPr>
                <w:rFonts w:hint="eastAsia" w:ascii="宋体" w:hAnsi="宋体" w:cs="宋体"/>
                <w:kern w:val="0"/>
                <w:szCs w:val="21"/>
              </w:rPr>
              <w:t>物排</w:t>
            </w:r>
          </w:p>
          <w:p>
            <w:pPr>
              <w:adjustRightInd w:val="0"/>
              <w:snapToGrid w:val="0"/>
              <w:jc w:val="center"/>
              <w:rPr>
                <w:rFonts w:hint="eastAsia" w:ascii="宋体" w:hAnsi="宋体" w:cs="宋体"/>
                <w:kern w:val="0"/>
                <w:szCs w:val="21"/>
              </w:rPr>
            </w:pPr>
            <w:r>
              <w:rPr>
                <w:rFonts w:hint="eastAsia" w:ascii="宋体" w:hAnsi="宋体" w:cs="宋体"/>
                <w:kern w:val="0"/>
                <w:szCs w:val="21"/>
              </w:rPr>
              <w:t>放控</w:t>
            </w:r>
          </w:p>
          <w:p>
            <w:pPr>
              <w:adjustRightInd w:val="0"/>
              <w:snapToGrid w:val="0"/>
              <w:jc w:val="center"/>
              <w:rPr>
                <w:rFonts w:hint="eastAsia" w:ascii="宋体" w:hAnsi="宋体" w:cs="宋体"/>
                <w:kern w:val="0"/>
                <w:szCs w:val="21"/>
              </w:rPr>
            </w:pPr>
            <w:r>
              <w:rPr>
                <w:rFonts w:hint="eastAsia" w:ascii="宋体" w:hAnsi="宋体" w:cs="宋体"/>
                <w:kern w:val="0"/>
                <w:szCs w:val="21"/>
              </w:rPr>
              <w:t>制标</w:t>
            </w:r>
          </w:p>
          <w:p>
            <w:pPr>
              <w:adjustRightInd w:val="0"/>
              <w:snapToGrid w:val="0"/>
              <w:jc w:val="center"/>
              <w:rPr>
                <w:rFonts w:hint="eastAsia" w:ascii="宋体" w:hAnsi="宋体" w:cs="宋体"/>
                <w:kern w:val="0"/>
                <w:szCs w:val="21"/>
              </w:rPr>
            </w:pPr>
            <w:r>
              <w:rPr>
                <w:rFonts w:hint="eastAsia" w:ascii="宋体" w:hAnsi="宋体" w:cs="宋体"/>
                <w:kern w:val="0"/>
                <w:szCs w:val="21"/>
              </w:rPr>
              <w:t>准</w:t>
            </w:r>
          </w:p>
        </w:tc>
        <w:tc>
          <w:tcPr>
            <w:tcW w:w="8409" w:type="dxa"/>
            <w:noWrap w:val="0"/>
            <w:vAlign w:val="top"/>
          </w:tcPr>
          <w:p>
            <w:pPr>
              <w:pStyle w:val="25"/>
              <w:bidi w:val="0"/>
              <w:rPr>
                <w:rFonts w:hint="eastAsia"/>
                <w:lang w:val="en-US" w:eastAsia="zh-CN"/>
              </w:rPr>
            </w:pPr>
            <w:r>
              <w:rPr>
                <w:rFonts w:hint="eastAsia"/>
                <w:b/>
                <w:bCs/>
                <w:lang w:val="en-US" w:eastAsia="zh-CN"/>
              </w:rPr>
              <w:t>1、废气</w:t>
            </w:r>
          </w:p>
          <w:p>
            <w:pPr>
              <w:pStyle w:val="25"/>
              <w:bidi w:val="0"/>
              <w:rPr>
                <w:rFonts w:hint="eastAsia"/>
                <w:lang w:val="en-US" w:eastAsia="zh-CN"/>
              </w:rPr>
            </w:pPr>
            <w:r>
              <w:rPr>
                <w:rFonts w:hint="eastAsia"/>
                <w:lang w:val="en-US" w:eastAsia="zh-CN"/>
              </w:rPr>
              <w:t>本项目施工期废气执行《大气污染物综合排放标准》（GB16297-1996）表2中标准</w:t>
            </w:r>
            <w:r>
              <w:rPr>
                <w:rFonts w:hint="eastAsia" w:ascii="宋体" w:hAnsi="宋体" w:eastAsia="宋体" w:cs="宋体"/>
                <w:lang w:val="en-US" w:eastAsia="zh-CN"/>
              </w:rPr>
              <w:t>。</w:t>
            </w:r>
            <w:r>
              <w:rPr>
                <w:rFonts w:hint="eastAsia"/>
                <w:lang w:val="en-US" w:eastAsia="zh-CN"/>
              </w:rPr>
              <w:t>详情见表3-6</w:t>
            </w:r>
            <w:r>
              <w:rPr>
                <w:rFonts w:hint="eastAsia" w:ascii="宋体" w:hAnsi="宋体" w:eastAsia="宋体" w:cs="宋体"/>
                <w:lang w:val="en-US" w:eastAsia="zh-CN"/>
              </w:rPr>
              <w:t>。</w:t>
            </w:r>
          </w:p>
          <w:p>
            <w:pPr>
              <w:pStyle w:val="27"/>
              <w:bidi w:val="0"/>
              <w:spacing w:line="240" w:lineRule="auto"/>
              <w:jc w:val="center"/>
              <w:rPr>
                <w:rFonts w:hint="eastAsia" w:ascii="Times New Roman" w:hAnsi="Times New Roman" w:eastAsia="宋体" w:cs="Times New Roman"/>
                <w:lang w:val="en-US" w:eastAsia="zh-CN"/>
              </w:rPr>
            </w:pPr>
            <w:r>
              <w:rPr>
                <w:rFonts w:hint="eastAsia" w:ascii="Times New Roman" w:hAnsi="Times New Roman" w:eastAsia="宋体" w:cs="Times New Roman"/>
                <w:lang w:val="en-US" w:eastAsia="zh-CN"/>
              </w:rPr>
              <w:t>表3-6 施工期废气执行标准</w:t>
            </w:r>
          </w:p>
          <w:tbl>
            <w:tblPr>
              <w:tblStyle w:val="19"/>
              <w:tblW w:w="0" w:type="auto"/>
              <w:tblInd w:w="-11"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3987"/>
              <w:gridCol w:w="479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987"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eastAsia"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污染物名称</w:t>
                  </w:r>
                </w:p>
              </w:tc>
              <w:tc>
                <w:tcPr>
                  <w:tcW w:w="4798"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eastAsia"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无组织排放监控浓度限值（mg/m3）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987"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eastAsia"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颗粒物</w:t>
                  </w:r>
                </w:p>
              </w:tc>
              <w:tc>
                <w:tcPr>
                  <w:tcW w:w="4798"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1.0</w:t>
                  </w:r>
                </w:p>
              </w:tc>
            </w:tr>
          </w:tbl>
          <w:p>
            <w:pPr>
              <w:keepNext w:val="0"/>
              <w:keepLines w:val="0"/>
              <w:widowControl/>
              <w:suppressLineNumbers w:val="0"/>
              <w:ind w:firstLine="480" w:firstLineChars="200"/>
              <w:jc w:val="left"/>
              <w:rPr>
                <w:rFonts w:hint="default" w:ascii="Times New Roman" w:hAnsi="Times New Roman" w:eastAsia="宋体" w:cs="Times New Roman"/>
                <w:color w:val="auto"/>
                <w:kern w:val="0"/>
                <w:sz w:val="24"/>
                <w:szCs w:val="24"/>
                <w:u w:val="none" w:color="auto"/>
              </w:rPr>
            </w:pPr>
            <w:r>
              <w:rPr>
                <w:rFonts w:hint="eastAsia" w:ascii="Times New Roman" w:hAnsi="Times New Roman" w:eastAsia="宋体"/>
                <w:color w:val="auto"/>
                <w:kern w:val="0"/>
                <w:sz w:val="24"/>
                <w:szCs w:val="24"/>
                <w:u w:val="none" w:color="auto"/>
              </w:rPr>
              <w:t>本项</w:t>
            </w:r>
            <w:r>
              <w:rPr>
                <w:rFonts w:hint="eastAsia"/>
                <w:color w:val="auto"/>
                <w:kern w:val="0"/>
                <w:sz w:val="24"/>
                <w:szCs w:val="24"/>
                <w:u w:val="none" w:color="auto"/>
                <w:lang w:val="en-US" w:eastAsia="zh-CN"/>
              </w:rPr>
              <w:t>目运营期</w:t>
            </w:r>
            <w:r>
              <w:rPr>
                <w:rFonts w:hint="eastAsia" w:ascii="Times New Roman" w:hAnsi="Times New Roman" w:eastAsia="宋体"/>
                <w:color w:val="auto"/>
                <w:kern w:val="0"/>
                <w:sz w:val="24"/>
                <w:szCs w:val="24"/>
                <w:u w:val="none" w:color="auto"/>
              </w:rPr>
              <w:t>非甲烷总烃</w:t>
            </w:r>
            <w:r>
              <w:rPr>
                <w:rFonts w:hint="eastAsia"/>
                <w:color w:val="auto"/>
                <w:kern w:val="0"/>
                <w:sz w:val="24"/>
                <w:szCs w:val="24"/>
                <w:u w:val="none" w:color="auto"/>
                <w:lang w:eastAsia="zh-CN"/>
              </w:rPr>
              <w:t>、</w:t>
            </w:r>
            <w:r>
              <w:rPr>
                <w:rFonts w:hint="eastAsia"/>
                <w:color w:val="auto"/>
                <w:kern w:val="0"/>
                <w:sz w:val="24"/>
                <w:szCs w:val="24"/>
                <w:u w:val="none" w:color="auto"/>
                <w:lang w:val="en-US" w:eastAsia="zh-CN"/>
              </w:rPr>
              <w:t>颗粒物、氟化物</w:t>
            </w:r>
            <w:r>
              <w:rPr>
                <w:rFonts w:hint="eastAsia"/>
                <w:color w:val="auto"/>
                <w:kern w:val="0"/>
                <w:sz w:val="24"/>
                <w:szCs w:val="24"/>
                <w:u w:val="none" w:color="auto"/>
                <w:lang w:eastAsia="zh-CN"/>
              </w:rPr>
              <w:t>排放</w:t>
            </w:r>
            <w:r>
              <w:rPr>
                <w:rFonts w:hint="eastAsia" w:ascii="Times New Roman" w:hAnsi="Times New Roman" w:eastAsia="宋体"/>
                <w:color w:val="auto"/>
                <w:kern w:val="0"/>
                <w:sz w:val="24"/>
                <w:szCs w:val="24"/>
                <w:u w:val="none" w:color="auto"/>
              </w:rPr>
              <w:t>执行《大气污染物综合排放标准》（GB16297-1996）表2排放限值要求，同时</w:t>
            </w:r>
            <w:r>
              <w:rPr>
                <w:rFonts w:hint="eastAsia"/>
                <w:color w:val="auto"/>
                <w:kern w:val="0"/>
                <w:sz w:val="24"/>
                <w:szCs w:val="24"/>
                <w:u w:val="none" w:color="auto"/>
                <w:lang w:val="en-US" w:eastAsia="zh-CN"/>
              </w:rPr>
              <w:t>厂区内</w:t>
            </w:r>
            <w:r>
              <w:rPr>
                <w:rFonts w:hint="eastAsia" w:ascii="Times New Roman" w:hAnsi="Times New Roman" w:eastAsia="宋体"/>
                <w:color w:val="auto"/>
                <w:kern w:val="0"/>
                <w:sz w:val="24"/>
                <w:szCs w:val="24"/>
                <w:u w:val="none" w:color="auto"/>
              </w:rPr>
              <w:t>有机废气还需执行《挥发性有机物无组织排放控制标准》（GB37822-2019）附录A中厂区内VOCs无组织排放监控要求</w:t>
            </w:r>
            <w:r>
              <w:rPr>
                <w:rFonts w:hint="eastAsia" w:ascii="Times New Roman" w:hAnsi="Times New Roman" w:eastAsia="宋体"/>
                <w:color w:val="auto"/>
                <w:kern w:val="0"/>
                <w:sz w:val="24"/>
                <w:szCs w:val="24"/>
                <w:u w:val="none" w:color="auto"/>
                <w:lang w:eastAsia="zh-CN"/>
              </w:rPr>
              <w:t>，</w:t>
            </w:r>
            <w:r>
              <w:rPr>
                <w:rFonts w:hint="eastAsia" w:ascii="Times New Roman" w:hAnsi="Times New Roman" w:eastAsia="宋体"/>
                <w:color w:val="auto"/>
                <w:kern w:val="0"/>
                <w:sz w:val="24"/>
                <w:szCs w:val="24"/>
                <w:u w:val="none" w:color="auto"/>
              </w:rPr>
              <w:t>具体值见表3-</w:t>
            </w:r>
            <w:r>
              <w:rPr>
                <w:rFonts w:hint="eastAsia"/>
                <w:color w:val="auto"/>
                <w:kern w:val="0"/>
                <w:sz w:val="24"/>
                <w:szCs w:val="24"/>
                <w:u w:val="none" w:color="auto"/>
                <w:lang w:val="en-US" w:eastAsia="zh-CN"/>
              </w:rPr>
              <w:t>7</w:t>
            </w:r>
            <w:r>
              <w:rPr>
                <w:rFonts w:hint="eastAsia" w:ascii="Times New Roman" w:hAnsi="Times New Roman" w:eastAsia="宋体"/>
                <w:color w:val="auto"/>
                <w:kern w:val="0"/>
                <w:sz w:val="24"/>
                <w:szCs w:val="24"/>
                <w:u w:val="none" w:color="auto"/>
                <w:lang w:val="en-US" w:eastAsia="zh-CN"/>
              </w:rPr>
              <w:t>及表3-</w:t>
            </w:r>
            <w:r>
              <w:rPr>
                <w:rFonts w:hint="eastAsia"/>
                <w:color w:val="auto"/>
                <w:kern w:val="0"/>
                <w:sz w:val="24"/>
                <w:szCs w:val="24"/>
                <w:u w:val="none" w:color="auto"/>
                <w:lang w:val="en-US" w:eastAsia="zh-CN"/>
              </w:rPr>
              <w:t>8</w:t>
            </w:r>
            <w:r>
              <w:rPr>
                <w:rFonts w:hint="default" w:ascii="Times New Roman" w:hAnsi="Times New Roman" w:eastAsia="宋体" w:cs="Times New Roman"/>
                <w:color w:val="auto"/>
                <w:kern w:val="0"/>
                <w:sz w:val="24"/>
                <w:szCs w:val="24"/>
                <w:u w:val="none" w:color="auto"/>
              </w:rPr>
              <w:t>。</w:t>
            </w:r>
            <w:r>
              <w:rPr>
                <w:rFonts w:hint="eastAsia" w:ascii="宋体" w:hAnsi="宋体" w:eastAsia="宋体" w:cs="宋体"/>
                <w:color w:val="000000"/>
                <w:kern w:val="0"/>
                <w:sz w:val="24"/>
                <w:szCs w:val="24"/>
                <w:lang w:val="en-US" w:eastAsia="zh-CN" w:bidi="ar"/>
              </w:rPr>
              <w:t>项目食堂油烟的最高允许排放浓度和油烟净化设备的最低去除效率参照执行《饮食业油烟排放标准（试行）》（</w:t>
            </w:r>
            <w:r>
              <w:rPr>
                <w:rFonts w:hint="default" w:ascii="Times New Roman" w:hAnsi="Times New Roman" w:eastAsia="宋体" w:cs="Times New Roman"/>
                <w:color w:val="000000"/>
                <w:kern w:val="0"/>
                <w:sz w:val="24"/>
                <w:szCs w:val="24"/>
                <w:lang w:val="en-US" w:eastAsia="zh-CN" w:bidi="ar"/>
              </w:rPr>
              <w:t>GB18483-2001</w:t>
            </w:r>
            <w:r>
              <w:rPr>
                <w:rFonts w:hint="eastAsia" w:ascii="宋体" w:hAnsi="宋体" w:eastAsia="宋体" w:cs="宋体"/>
                <w:color w:val="000000"/>
                <w:kern w:val="0"/>
                <w:sz w:val="24"/>
                <w:szCs w:val="24"/>
                <w:lang w:val="en-US" w:eastAsia="zh-CN" w:bidi="ar"/>
              </w:rPr>
              <w:t>）中的小型规模标准。</w:t>
            </w:r>
          </w:p>
          <w:p>
            <w:pPr>
              <w:pStyle w:val="27"/>
              <w:bidi w:val="0"/>
              <w:spacing w:line="240" w:lineRule="auto"/>
              <w:jc w:val="center"/>
              <w:rPr>
                <w:rFonts w:hint="default" w:ascii="Times New Roman" w:hAnsi="Times New Roman" w:eastAsia="宋体" w:cs="Times New Roman"/>
                <w:lang w:val="en-US" w:eastAsia="zh-CN"/>
              </w:rPr>
            </w:pPr>
            <w:r>
              <w:rPr>
                <w:rFonts w:hint="default" w:ascii="Times New Roman" w:hAnsi="Times New Roman" w:eastAsia="宋体" w:cs="Times New Roman"/>
                <w:lang w:val="en-US" w:eastAsia="zh-CN"/>
              </w:rPr>
              <w:t>表3-</w:t>
            </w:r>
            <w:r>
              <w:rPr>
                <w:rFonts w:hint="eastAsia" w:ascii="Times New Roman" w:hAnsi="Times New Roman" w:eastAsia="宋体" w:cs="Times New Roman"/>
                <w:lang w:val="en-US" w:eastAsia="zh-CN"/>
              </w:rPr>
              <w:t xml:space="preserve">7 </w:t>
            </w:r>
            <w:r>
              <w:rPr>
                <w:rFonts w:hint="default" w:ascii="Times New Roman" w:hAnsi="Times New Roman" w:eastAsia="宋体" w:cs="Times New Roman"/>
                <w:lang w:val="en-US" w:eastAsia="zh-CN"/>
              </w:rPr>
              <w:t xml:space="preserve"> </w:t>
            </w:r>
            <w:r>
              <w:rPr>
                <w:rFonts w:hint="eastAsia" w:ascii="Times New Roman" w:hAnsi="Times New Roman" w:eastAsia="宋体" w:cs="Times New Roman"/>
                <w:lang w:val="en-US" w:eastAsia="zh-CN"/>
              </w:rPr>
              <w:t>厂区外</w:t>
            </w:r>
            <w:r>
              <w:rPr>
                <w:rFonts w:hint="default" w:ascii="Times New Roman" w:hAnsi="Times New Roman" w:eastAsia="宋体" w:cs="Times New Roman"/>
                <w:lang w:val="en-US" w:eastAsia="zh-CN"/>
              </w:rPr>
              <w:t>大气污染物排放标准</w:t>
            </w:r>
          </w:p>
          <w:tbl>
            <w:tblPr>
              <w:tblStyle w:val="19"/>
              <w:tblW w:w="8734"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439"/>
              <w:gridCol w:w="2598"/>
              <w:gridCol w:w="1432"/>
              <w:gridCol w:w="326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1439" w:type="dxa"/>
                  <w:vMerge w:val="restar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eastAsia"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污染物</w:t>
                  </w:r>
                </w:p>
              </w:tc>
              <w:tc>
                <w:tcPr>
                  <w:tcW w:w="4030" w:type="dxa"/>
                  <w:gridSpan w:val="2"/>
                  <w:vMerge w:val="restar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eastAsia"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无组织监控浓度限值</w:t>
                  </w:r>
                </w:p>
              </w:tc>
              <w:tc>
                <w:tcPr>
                  <w:tcW w:w="3265" w:type="dxa"/>
                  <w:vMerge w:val="restar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eastAsia"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标准来源</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1439" w:type="dxa"/>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eastAsia" w:ascii="Times New Roman" w:hAnsi="Times New Roman" w:eastAsia="宋体" w:cs="Times New Roman"/>
                      <w:b w:val="0"/>
                      <w:bCs w:val="0"/>
                      <w:color w:val="auto"/>
                      <w:sz w:val="21"/>
                      <w:szCs w:val="21"/>
                      <w:u w:color="auto"/>
                      <w:lang w:val="en-US" w:eastAsia="zh-CN"/>
                    </w:rPr>
                  </w:pPr>
                </w:p>
              </w:tc>
              <w:tc>
                <w:tcPr>
                  <w:tcW w:w="4030" w:type="dxa"/>
                  <w:gridSpan w:val="2"/>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eastAsia" w:ascii="Times New Roman" w:hAnsi="Times New Roman" w:eastAsia="宋体" w:cs="Times New Roman"/>
                      <w:b w:val="0"/>
                      <w:bCs w:val="0"/>
                      <w:color w:val="auto"/>
                      <w:sz w:val="21"/>
                      <w:szCs w:val="21"/>
                      <w:u w:color="auto"/>
                      <w:lang w:val="en-US" w:eastAsia="zh-CN"/>
                    </w:rPr>
                  </w:pPr>
                </w:p>
              </w:tc>
              <w:tc>
                <w:tcPr>
                  <w:tcW w:w="3265" w:type="dxa"/>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eastAsia" w:ascii="Times New Roman" w:hAnsi="Times New Roman" w:eastAsia="宋体" w:cs="Times New Roman"/>
                      <w:b w:val="0"/>
                      <w:bCs w:val="0"/>
                      <w:color w:val="auto"/>
                      <w:sz w:val="21"/>
                      <w:szCs w:val="21"/>
                      <w:u w:color="auto"/>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439"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eastAsia"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非甲烷总烃</w:t>
                  </w:r>
                </w:p>
              </w:tc>
              <w:tc>
                <w:tcPr>
                  <w:tcW w:w="2598"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周界外浓度最高点</w:t>
                  </w:r>
                </w:p>
              </w:tc>
              <w:tc>
                <w:tcPr>
                  <w:tcW w:w="1432"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4.0</w:t>
                  </w:r>
                  <w:r>
                    <w:rPr>
                      <w:rFonts w:hint="eastAsia" w:ascii="Times New Roman" w:hAnsi="Times New Roman" w:eastAsia="宋体" w:cs="Times New Roman"/>
                      <w:b w:val="0"/>
                      <w:bCs w:val="0"/>
                      <w:color w:val="auto"/>
                      <w:sz w:val="21"/>
                      <w:szCs w:val="21"/>
                      <w:u w:color="auto"/>
                      <w:lang w:val="en-US" w:eastAsia="zh-CN"/>
                    </w:rPr>
                    <w:t>mg/m</w:t>
                  </w:r>
                  <w:r>
                    <w:rPr>
                      <w:rFonts w:hint="eastAsia" w:ascii="Times New Roman" w:hAnsi="Times New Roman" w:eastAsia="宋体" w:cs="Times New Roman"/>
                      <w:b w:val="0"/>
                      <w:bCs w:val="0"/>
                      <w:color w:val="auto"/>
                      <w:sz w:val="21"/>
                      <w:szCs w:val="21"/>
                      <w:u w:color="auto"/>
                      <w:vertAlign w:val="superscript"/>
                      <w:lang w:val="en-US" w:eastAsia="zh-CN"/>
                    </w:rPr>
                    <w:t>3</w:t>
                  </w:r>
                </w:p>
              </w:tc>
              <w:tc>
                <w:tcPr>
                  <w:tcW w:w="3265" w:type="dxa"/>
                  <w:vMerge w:val="restar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eastAsia"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《大气污染物综合排放标准》(GB16297-1996)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439"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eastAsia"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颗粒物</w:t>
                  </w:r>
                </w:p>
              </w:tc>
              <w:tc>
                <w:tcPr>
                  <w:tcW w:w="2598"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eastAsia"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周界外浓度最高点</w:t>
                  </w:r>
                </w:p>
              </w:tc>
              <w:tc>
                <w:tcPr>
                  <w:tcW w:w="1432"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1.0</w:t>
                  </w:r>
                  <w:r>
                    <w:rPr>
                      <w:rFonts w:hint="eastAsia" w:ascii="Times New Roman" w:hAnsi="Times New Roman" w:eastAsia="宋体" w:cs="Times New Roman"/>
                      <w:b w:val="0"/>
                      <w:bCs w:val="0"/>
                      <w:color w:val="auto"/>
                      <w:sz w:val="21"/>
                      <w:szCs w:val="21"/>
                      <w:u w:color="auto"/>
                      <w:lang w:val="en-US" w:eastAsia="zh-CN"/>
                    </w:rPr>
                    <w:t>mg/m</w:t>
                  </w:r>
                  <w:r>
                    <w:rPr>
                      <w:rFonts w:hint="eastAsia" w:ascii="Times New Roman" w:hAnsi="Times New Roman" w:eastAsia="宋体" w:cs="Times New Roman"/>
                      <w:b w:val="0"/>
                      <w:bCs w:val="0"/>
                      <w:color w:val="auto"/>
                      <w:sz w:val="21"/>
                      <w:szCs w:val="21"/>
                      <w:u w:color="auto"/>
                      <w:vertAlign w:val="superscript"/>
                      <w:lang w:val="en-US" w:eastAsia="zh-CN"/>
                    </w:rPr>
                    <w:t>3</w:t>
                  </w:r>
                </w:p>
              </w:tc>
              <w:tc>
                <w:tcPr>
                  <w:tcW w:w="3265" w:type="dxa"/>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eastAsia" w:ascii="Times New Roman" w:hAnsi="Times New Roman" w:eastAsia="宋体" w:cs="Times New Roman"/>
                      <w:b w:val="0"/>
                      <w:bCs w:val="0"/>
                      <w:color w:val="auto"/>
                      <w:sz w:val="21"/>
                      <w:szCs w:val="21"/>
                      <w:u w:color="auto"/>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439"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lang w:val="en-US" w:eastAsia="zh-CN"/>
                    </w:rPr>
                  </w:pPr>
                  <w:r>
                    <w:rPr>
                      <w:rFonts w:hint="eastAsia" w:cs="Times New Roman"/>
                      <w:b w:val="0"/>
                      <w:bCs w:val="0"/>
                      <w:color w:val="auto"/>
                      <w:sz w:val="21"/>
                      <w:szCs w:val="21"/>
                      <w:u w:color="auto"/>
                      <w:lang w:val="en-US" w:eastAsia="zh-CN"/>
                    </w:rPr>
                    <w:t>氟化物</w:t>
                  </w:r>
                </w:p>
              </w:tc>
              <w:tc>
                <w:tcPr>
                  <w:tcW w:w="2598"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周界外浓度最高点</w:t>
                  </w:r>
                </w:p>
              </w:tc>
              <w:tc>
                <w:tcPr>
                  <w:tcW w:w="1432"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eastAsia"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20.0</w:t>
                  </w:r>
                  <w:r>
                    <w:rPr>
                      <w:rFonts w:hint="default" w:ascii="Times New Roman" w:hAnsi="Times New Roman" w:eastAsia="宋体" w:cs="Times New Roman"/>
                      <w:b w:val="0"/>
                      <w:bCs w:val="0"/>
                      <w:color w:val="auto"/>
                      <w:sz w:val="21"/>
                      <w:szCs w:val="21"/>
                      <w:u w:color="auto"/>
                      <w:lang w:val="en-US" w:eastAsia="zh-CN"/>
                    </w:rPr>
                    <w:t>μg</w:t>
                  </w:r>
                  <w:r>
                    <w:rPr>
                      <w:rFonts w:hint="eastAsia" w:ascii="Times New Roman" w:hAnsi="Times New Roman" w:eastAsia="宋体" w:cs="Times New Roman"/>
                      <w:b w:val="0"/>
                      <w:bCs w:val="0"/>
                      <w:color w:val="auto"/>
                      <w:sz w:val="21"/>
                      <w:szCs w:val="21"/>
                      <w:u w:color="auto"/>
                      <w:lang w:val="en-US" w:eastAsia="zh-CN"/>
                    </w:rPr>
                    <w:t>/m</w:t>
                  </w:r>
                  <w:r>
                    <w:rPr>
                      <w:rFonts w:hint="eastAsia" w:ascii="Times New Roman" w:hAnsi="Times New Roman" w:eastAsia="宋体" w:cs="Times New Roman"/>
                      <w:b w:val="0"/>
                      <w:bCs w:val="0"/>
                      <w:color w:val="auto"/>
                      <w:sz w:val="21"/>
                      <w:szCs w:val="21"/>
                      <w:u w:color="auto"/>
                      <w:vertAlign w:val="superscript"/>
                      <w:lang w:val="en-US" w:eastAsia="zh-CN"/>
                    </w:rPr>
                    <w:t>3</w:t>
                  </w:r>
                </w:p>
              </w:tc>
              <w:tc>
                <w:tcPr>
                  <w:tcW w:w="3265" w:type="dxa"/>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eastAsia" w:ascii="Times New Roman" w:hAnsi="Times New Roman" w:eastAsia="宋体" w:cs="Times New Roman"/>
                      <w:b w:val="0"/>
                      <w:bCs w:val="0"/>
                      <w:color w:val="auto"/>
                      <w:sz w:val="21"/>
                      <w:szCs w:val="21"/>
                      <w:u w:color="auto"/>
                      <w:lang w:val="en-US" w:eastAsia="zh-CN"/>
                    </w:rPr>
                  </w:pPr>
                </w:p>
              </w:tc>
            </w:tr>
          </w:tbl>
          <w:p>
            <w:pPr>
              <w:pStyle w:val="27"/>
              <w:bidi w:val="0"/>
              <w:spacing w:line="240" w:lineRule="auto"/>
              <w:jc w:val="center"/>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表3-8  厂区内VOCs无组织排放监控要求</w:t>
            </w:r>
          </w:p>
          <w:tbl>
            <w:tblPr>
              <w:tblStyle w:val="18"/>
              <w:tblW w:w="0" w:type="auto"/>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893"/>
              <w:gridCol w:w="1010"/>
              <w:gridCol w:w="1594"/>
              <w:gridCol w:w="1361"/>
              <w:gridCol w:w="3929"/>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93"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eastAsia"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污染物项目</w:t>
                  </w:r>
                </w:p>
              </w:tc>
              <w:tc>
                <w:tcPr>
                  <w:tcW w:w="1010"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eastAsia"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特别排放限值</w:t>
                  </w:r>
                </w:p>
              </w:tc>
              <w:tc>
                <w:tcPr>
                  <w:tcW w:w="1594"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eastAsia"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限值含义</w:t>
                  </w:r>
                </w:p>
              </w:tc>
              <w:tc>
                <w:tcPr>
                  <w:tcW w:w="1361"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eastAsia"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无组织排放监控位置</w:t>
                  </w:r>
                </w:p>
              </w:tc>
              <w:tc>
                <w:tcPr>
                  <w:tcW w:w="3929"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eastAsia"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标准来源</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93" w:type="dxa"/>
                  <w:vMerge w:val="restar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eastAsia"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非甲烷总烃</w:t>
                  </w:r>
                </w:p>
              </w:tc>
              <w:tc>
                <w:tcPr>
                  <w:tcW w:w="1010"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eastAsia"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6</w:t>
                  </w:r>
                </w:p>
              </w:tc>
              <w:tc>
                <w:tcPr>
                  <w:tcW w:w="1594"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eastAsia"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监控点处1h平均浓度值</w:t>
                  </w:r>
                </w:p>
              </w:tc>
              <w:tc>
                <w:tcPr>
                  <w:tcW w:w="1361" w:type="dxa"/>
                  <w:vMerge w:val="restar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eastAsia"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在厂房外设置监控点</w:t>
                  </w:r>
                </w:p>
              </w:tc>
              <w:tc>
                <w:tcPr>
                  <w:tcW w:w="3929" w:type="dxa"/>
                  <w:vMerge w:val="restar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eastAsia"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《挥发性有机物无组织排放控制标准》（GB37822-2019）</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93" w:type="dxa"/>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eastAsia" w:ascii="Times New Roman" w:hAnsi="Times New Roman" w:eastAsia="宋体" w:cs="Times New Roman"/>
                      <w:b w:val="0"/>
                      <w:bCs w:val="0"/>
                      <w:color w:val="auto"/>
                      <w:sz w:val="21"/>
                      <w:szCs w:val="21"/>
                      <w:u w:color="auto"/>
                      <w:lang w:val="en-US" w:eastAsia="zh-CN"/>
                    </w:rPr>
                  </w:pPr>
                </w:p>
              </w:tc>
              <w:tc>
                <w:tcPr>
                  <w:tcW w:w="1010"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eastAsia"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20</w:t>
                  </w:r>
                </w:p>
              </w:tc>
              <w:tc>
                <w:tcPr>
                  <w:tcW w:w="1594"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eastAsia"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监控点处任意一次浓度值</w:t>
                  </w:r>
                </w:p>
              </w:tc>
              <w:tc>
                <w:tcPr>
                  <w:tcW w:w="1361" w:type="dxa"/>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eastAsia" w:ascii="Times New Roman" w:hAnsi="Times New Roman" w:eastAsia="宋体" w:cs="Times New Roman"/>
                      <w:b w:val="0"/>
                      <w:bCs w:val="0"/>
                      <w:color w:val="auto"/>
                      <w:sz w:val="21"/>
                      <w:szCs w:val="21"/>
                      <w:u w:color="auto"/>
                      <w:lang w:val="en-US" w:eastAsia="zh-CN"/>
                    </w:rPr>
                  </w:pPr>
                </w:p>
              </w:tc>
              <w:tc>
                <w:tcPr>
                  <w:tcW w:w="3929" w:type="dxa"/>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eastAsia" w:ascii="Times New Roman" w:hAnsi="Times New Roman" w:eastAsia="宋体" w:cs="Times New Roman"/>
                      <w:b w:val="0"/>
                      <w:bCs w:val="0"/>
                      <w:color w:val="auto"/>
                      <w:sz w:val="21"/>
                      <w:szCs w:val="21"/>
                      <w:u w:color="auto"/>
                      <w:lang w:val="en-US" w:eastAsia="zh-CN"/>
                    </w:rPr>
                  </w:pPr>
                </w:p>
              </w:tc>
            </w:tr>
          </w:tbl>
          <w:p>
            <w:pPr>
              <w:pStyle w:val="27"/>
              <w:bidi w:val="0"/>
              <w:spacing w:line="240" w:lineRule="auto"/>
              <w:jc w:val="center"/>
              <w:rPr>
                <w:rFonts w:hint="eastAsia" w:ascii="Times New Roman" w:hAnsi="Times New Roman" w:eastAsia="宋体" w:cs="Times New Roman"/>
                <w:lang w:val="en-US" w:eastAsia="zh-CN"/>
              </w:rPr>
            </w:pPr>
            <w:r>
              <w:rPr>
                <w:rFonts w:hint="eastAsia" w:ascii="Times New Roman" w:hAnsi="Times New Roman" w:eastAsia="宋体" w:cs="Times New Roman"/>
                <w:lang w:val="en-US" w:eastAsia="zh-CN"/>
              </w:rPr>
              <w:t>表 3-9 《饮食业油烟排放标准（试行）》（GB18483-2001）（摘录）</w:t>
            </w:r>
          </w:p>
          <w:tbl>
            <w:tblPr>
              <w:tblStyle w:val="19"/>
              <w:tblW w:w="0" w:type="auto"/>
              <w:tblInd w:w="-11"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left w:w="108" w:type="dxa"/>
                <w:right w:w="108" w:type="dxa"/>
              </w:tblCellMar>
            </w:tblPr>
            <w:tblGrid>
              <w:gridCol w:w="584"/>
              <w:gridCol w:w="584"/>
              <w:gridCol w:w="1083"/>
              <w:gridCol w:w="2107"/>
              <w:gridCol w:w="2581"/>
              <w:gridCol w:w="184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left w:w="108" w:type="dxa"/>
                  <w:right w:w="108" w:type="dxa"/>
                </w:tblCellMar>
              </w:tblPrEx>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项目</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规模</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eastAsia"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基准灶头数</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eastAsia"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对应灶头总功（10</w:t>
                  </w:r>
                  <w:r>
                    <w:rPr>
                      <w:rFonts w:hint="eastAsia" w:ascii="Times New Roman" w:hAnsi="Times New Roman" w:eastAsia="宋体" w:cs="Times New Roman"/>
                      <w:b w:val="0"/>
                      <w:bCs w:val="0"/>
                      <w:color w:val="auto"/>
                      <w:sz w:val="21"/>
                      <w:szCs w:val="21"/>
                      <w:u w:color="auto"/>
                      <w:vertAlign w:val="superscript"/>
                      <w:lang w:val="en-US" w:eastAsia="zh-CN"/>
                    </w:rPr>
                    <w:t>8</w:t>
                  </w:r>
                  <w:r>
                    <w:rPr>
                      <w:rFonts w:hint="eastAsia" w:ascii="Times New Roman" w:hAnsi="Times New Roman" w:eastAsia="宋体" w:cs="Times New Roman"/>
                      <w:b w:val="0"/>
                      <w:bCs w:val="0"/>
                      <w:color w:val="auto"/>
                      <w:sz w:val="21"/>
                      <w:szCs w:val="21"/>
                      <w:u w:color="auto"/>
                      <w:lang w:val="en-US" w:eastAsia="zh-CN"/>
                    </w:rPr>
                    <w:t>J/h）</w:t>
                  </w:r>
                </w:p>
              </w:tc>
              <w:tc>
                <w:tcPr>
                  <w:tcW w:w="2581"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eastAsia"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对应排气罩兆面总投影面积（m</w:t>
                  </w:r>
                  <w:r>
                    <w:rPr>
                      <w:rFonts w:hint="eastAsia" w:ascii="Times New Roman" w:hAnsi="Times New Roman" w:eastAsia="宋体" w:cs="Times New Roman"/>
                      <w:b w:val="0"/>
                      <w:bCs w:val="0"/>
                      <w:color w:val="auto"/>
                      <w:sz w:val="21"/>
                      <w:szCs w:val="21"/>
                      <w:u w:color="auto"/>
                      <w:vertAlign w:val="superscript"/>
                      <w:lang w:val="en-US" w:eastAsia="zh-CN"/>
                    </w:rPr>
                    <w:t>2</w:t>
                  </w:r>
                  <w:r>
                    <w:rPr>
                      <w:rFonts w:hint="eastAsia" w:ascii="Times New Roman" w:hAnsi="Times New Roman" w:eastAsia="宋体" w:cs="Times New Roman"/>
                      <w:b w:val="0"/>
                      <w:bCs w:val="0"/>
                      <w:color w:val="auto"/>
                      <w:sz w:val="21"/>
                      <w:szCs w:val="21"/>
                      <w:u w:color="auto"/>
                      <w:lang w:val="en-US" w:eastAsia="zh-CN"/>
                    </w:rPr>
                    <w:t>）</w:t>
                  </w:r>
                </w:p>
              </w:tc>
              <w:tc>
                <w:tcPr>
                  <w:tcW w:w="1848"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eastAsia"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油烟最高允许排</w:t>
                  </w:r>
                </w:p>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eastAsia"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放浓度（mg/m</w:t>
                  </w:r>
                  <w:r>
                    <w:rPr>
                      <w:rFonts w:hint="eastAsia" w:ascii="Times New Roman" w:hAnsi="Times New Roman" w:eastAsia="宋体" w:cs="Times New Roman"/>
                      <w:b w:val="0"/>
                      <w:bCs w:val="0"/>
                      <w:color w:val="auto"/>
                      <w:sz w:val="21"/>
                      <w:szCs w:val="21"/>
                      <w:u w:color="auto"/>
                      <w:vertAlign w:val="superscript"/>
                      <w:lang w:val="en-US" w:eastAsia="zh-CN"/>
                    </w:rPr>
                    <w:t>3</w:t>
                  </w:r>
                  <w:r>
                    <w:rPr>
                      <w:rFonts w:hint="eastAsia" w:ascii="Times New Roman" w:hAnsi="Times New Roman" w:eastAsia="宋体" w:cs="Times New Roman"/>
                      <w:b w:val="0"/>
                      <w:bCs w:val="0"/>
                      <w:color w:val="auto"/>
                      <w:sz w:val="21"/>
                      <w:szCs w:val="21"/>
                      <w:u w:color="auto"/>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left w:w="108" w:type="dxa"/>
                  <w:right w:w="108" w:type="dxa"/>
                </w:tblCellMar>
              </w:tblPrEx>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eastAsia"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油烟</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eastAsia"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小型</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eastAsia"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w:t>
                  </w:r>
                  <w:r>
                    <w:rPr>
                      <w:rFonts w:hint="default" w:ascii="Times New Roman" w:hAnsi="Times New Roman" w:eastAsia="宋体" w:cs="Times New Roman"/>
                      <w:b w:val="0"/>
                      <w:bCs w:val="0"/>
                      <w:color w:val="auto"/>
                      <w:sz w:val="21"/>
                      <w:szCs w:val="21"/>
                      <w:u w:color="auto"/>
                      <w:lang w:val="en-US" w:eastAsia="zh-CN"/>
                    </w:rPr>
                    <w:t>1</w:t>
                  </w:r>
                  <w:r>
                    <w:rPr>
                      <w:rFonts w:hint="eastAsia" w:ascii="Times New Roman" w:hAnsi="Times New Roman" w:eastAsia="宋体" w:cs="Times New Roman"/>
                      <w:b w:val="0"/>
                      <w:bCs w:val="0"/>
                      <w:color w:val="auto"/>
                      <w:sz w:val="21"/>
                      <w:szCs w:val="21"/>
                      <w:u w:color="auto"/>
                      <w:lang w:val="en-US" w:eastAsia="zh-CN"/>
                    </w:rPr>
                    <w:t>，＜</w:t>
                  </w:r>
                  <w:r>
                    <w:rPr>
                      <w:rFonts w:hint="default" w:ascii="Times New Roman" w:hAnsi="Times New Roman" w:eastAsia="宋体" w:cs="Times New Roman"/>
                      <w:b w:val="0"/>
                      <w:bCs w:val="0"/>
                      <w:color w:val="auto"/>
                      <w:sz w:val="21"/>
                      <w:szCs w:val="21"/>
                      <w:u w:color="auto"/>
                      <w:lang w:val="en-US" w:eastAsia="zh-CN"/>
                    </w:rPr>
                    <w:t>3</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eastAsia" w:ascii="Times New Roman" w:hAnsi="Times New Roman" w:eastAsia="宋体" w:cs="Times New Roman"/>
                      <w:b w:val="0"/>
                      <w:bCs w:val="0"/>
                      <w:color w:val="auto"/>
                      <w:sz w:val="21"/>
                      <w:szCs w:val="21"/>
                      <w:u w:color="auto"/>
                      <w:lang w:val="en-US" w:eastAsia="zh-CN"/>
                    </w:rPr>
                  </w:pPr>
                  <w:r>
                    <w:rPr>
                      <w:rFonts w:hint="default" w:ascii="Times New Roman" w:hAnsi="Times New Roman" w:eastAsia="宋体" w:cs="Times New Roman"/>
                      <w:b w:val="0"/>
                      <w:bCs w:val="0"/>
                      <w:color w:val="auto"/>
                      <w:sz w:val="21"/>
                      <w:szCs w:val="21"/>
                      <w:u w:color="auto"/>
                      <w:lang w:val="en-US" w:eastAsia="zh-CN"/>
                    </w:rPr>
                    <w:t>1.67</w:t>
                  </w:r>
                  <w:r>
                    <w:rPr>
                      <w:rFonts w:hint="eastAsia" w:ascii="Times New Roman" w:hAnsi="Times New Roman" w:eastAsia="宋体" w:cs="Times New Roman"/>
                      <w:b w:val="0"/>
                      <w:bCs w:val="0"/>
                      <w:color w:val="auto"/>
                      <w:sz w:val="21"/>
                      <w:szCs w:val="21"/>
                      <w:u w:color="auto"/>
                      <w:lang w:val="en-US" w:eastAsia="zh-CN"/>
                    </w:rPr>
                    <w:t>，＜</w:t>
                  </w:r>
                  <w:r>
                    <w:rPr>
                      <w:rFonts w:hint="default" w:ascii="Times New Roman" w:hAnsi="Times New Roman" w:eastAsia="宋体" w:cs="Times New Roman"/>
                      <w:b w:val="0"/>
                      <w:bCs w:val="0"/>
                      <w:color w:val="auto"/>
                      <w:sz w:val="21"/>
                      <w:szCs w:val="21"/>
                      <w:u w:color="auto"/>
                      <w:lang w:val="en-US" w:eastAsia="zh-CN"/>
                    </w:rPr>
                    <w:t>5000</w:t>
                  </w:r>
                </w:p>
              </w:tc>
              <w:tc>
                <w:tcPr>
                  <w:tcW w:w="2581"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eastAsia"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≥1.1，＜3.0</w:t>
                  </w:r>
                </w:p>
              </w:tc>
              <w:tc>
                <w:tcPr>
                  <w:tcW w:w="1848"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eastAsia" w:ascii="Times New Roman" w:hAnsi="Times New Roman" w:eastAsia="宋体" w:cs="Times New Roman"/>
                      <w:b w:val="0"/>
                      <w:bCs w:val="0"/>
                      <w:color w:val="auto"/>
                      <w:sz w:val="21"/>
                      <w:szCs w:val="21"/>
                      <w:u w:color="auto"/>
                      <w:lang w:val="en-US" w:eastAsia="zh-CN"/>
                    </w:rPr>
                  </w:pPr>
                  <w:r>
                    <w:rPr>
                      <w:rFonts w:hint="eastAsia" w:ascii="Times New Roman" w:hAnsi="Times New Roman" w:eastAsia="宋体" w:cs="Times New Roman"/>
                      <w:b w:val="0"/>
                      <w:bCs w:val="0"/>
                      <w:color w:val="auto"/>
                      <w:sz w:val="21"/>
                      <w:szCs w:val="21"/>
                      <w:u w:color="auto"/>
                      <w:lang w:val="en-US" w:eastAsia="zh-CN"/>
                    </w:rPr>
                    <w:t>2.0</w:t>
                  </w:r>
                </w:p>
              </w:tc>
            </w:tr>
          </w:tbl>
          <w:p>
            <w:pPr>
              <w:pStyle w:val="25"/>
              <w:bidi w:val="0"/>
              <w:rPr>
                <w:rFonts w:hint="eastAsia"/>
                <w:lang w:val="en-US" w:eastAsia="zh-CN"/>
              </w:rPr>
            </w:pPr>
            <w:r>
              <w:rPr>
                <w:rFonts w:hint="eastAsia"/>
                <w:b/>
                <w:bCs/>
                <w:lang w:val="en-US" w:eastAsia="zh-CN"/>
              </w:rPr>
              <w:t>2、废水</w:t>
            </w:r>
          </w:p>
          <w:p>
            <w:pPr>
              <w:pStyle w:val="32"/>
              <w:ind w:firstLine="480"/>
              <w:rPr>
                <w:rFonts w:hint="eastAsia" w:cs="Times New Roman"/>
                <w:color w:val="auto"/>
                <w:u w:val="none" w:color="auto"/>
                <w:lang w:val="en-US" w:eastAsia="zh-CN"/>
              </w:rPr>
            </w:pPr>
            <w:r>
              <w:rPr>
                <w:rFonts w:hint="default" w:ascii="Times New Roman" w:hAnsi="Times New Roman" w:cs="Times New Roman"/>
                <w:color w:val="auto"/>
                <w:u w:val="none" w:color="auto"/>
                <w:lang w:eastAsia="zh-CN"/>
              </w:rPr>
              <w:t>本项目</w:t>
            </w:r>
            <w:r>
              <w:rPr>
                <w:rFonts w:hint="eastAsia" w:cs="Times New Roman"/>
                <w:color w:val="auto"/>
                <w:u w:val="none" w:color="auto"/>
                <w:lang w:val="en-US" w:eastAsia="zh-CN"/>
              </w:rPr>
              <w:t>位于</w:t>
            </w:r>
            <w:r>
              <w:rPr>
                <w:rFonts w:hint="default" w:ascii="Times New Roman" w:hAnsi="Times New Roman" w:cs="Times New Roman"/>
                <w:color w:val="auto"/>
                <w:u w:val="none" w:color="auto"/>
                <w:lang w:eastAsia="zh-CN"/>
              </w:rPr>
              <w:t>归阳污水处理厂的纳污范围内，</w:t>
            </w:r>
            <w:r>
              <w:rPr>
                <w:rFonts w:hint="eastAsia" w:cs="Times New Roman"/>
                <w:color w:val="auto"/>
                <w:u w:val="none" w:color="auto"/>
                <w:lang w:val="en-US" w:eastAsia="zh-CN"/>
              </w:rPr>
              <w:t>运营期主要排放生活污水和少量拖把清洗废水、初期雨水，无其他生产废水排放。</w:t>
            </w:r>
          </w:p>
          <w:p>
            <w:pPr>
              <w:keepNext w:val="0"/>
              <w:keepLines w:val="0"/>
              <w:pageBreakBefore w:val="0"/>
              <w:widowControl/>
              <w:suppressLineNumbers w:val="0"/>
              <w:kinsoku/>
              <w:wordWrap/>
              <w:overflowPunct/>
              <w:topLinePunct w:val="0"/>
              <w:autoSpaceDE/>
              <w:autoSpaceDN/>
              <w:bidi w:val="0"/>
              <w:adjustRightInd/>
              <w:snapToGrid/>
              <w:spacing w:line="360" w:lineRule="auto"/>
              <w:ind w:left="0" w:leftChars="0" w:right="0" w:rightChars="0" w:firstLine="480" w:firstLineChars="200"/>
              <w:jc w:val="left"/>
              <w:textAlignment w:val="auto"/>
              <w:outlineLvl w:val="9"/>
              <w:rPr>
                <w:rFonts w:hint="eastAsia" w:ascii="Times New Roman" w:hAnsi="Times New Roman" w:cs="Times New Roman"/>
                <w:color w:val="auto"/>
                <w:u w:val="none" w:color="auto"/>
                <w:lang w:eastAsia="zh-CN"/>
              </w:rPr>
            </w:pPr>
            <w:r>
              <w:rPr>
                <w:rFonts w:hint="eastAsia" w:ascii="Times New Roman" w:hAnsi="Times New Roman" w:eastAsia="宋体" w:cs="Times New Roman"/>
                <w:color w:val="auto"/>
                <w:kern w:val="0"/>
                <w:sz w:val="24"/>
                <w:szCs w:val="24"/>
                <w:u w:color="auto"/>
                <w:lang w:val="en-US" w:eastAsia="zh-CN" w:bidi="ar"/>
              </w:rPr>
              <w:t>本项目生活污水</w:t>
            </w:r>
            <w:r>
              <w:rPr>
                <w:rFonts w:hint="default" w:ascii="Times New Roman" w:hAnsi="Times New Roman" w:eastAsia="宋体" w:cs="Times New Roman"/>
                <w:color w:val="auto"/>
                <w:kern w:val="0"/>
                <w:sz w:val="24"/>
                <w:szCs w:val="24"/>
                <w:u w:color="auto"/>
                <w:lang w:val="en-US" w:eastAsia="zh-CN" w:bidi="ar"/>
              </w:rPr>
              <w:t>经</w:t>
            </w:r>
            <w:r>
              <w:rPr>
                <w:rFonts w:hint="eastAsia" w:cs="Times New Roman"/>
                <w:color w:val="auto"/>
                <w:kern w:val="0"/>
                <w:sz w:val="24"/>
                <w:szCs w:val="24"/>
                <w:u w:color="auto"/>
                <w:lang w:val="en-US" w:eastAsia="zh-CN" w:bidi="ar"/>
              </w:rPr>
              <w:t>隔油池+</w:t>
            </w:r>
            <w:r>
              <w:rPr>
                <w:rFonts w:hint="default" w:ascii="Times New Roman" w:hAnsi="Times New Roman" w:eastAsia="宋体" w:cs="Times New Roman"/>
                <w:color w:val="auto"/>
                <w:kern w:val="0"/>
                <w:sz w:val="24"/>
                <w:szCs w:val="24"/>
                <w:u w:color="auto"/>
                <w:lang w:val="en-US" w:eastAsia="zh-CN" w:bidi="ar"/>
              </w:rPr>
              <w:t>化粪池处理</w:t>
            </w:r>
            <w:r>
              <w:rPr>
                <w:rFonts w:hint="eastAsia" w:cs="Times New Roman"/>
                <w:color w:val="auto"/>
                <w:u w:val="none" w:color="auto"/>
                <w:lang w:val="en-US" w:eastAsia="zh-CN"/>
              </w:rPr>
              <w:t>达到</w:t>
            </w:r>
            <w:r>
              <w:rPr>
                <w:rFonts w:hint="default" w:ascii="Times New Roman" w:hAnsi="Times New Roman" w:cs="Times New Roman"/>
                <w:color w:val="auto"/>
                <w:u w:val="none" w:color="auto"/>
              </w:rPr>
              <w:t>《污水综合排放标准》（G8978-1996）表 4 中三级标准</w:t>
            </w:r>
            <w:r>
              <w:rPr>
                <w:rFonts w:hint="default" w:ascii="Times New Roman" w:hAnsi="Times New Roman" w:eastAsia="宋体" w:cs="Times New Roman"/>
                <w:color w:val="auto"/>
                <w:kern w:val="0"/>
                <w:sz w:val="24"/>
                <w:szCs w:val="24"/>
                <w:u w:color="auto"/>
                <w:lang w:val="en-US" w:eastAsia="zh-CN" w:bidi="ar"/>
              </w:rPr>
              <w:t>后</w:t>
            </w:r>
            <w:r>
              <w:rPr>
                <w:rFonts w:hint="eastAsia" w:cs="Times New Roman"/>
                <w:color w:val="auto"/>
                <w:kern w:val="0"/>
                <w:sz w:val="24"/>
                <w:szCs w:val="24"/>
                <w:u w:color="auto"/>
                <w:lang w:val="en-US" w:eastAsia="zh-CN" w:bidi="ar"/>
              </w:rPr>
              <w:t>经市政污水管网排入归阳污水处理厂</w:t>
            </w:r>
            <w:r>
              <w:rPr>
                <w:rFonts w:hint="eastAsia" w:cs="Times New Roman"/>
                <w:color w:val="auto"/>
                <w:sz w:val="24"/>
                <w:szCs w:val="24"/>
                <w:u w:color="auto"/>
                <w:lang w:val="en-US" w:eastAsia="zh-CN"/>
              </w:rPr>
              <w:t>。</w:t>
            </w:r>
            <w:r>
              <w:rPr>
                <w:rFonts w:hint="default" w:ascii="Times New Roman" w:hAnsi="Times New Roman" w:cs="Times New Roman"/>
                <w:color w:val="auto"/>
                <w:u w:val="none" w:color="auto"/>
              </w:rPr>
              <w:t>排放标准限值详见下表</w:t>
            </w:r>
            <w:r>
              <w:rPr>
                <w:rFonts w:hint="eastAsia" w:ascii="Times New Roman" w:hAnsi="Times New Roman" w:cs="Times New Roman"/>
                <w:color w:val="auto"/>
                <w:u w:val="none" w:color="auto"/>
                <w:lang w:eastAsia="zh-CN"/>
              </w:rPr>
              <w:t>。</w:t>
            </w:r>
          </w:p>
          <w:p>
            <w:pPr>
              <w:pStyle w:val="32"/>
              <w:ind w:firstLine="480"/>
              <w:rPr>
                <w:rFonts w:hint="eastAsia" w:ascii="Times New Roman" w:hAnsi="Times New Roman" w:cs="Times New Roman"/>
                <w:color w:val="auto"/>
                <w:u w:val="none" w:color="auto"/>
                <w:lang w:eastAsia="zh-CN"/>
              </w:rPr>
            </w:pPr>
            <w:r>
              <w:rPr>
                <w:rFonts w:hint="default" w:ascii="Times New Roman" w:hAnsi="Times New Roman" w:cs="Times New Roman"/>
                <w:color w:val="auto"/>
                <w:u w:val="none" w:color="auto"/>
                <w:lang w:val="en-US" w:eastAsia="zh-CN"/>
              </w:rPr>
              <w:t>项目</w:t>
            </w:r>
            <w:r>
              <w:rPr>
                <w:rFonts w:hint="eastAsia" w:ascii="Times New Roman" w:hAnsi="Times New Roman" w:cs="Times New Roman"/>
                <w:color w:val="auto"/>
                <w:u w:val="none" w:color="auto"/>
                <w:lang w:val="en-US" w:eastAsia="zh-CN"/>
              </w:rPr>
              <w:t>拖把清洗废水通过管道进入厂区隔油沉淀池内进行处理，达到</w:t>
            </w:r>
            <w:r>
              <w:rPr>
                <w:rFonts w:hint="default" w:ascii="Times New Roman" w:hAnsi="Times New Roman" w:cs="Times New Roman"/>
                <w:color w:val="auto"/>
                <w:u w:val="none" w:color="auto"/>
                <w:lang w:eastAsia="zh-CN"/>
              </w:rPr>
              <w:t>《污水综合排放标准》（G8978-1996）表4中三级标准</w:t>
            </w:r>
            <w:r>
              <w:rPr>
                <w:rFonts w:hint="eastAsia" w:ascii="Times New Roman" w:hAnsi="Times New Roman" w:cs="Times New Roman"/>
                <w:color w:val="auto"/>
                <w:u w:val="none" w:color="auto"/>
                <w:lang w:val="en-US" w:eastAsia="zh-CN"/>
              </w:rPr>
              <w:t>后</w:t>
            </w:r>
            <w:r>
              <w:rPr>
                <w:rFonts w:hint="default" w:ascii="Times New Roman" w:hAnsi="Times New Roman" w:cs="Times New Roman"/>
                <w:color w:val="auto"/>
                <w:u w:val="none" w:color="auto"/>
                <w:lang w:eastAsia="zh-CN"/>
              </w:rPr>
              <w:t>，通过</w:t>
            </w:r>
            <w:r>
              <w:rPr>
                <w:rFonts w:hint="eastAsia" w:ascii="Times New Roman" w:hAnsi="Times New Roman" w:cs="Times New Roman"/>
                <w:color w:val="auto"/>
                <w:u w:val="none" w:color="auto"/>
                <w:lang w:val="en-US" w:eastAsia="zh-CN"/>
              </w:rPr>
              <w:t>市政污水管网排入</w:t>
            </w:r>
            <w:r>
              <w:rPr>
                <w:rFonts w:hint="default" w:ascii="Times New Roman" w:hAnsi="Times New Roman" w:cs="Times New Roman"/>
                <w:color w:val="auto"/>
                <w:u w:val="none" w:color="auto"/>
                <w:lang w:eastAsia="zh-CN"/>
              </w:rPr>
              <w:t>归阳污水处理厂</w:t>
            </w:r>
            <w:r>
              <w:rPr>
                <w:rFonts w:hint="eastAsia" w:ascii="Times New Roman" w:hAnsi="Times New Roman" w:cs="Times New Roman"/>
                <w:color w:val="auto"/>
                <w:u w:val="none" w:color="auto"/>
                <w:lang w:val="en-US" w:eastAsia="zh-CN"/>
              </w:rPr>
              <w:t>处理</w:t>
            </w:r>
            <w:r>
              <w:rPr>
                <w:rFonts w:hint="eastAsia" w:ascii="Times New Roman" w:hAnsi="Times New Roman" w:cs="Times New Roman"/>
                <w:color w:val="auto"/>
                <w:u w:val="none" w:color="auto"/>
                <w:lang w:eastAsia="zh-CN"/>
              </w:rPr>
              <w:t>。</w:t>
            </w:r>
          </w:p>
          <w:p>
            <w:pPr>
              <w:pStyle w:val="32"/>
              <w:ind w:firstLine="480"/>
              <w:rPr>
                <w:rFonts w:hint="eastAsia" w:ascii="Times New Roman" w:hAnsi="Times New Roman" w:cs="Times New Roman"/>
                <w:color w:val="auto"/>
                <w:u w:val="none" w:color="auto"/>
                <w:lang w:eastAsia="zh-CN"/>
              </w:rPr>
            </w:pPr>
            <w:r>
              <w:rPr>
                <w:rFonts w:hint="eastAsia" w:ascii="Times New Roman" w:hAnsi="Times New Roman" w:cs="Times New Roman"/>
                <w:color w:val="auto"/>
                <w:u w:val="none" w:color="auto"/>
                <w:lang w:val="en-US" w:eastAsia="zh-CN"/>
              </w:rPr>
              <w:t>项目</w:t>
            </w:r>
            <w:r>
              <w:rPr>
                <w:rFonts w:hint="eastAsia" w:cs="Times New Roman"/>
                <w:color w:val="auto"/>
                <w:u w:val="none" w:color="auto"/>
                <w:lang w:val="en-US" w:eastAsia="zh-CN"/>
              </w:rPr>
              <w:t>初期雨水经初期雨水池收集后，再进入隔油沉淀池进行处理，</w:t>
            </w:r>
            <w:r>
              <w:rPr>
                <w:rFonts w:hint="eastAsia" w:ascii="Times New Roman" w:hAnsi="Times New Roman" w:cs="Times New Roman"/>
                <w:color w:val="auto"/>
                <w:u w:val="none" w:color="auto"/>
                <w:lang w:val="en-US" w:eastAsia="zh-CN"/>
              </w:rPr>
              <w:t>达到</w:t>
            </w:r>
            <w:r>
              <w:rPr>
                <w:rFonts w:hint="default" w:ascii="Times New Roman" w:hAnsi="Times New Roman" w:cs="Times New Roman"/>
                <w:color w:val="auto"/>
                <w:u w:val="none" w:color="auto"/>
                <w:lang w:eastAsia="zh-CN"/>
              </w:rPr>
              <w:t>《污水综合排放标准》（G8978-1996）表4中三级标准</w:t>
            </w:r>
            <w:r>
              <w:rPr>
                <w:rFonts w:hint="eastAsia" w:ascii="Times New Roman" w:hAnsi="Times New Roman" w:cs="Times New Roman"/>
                <w:color w:val="auto"/>
                <w:u w:val="none" w:color="auto"/>
                <w:lang w:val="en-US" w:eastAsia="zh-CN"/>
              </w:rPr>
              <w:t>后</w:t>
            </w:r>
            <w:r>
              <w:rPr>
                <w:rFonts w:hint="default" w:ascii="Times New Roman" w:hAnsi="Times New Roman" w:cs="Times New Roman"/>
                <w:color w:val="auto"/>
                <w:u w:val="none" w:color="auto"/>
                <w:lang w:eastAsia="zh-CN"/>
              </w:rPr>
              <w:t>，</w:t>
            </w:r>
            <w:r>
              <w:rPr>
                <w:rFonts w:hint="eastAsia" w:cs="Times New Roman"/>
                <w:color w:val="auto"/>
                <w:u w:val="none" w:color="auto"/>
                <w:lang w:val="en-US" w:eastAsia="zh-CN"/>
              </w:rPr>
              <w:t>和拖把清洗废水一起</w:t>
            </w:r>
            <w:r>
              <w:rPr>
                <w:rFonts w:hint="default" w:ascii="Times New Roman" w:hAnsi="Times New Roman" w:cs="Times New Roman"/>
                <w:color w:val="auto"/>
                <w:u w:val="none" w:color="auto"/>
                <w:lang w:eastAsia="zh-CN"/>
              </w:rPr>
              <w:t>通过</w:t>
            </w:r>
            <w:r>
              <w:rPr>
                <w:rFonts w:hint="eastAsia" w:ascii="Times New Roman" w:hAnsi="Times New Roman" w:cs="Times New Roman"/>
                <w:color w:val="auto"/>
                <w:u w:val="none" w:color="auto"/>
                <w:lang w:val="en-US" w:eastAsia="zh-CN"/>
              </w:rPr>
              <w:t>市政污水管网排入</w:t>
            </w:r>
            <w:r>
              <w:rPr>
                <w:rFonts w:hint="default" w:ascii="Times New Roman" w:hAnsi="Times New Roman" w:cs="Times New Roman"/>
                <w:color w:val="auto"/>
                <w:u w:val="none" w:color="auto"/>
                <w:lang w:eastAsia="zh-CN"/>
              </w:rPr>
              <w:t>归阳污水处理厂</w:t>
            </w:r>
            <w:r>
              <w:rPr>
                <w:rFonts w:hint="eastAsia" w:ascii="Times New Roman" w:hAnsi="Times New Roman" w:cs="Times New Roman"/>
                <w:color w:val="auto"/>
                <w:u w:val="none" w:color="auto"/>
                <w:lang w:val="en-US" w:eastAsia="zh-CN"/>
              </w:rPr>
              <w:t>处理</w:t>
            </w:r>
            <w:r>
              <w:rPr>
                <w:rFonts w:hint="eastAsia" w:ascii="Times New Roman" w:hAnsi="Times New Roman" w:cs="Times New Roman"/>
                <w:color w:val="auto"/>
                <w:u w:val="none" w:color="auto"/>
                <w:lang w:eastAsia="zh-CN"/>
              </w:rPr>
              <w:t>。</w:t>
            </w:r>
          </w:p>
          <w:p>
            <w:pPr>
              <w:pStyle w:val="27"/>
              <w:bidi w:val="0"/>
              <w:spacing w:line="240" w:lineRule="auto"/>
              <w:jc w:val="center"/>
              <w:rPr>
                <w:rFonts w:hint="default" w:ascii="Times New Roman" w:hAnsi="Times New Roman" w:eastAsia="宋体" w:cs="Times New Roman"/>
                <w:lang w:val="en-US" w:eastAsia="zh-CN"/>
              </w:rPr>
            </w:pPr>
            <w:r>
              <w:rPr>
                <w:rFonts w:hint="default" w:ascii="Times New Roman" w:hAnsi="Times New Roman" w:eastAsia="宋体" w:cs="Times New Roman"/>
                <w:lang w:val="en-US" w:eastAsia="zh-CN"/>
              </w:rPr>
              <w:t>表</w:t>
            </w:r>
            <w:r>
              <w:rPr>
                <w:rFonts w:hint="eastAsia" w:ascii="Times New Roman" w:hAnsi="Times New Roman" w:eastAsia="宋体" w:cs="Times New Roman"/>
                <w:lang w:val="en-US" w:eastAsia="zh-CN"/>
              </w:rPr>
              <w:t>3</w:t>
            </w:r>
            <w:r>
              <w:rPr>
                <w:rFonts w:hint="default" w:ascii="Times New Roman" w:hAnsi="Times New Roman" w:eastAsia="宋体" w:cs="Times New Roman"/>
                <w:lang w:val="en-US" w:eastAsia="zh-CN"/>
              </w:rPr>
              <w:t>-</w:t>
            </w:r>
            <w:r>
              <w:rPr>
                <w:rFonts w:hint="eastAsia" w:cs="Times New Roman"/>
                <w:lang w:val="en-US" w:eastAsia="zh-CN"/>
              </w:rPr>
              <w:t>10</w:t>
            </w:r>
            <w:r>
              <w:rPr>
                <w:rFonts w:hint="default" w:ascii="Times New Roman" w:hAnsi="Times New Roman" w:eastAsia="宋体" w:cs="Times New Roman"/>
                <w:lang w:val="en-US" w:eastAsia="zh-CN"/>
              </w:rPr>
              <w:t xml:space="preserve">  项目</w:t>
            </w:r>
            <w:r>
              <w:rPr>
                <w:rFonts w:hint="eastAsia" w:cs="Times New Roman"/>
                <w:lang w:val="en-US" w:eastAsia="zh-CN"/>
              </w:rPr>
              <w:t>水污染物</w:t>
            </w:r>
            <w:r>
              <w:rPr>
                <w:rFonts w:hint="default" w:ascii="Times New Roman" w:hAnsi="Times New Roman" w:eastAsia="宋体" w:cs="Times New Roman"/>
                <w:lang w:val="en-US" w:eastAsia="zh-CN"/>
              </w:rPr>
              <w:t>排放执行标准 单位：mg/L(pH除外)</w:t>
            </w:r>
          </w:p>
          <w:tbl>
            <w:tblPr>
              <w:tblStyle w:val="18"/>
              <w:tblW w:w="4997"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893"/>
              <w:gridCol w:w="982"/>
              <w:gridCol w:w="982"/>
              <w:gridCol w:w="982"/>
              <w:gridCol w:w="984"/>
              <w:gridCol w:w="986"/>
              <w:gridCol w:w="1100"/>
              <w:gridCol w:w="87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077" w:type="pct"/>
                  <w:tcBorders>
                    <w:tl2br w:val="nil"/>
                    <w:tr2bl w:val="nil"/>
                  </w:tcBorders>
                  <w:vAlign w:val="center"/>
                </w:tcPr>
                <w:p>
                  <w:pPr>
                    <w:pStyle w:val="7"/>
                    <w:spacing w:line="280" w:lineRule="exact"/>
                    <w:jc w:val="center"/>
                    <w:rPr>
                      <w:rFonts w:hint="default" w:ascii="Times New Roman" w:hAnsi="Times New Roman" w:cs="Times New Roman" w:eastAsiaTheme="minorEastAsia"/>
                      <w:bCs/>
                      <w:snapToGrid w:val="0"/>
                      <w:color w:val="auto"/>
                      <w:kern w:val="2"/>
                      <w:sz w:val="21"/>
                      <w:u w:val="none" w:color="auto"/>
                    </w:rPr>
                  </w:pPr>
                  <w:r>
                    <w:rPr>
                      <w:rFonts w:hint="default" w:ascii="Times New Roman" w:hAnsi="Times New Roman" w:cs="Times New Roman" w:eastAsiaTheme="minorEastAsia"/>
                      <w:bCs/>
                      <w:snapToGrid w:val="0"/>
                      <w:color w:val="auto"/>
                      <w:sz w:val="21"/>
                      <w:u w:val="none" w:color="auto"/>
                    </w:rPr>
                    <w:t>污染因子</w:t>
                  </w:r>
                </w:p>
              </w:tc>
              <w:tc>
                <w:tcPr>
                  <w:tcW w:w="559" w:type="pct"/>
                  <w:tcBorders>
                    <w:tl2br w:val="nil"/>
                    <w:tr2bl w:val="nil"/>
                  </w:tcBorders>
                  <w:vAlign w:val="center"/>
                </w:tcPr>
                <w:p>
                  <w:pPr>
                    <w:pStyle w:val="7"/>
                    <w:spacing w:line="280" w:lineRule="exact"/>
                    <w:jc w:val="center"/>
                    <w:rPr>
                      <w:rFonts w:hint="default" w:ascii="Times New Roman" w:hAnsi="Times New Roman" w:cs="Times New Roman" w:eastAsiaTheme="minorEastAsia"/>
                      <w:bCs/>
                      <w:snapToGrid w:val="0"/>
                      <w:color w:val="auto"/>
                      <w:kern w:val="2"/>
                      <w:sz w:val="21"/>
                      <w:u w:val="none" w:color="auto"/>
                    </w:rPr>
                  </w:pPr>
                  <w:r>
                    <w:rPr>
                      <w:rFonts w:hint="default" w:ascii="Times New Roman" w:hAnsi="Times New Roman" w:cs="Times New Roman" w:eastAsiaTheme="minorEastAsia"/>
                      <w:bCs/>
                      <w:snapToGrid w:val="0"/>
                      <w:color w:val="auto"/>
                      <w:sz w:val="21"/>
                      <w:u w:val="none" w:color="auto"/>
                    </w:rPr>
                    <w:t>pH</w:t>
                  </w:r>
                </w:p>
              </w:tc>
              <w:tc>
                <w:tcPr>
                  <w:tcW w:w="559" w:type="pct"/>
                  <w:tcBorders>
                    <w:tl2br w:val="nil"/>
                    <w:tr2bl w:val="nil"/>
                  </w:tcBorders>
                  <w:vAlign w:val="center"/>
                </w:tcPr>
                <w:p>
                  <w:pPr>
                    <w:pStyle w:val="7"/>
                    <w:spacing w:line="280" w:lineRule="exact"/>
                    <w:jc w:val="center"/>
                    <w:rPr>
                      <w:rFonts w:hint="default" w:ascii="Times New Roman" w:hAnsi="Times New Roman" w:cs="Times New Roman" w:eastAsiaTheme="minorEastAsia"/>
                      <w:bCs/>
                      <w:snapToGrid w:val="0"/>
                      <w:color w:val="auto"/>
                      <w:kern w:val="2"/>
                      <w:sz w:val="21"/>
                      <w:u w:val="none" w:color="auto"/>
                    </w:rPr>
                  </w:pPr>
                  <w:r>
                    <w:rPr>
                      <w:rFonts w:hint="default" w:ascii="Times New Roman" w:hAnsi="Times New Roman" w:cs="Times New Roman" w:eastAsiaTheme="minorEastAsia"/>
                      <w:bCs/>
                      <w:snapToGrid w:val="0"/>
                      <w:color w:val="auto"/>
                      <w:sz w:val="21"/>
                      <w:u w:val="none" w:color="auto"/>
                    </w:rPr>
                    <w:t>COD</w:t>
                  </w:r>
                </w:p>
              </w:tc>
              <w:tc>
                <w:tcPr>
                  <w:tcW w:w="559" w:type="pct"/>
                  <w:tcBorders>
                    <w:tl2br w:val="nil"/>
                    <w:tr2bl w:val="nil"/>
                  </w:tcBorders>
                  <w:vAlign w:val="center"/>
                </w:tcPr>
                <w:p>
                  <w:pPr>
                    <w:pStyle w:val="7"/>
                    <w:spacing w:line="280" w:lineRule="exact"/>
                    <w:jc w:val="center"/>
                    <w:rPr>
                      <w:rFonts w:hint="default" w:ascii="Times New Roman" w:hAnsi="Times New Roman" w:cs="Times New Roman" w:eastAsiaTheme="minorEastAsia"/>
                      <w:bCs/>
                      <w:snapToGrid w:val="0"/>
                      <w:color w:val="auto"/>
                      <w:kern w:val="2"/>
                      <w:sz w:val="21"/>
                      <w:u w:val="none" w:color="auto"/>
                    </w:rPr>
                  </w:pPr>
                  <w:r>
                    <w:rPr>
                      <w:rFonts w:hint="default" w:ascii="Times New Roman" w:hAnsi="Times New Roman" w:cs="Times New Roman" w:eastAsiaTheme="minorEastAsia"/>
                      <w:bCs/>
                      <w:snapToGrid w:val="0"/>
                      <w:color w:val="auto"/>
                      <w:sz w:val="21"/>
                      <w:u w:val="none" w:color="auto"/>
                    </w:rPr>
                    <w:t>BOD</w:t>
                  </w:r>
                  <w:r>
                    <w:rPr>
                      <w:rFonts w:hint="default" w:ascii="Times New Roman" w:hAnsi="Times New Roman" w:cs="Times New Roman" w:eastAsiaTheme="minorEastAsia"/>
                      <w:bCs/>
                      <w:snapToGrid w:val="0"/>
                      <w:color w:val="auto"/>
                      <w:sz w:val="21"/>
                      <w:u w:val="none" w:color="auto"/>
                      <w:vertAlign w:val="subscript"/>
                    </w:rPr>
                    <w:t>5</w:t>
                  </w:r>
                </w:p>
              </w:tc>
              <w:tc>
                <w:tcPr>
                  <w:tcW w:w="560" w:type="pct"/>
                  <w:tcBorders>
                    <w:tl2br w:val="nil"/>
                    <w:tr2bl w:val="nil"/>
                  </w:tcBorders>
                  <w:vAlign w:val="center"/>
                </w:tcPr>
                <w:p>
                  <w:pPr>
                    <w:pStyle w:val="7"/>
                    <w:spacing w:line="280" w:lineRule="exact"/>
                    <w:jc w:val="center"/>
                    <w:rPr>
                      <w:rFonts w:hint="default" w:ascii="Times New Roman" w:hAnsi="Times New Roman" w:cs="Times New Roman" w:eastAsiaTheme="minorEastAsia"/>
                      <w:bCs/>
                      <w:snapToGrid w:val="0"/>
                      <w:color w:val="auto"/>
                      <w:kern w:val="2"/>
                      <w:sz w:val="21"/>
                      <w:u w:val="none" w:color="auto"/>
                    </w:rPr>
                  </w:pPr>
                  <w:r>
                    <w:rPr>
                      <w:rFonts w:hint="default" w:ascii="Times New Roman" w:hAnsi="Times New Roman" w:cs="Times New Roman" w:eastAsiaTheme="minorEastAsia"/>
                      <w:bCs/>
                      <w:snapToGrid w:val="0"/>
                      <w:color w:val="auto"/>
                      <w:sz w:val="21"/>
                      <w:u w:val="none" w:color="auto"/>
                    </w:rPr>
                    <w:t>NH</w:t>
                  </w:r>
                  <w:r>
                    <w:rPr>
                      <w:rFonts w:hint="default" w:ascii="Times New Roman" w:hAnsi="Times New Roman" w:cs="Times New Roman" w:eastAsiaTheme="minorEastAsia"/>
                      <w:bCs/>
                      <w:snapToGrid w:val="0"/>
                      <w:color w:val="auto"/>
                      <w:sz w:val="21"/>
                      <w:u w:val="none" w:color="auto"/>
                      <w:vertAlign w:val="subscript"/>
                    </w:rPr>
                    <w:t>3</w:t>
                  </w:r>
                  <w:r>
                    <w:rPr>
                      <w:rFonts w:hint="default" w:ascii="Times New Roman" w:hAnsi="Times New Roman" w:cs="Times New Roman" w:eastAsiaTheme="minorEastAsia"/>
                      <w:bCs/>
                      <w:snapToGrid w:val="0"/>
                      <w:color w:val="auto"/>
                      <w:sz w:val="21"/>
                      <w:u w:val="none" w:color="auto"/>
                    </w:rPr>
                    <w:t>-N</w:t>
                  </w:r>
                </w:p>
              </w:tc>
              <w:tc>
                <w:tcPr>
                  <w:tcW w:w="561" w:type="pct"/>
                  <w:tcBorders>
                    <w:tl2br w:val="nil"/>
                    <w:tr2bl w:val="nil"/>
                  </w:tcBorders>
                  <w:vAlign w:val="center"/>
                </w:tcPr>
                <w:p>
                  <w:pPr>
                    <w:pStyle w:val="7"/>
                    <w:spacing w:line="280" w:lineRule="exact"/>
                    <w:jc w:val="center"/>
                    <w:rPr>
                      <w:rFonts w:hint="default" w:ascii="Times New Roman" w:hAnsi="Times New Roman" w:cs="Times New Roman" w:eastAsiaTheme="minorEastAsia"/>
                      <w:bCs/>
                      <w:snapToGrid w:val="0"/>
                      <w:color w:val="auto"/>
                      <w:kern w:val="2"/>
                      <w:sz w:val="21"/>
                      <w:u w:val="none" w:color="auto"/>
                    </w:rPr>
                  </w:pPr>
                  <w:r>
                    <w:rPr>
                      <w:rFonts w:hint="default" w:ascii="Times New Roman" w:hAnsi="Times New Roman" w:cs="Times New Roman" w:eastAsiaTheme="minorEastAsia"/>
                      <w:bCs/>
                      <w:snapToGrid w:val="0"/>
                      <w:color w:val="auto"/>
                      <w:sz w:val="21"/>
                      <w:u w:val="none" w:color="auto"/>
                    </w:rPr>
                    <w:t>SS</w:t>
                  </w:r>
                </w:p>
              </w:tc>
              <w:tc>
                <w:tcPr>
                  <w:tcW w:w="626" w:type="pct"/>
                  <w:tcBorders>
                    <w:tl2br w:val="nil"/>
                    <w:tr2bl w:val="nil"/>
                  </w:tcBorders>
                  <w:vAlign w:val="center"/>
                </w:tcPr>
                <w:p>
                  <w:pPr>
                    <w:pStyle w:val="7"/>
                    <w:spacing w:line="280" w:lineRule="exact"/>
                    <w:jc w:val="center"/>
                    <w:rPr>
                      <w:rFonts w:hint="default" w:cs="Times New Roman" w:eastAsiaTheme="minorEastAsia"/>
                      <w:bCs/>
                      <w:snapToGrid w:val="0"/>
                      <w:color w:val="auto"/>
                      <w:sz w:val="21"/>
                      <w:u w:val="none" w:color="auto"/>
                      <w:lang w:val="en-US" w:eastAsia="zh-CN"/>
                    </w:rPr>
                  </w:pPr>
                  <w:r>
                    <w:rPr>
                      <w:rFonts w:hint="eastAsia" w:cs="Times New Roman" w:eastAsiaTheme="minorEastAsia"/>
                      <w:bCs/>
                      <w:snapToGrid w:val="0"/>
                      <w:color w:val="auto"/>
                      <w:sz w:val="21"/>
                      <w:u w:val="none" w:color="auto"/>
                      <w:lang w:val="en-US" w:eastAsia="zh-CN"/>
                    </w:rPr>
                    <w:t>动植物油</w:t>
                  </w:r>
                </w:p>
              </w:tc>
              <w:tc>
                <w:tcPr>
                  <w:tcW w:w="497" w:type="pct"/>
                  <w:tcBorders>
                    <w:tl2br w:val="nil"/>
                    <w:tr2bl w:val="nil"/>
                  </w:tcBorders>
                  <w:vAlign w:val="center"/>
                </w:tcPr>
                <w:p>
                  <w:pPr>
                    <w:pStyle w:val="7"/>
                    <w:spacing w:line="280" w:lineRule="exact"/>
                    <w:jc w:val="center"/>
                    <w:rPr>
                      <w:rFonts w:hint="eastAsia" w:ascii="Times New Roman" w:hAnsi="Times New Roman" w:cs="Times New Roman" w:eastAsiaTheme="minorEastAsia"/>
                      <w:bCs/>
                      <w:snapToGrid w:val="0"/>
                      <w:color w:val="auto"/>
                      <w:sz w:val="21"/>
                      <w:u w:val="none" w:color="auto"/>
                      <w:lang w:val="en-US" w:eastAsia="zh-CN"/>
                    </w:rPr>
                  </w:pPr>
                  <w:r>
                    <w:rPr>
                      <w:rFonts w:hint="eastAsia" w:cs="Times New Roman" w:eastAsiaTheme="minorEastAsia"/>
                      <w:bCs/>
                      <w:snapToGrid w:val="0"/>
                      <w:color w:val="auto"/>
                      <w:sz w:val="21"/>
                      <w:u w:val="none" w:color="auto"/>
                      <w:lang w:val="en-US" w:eastAsia="zh-CN"/>
                    </w:rPr>
                    <w:t>石油类</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6" w:hRule="atLeast"/>
                <w:jc w:val="center"/>
              </w:trPr>
              <w:tc>
                <w:tcPr>
                  <w:tcW w:w="1077" w:type="pct"/>
                  <w:tcBorders>
                    <w:tl2br w:val="nil"/>
                    <w:tr2bl w:val="nil"/>
                  </w:tcBorders>
                  <w:vAlign w:val="center"/>
                </w:tcPr>
                <w:p>
                  <w:pPr>
                    <w:pStyle w:val="7"/>
                    <w:spacing w:before="0" w:after="0" w:line="280" w:lineRule="exact"/>
                    <w:jc w:val="center"/>
                    <w:rPr>
                      <w:rFonts w:hint="default" w:ascii="Times New Roman" w:hAnsi="Times New Roman" w:cs="Times New Roman" w:eastAsiaTheme="minorEastAsia"/>
                      <w:bCs/>
                      <w:snapToGrid w:val="0"/>
                      <w:color w:val="auto"/>
                      <w:kern w:val="2"/>
                      <w:sz w:val="21"/>
                      <w:u w:val="none" w:color="auto"/>
                    </w:rPr>
                  </w:pPr>
                  <w:r>
                    <w:rPr>
                      <w:rFonts w:hint="default" w:ascii="Times New Roman" w:hAnsi="Times New Roman" w:cs="Times New Roman" w:eastAsiaTheme="minorEastAsia"/>
                      <w:bCs/>
                      <w:snapToGrid w:val="0"/>
                      <w:color w:val="auto"/>
                      <w:sz w:val="21"/>
                      <w:u w:val="none" w:color="auto"/>
                    </w:rPr>
                    <w:t>GB8978-1996三级标准</w:t>
                  </w:r>
                </w:p>
              </w:tc>
              <w:tc>
                <w:tcPr>
                  <w:tcW w:w="559" w:type="pct"/>
                  <w:tcBorders>
                    <w:tl2br w:val="nil"/>
                    <w:tr2bl w:val="nil"/>
                  </w:tcBorders>
                  <w:vAlign w:val="center"/>
                </w:tcPr>
                <w:p>
                  <w:pPr>
                    <w:pStyle w:val="7"/>
                    <w:spacing w:line="280" w:lineRule="exact"/>
                    <w:jc w:val="center"/>
                    <w:rPr>
                      <w:rFonts w:hint="default" w:ascii="Times New Roman" w:hAnsi="Times New Roman" w:cs="Times New Roman" w:eastAsiaTheme="minorEastAsia"/>
                      <w:bCs/>
                      <w:snapToGrid w:val="0"/>
                      <w:color w:val="auto"/>
                      <w:kern w:val="2"/>
                      <w:sz w:val="21"/>
                      <w:highlight w:val="yellow"/>
                      <w:u w:val="none" w:color="auto"/>
                    </w:rPr>
                  </w:pPr>
                  <w:r>
                    <w:rPr>
                      <w:rFonts w:hint="default" w:ascii="Times New Roman" w:hAnsi="Times New Roman" w:cs="Times New Roman" w:eastAsiaTheme="minorEastAsia"/>
                      <w:bCs/>
                      <w:snapToGrid w:val="0"/>
                      <w:color w:val="auto"/>
                      <w:sz w:val="21"/>
                      <w:u w:val="none" w:color="auto"/>
                    </w:rPr>
                    <w:t>6~9</w:t>
                  </w:r>
                </w:p>
              </w:tc>
              <w:tc>
                <w:tcPr>
                  <w:tcW w:w="559" w:type="pct"/>
                  <w:tcBorders>
                    <w:tl2br w:val="nil"/>
                    <w:tr2bl w:val="nil"/>
                  </w:tcBorders>
                  <w:vAlign w:val="center"/>
                </w:tcPr>
                <w:p>
                  <w:pPr>
                    <w:pStyle w:val="7"/>
                    <w:spacing w:line="280" w:lineRule="exact"/>
                    <w:jc w:val="center"/>
                    <w:rPr>
                      <w:rFonts w:hint="default" w:ascii="Times New Roman" w:hAnsi="Times New Roman" w:cs="Times New Roman" w:eastAsiaTheme="minorEastAsia"/>
                      <w:bCs/>
                      <w:snapToGrid w:val="0"/>
                      <w:color w:val="auto"/>
                      <w:kern w:val="2"/>
                      <w:sz w:val="21"/>
                      <w:highlight w:val="yellow"/>
                      <w:u w:val="none" w:color="auto"/>
                    </w:rPr>
                  </w:pPr>
                  <w:r>
                    <w:rPr>
                      <w:rFonts w:hint="default" w:ascii="Times New Roman" w:hAnsi="Times New Roman" w:cs="Times New Roman" w:eastAsiaTheme="minorEastAsia"/>
                      <w:bCs/>
                      <w:snapToGrid w:val="0"/>
                      <w:color w:val="auto"/>
                      <w:sz w:val="21"/>
                      <w:u w:val="none" w:color="auto"/>
                    </w:rPr>
                    <w:t>≤500</w:t>
                  </w:r>
                </w:p>
              </w:tc>
              <w:tc>
                <w:tcPr>
                  <w:tcW w:w="559" w:type="pct"/>
                  <w:tcBorders>
                    <w:tl2br w:val="nil"/>
                    <w:tr2bl w:val="nil"/>
                  </w:tcBorders>
                  <w:vAlign w:val="center"/>
                </w:tcPr>
                <w:p>
                  <w:pPr>
                    <w:pStyle w:val="7"/>
                    <w:spacing w:line="280" w:lineRule="exact"/>
                    <w:jc w:val="center"/>
                    <w:rPr>
                      <w:rFonts w:hint="default" w:ascii="Times New Roman" w:hAnsi="Times New Roman" w:cs="Times New Roman" w:eastAsiaTheme="minorEastAsia"/>
                      <w:bCs/>
                      <w:snapToGrid w:val="0"/>
                      <w:color w:val="auto"/>
                      <w:kern w:val="2"/>
                      <w:sz w:val="21"/>
                      <w:highlight w:val="yellow"/>
                      <w:u w:val="none" w:color="auto"/>
                    </w:rPr>
                  </w:pPr>
                  <w:r>
                    <w:rPr>
                      <w:rFonts w:hint="default" w:ascii="Times New Roman" w:hAnsi="Times New Roman" w:cs="Times New Roman" w:eastAsiaTheme="minorEastAsia"/>
                      <w:bCs/>
                      <w:snapToGrid w:val="0"/>
                      <w:color w:val="auto"/>
                      <w:sz w:val="21"/>
                      <w:u w:val="none" w:color="auto"/>
                    </w:rPr>
                    <w:t>≤300</w:t>
                  </w:r>
                </w:p>
              </w:tc>
              <w:tc>
                <w:tcPr>
                  <w:tcW w:w="560" w:type="pct"/>
                  <w:tcBorders>
                    <w:tl2br w:val="nil"/>
                    <w:tr2bl w:val="nil"/>
                  </w:tcBorders>
                  <w:vAlign w:val="center"/>
                </w:tcPr>
                <w:p>
                  <w:pPr>
                    <w:pStyle w:val="7"/>
                    <w:spacing w:line="280" w:lineRule="exact"/>
                    <w:jc w:val="center"/>
                    <w:rPr>
                      <w:rFonts w:hint="default" w:ascii="Times New Roman" w:hAnsi="Times New Roman" w:cs="Times New Roman" w:eastAsiaTheme="minorEastAsia"/>
                      <w:bCs/>
                      <w:snapToGrid w:val="0"/>
                      <w:color w:val="auto"/>
                      <w:kern w:val="2"/>
                      <w:sz w:val="21"/>
                      <w:u w:val="none" w:color="auto"/>
                    </w:rPr>
                  </w:pPr>
                  <w:r>
                    <w:rPr>
                      <w:rFonts w:hint="default" w:ascii="Times New Roman" w:hAnsi="Times New Roman" w:cs="Times New Roman" w:eastAsiaTheme="minorEastAsia"/>
                      <w:bCs/>
                      <w:snapToGrid w:val="0"/>
                      <w:color w:val="auto"/>
                      <w:sz w:val="21"/>
                      <w:u w:val="none" w:color="auto"/>
                    </w:rPr>
                    <w:t>/</w:t>
                  </w:r>
                </w:p>
              </w:tc>
              <w:tc>
                <w:tcPr>
                  <w:tcW w:w="561" w:type="pct"/>
                  <w:tcBorders>
                    <w:tl2br w:val="nil"/>
                    <w:tr2bl w:val="nil"/>
                  </w:tcBorders>
                  <w:vAlign w:val="center"/>
                </w:tcPr>
                <w:p>
                  <w:pPr>
                    <w:pStyle w:val="7"/>
                    <w:spacing w:line="280" w:lineRule="exact"/>
                    <w:jc w:val="center"/>
                    <w:rPr>
                      <w:rFonts w:hint="default" w:ascii="Times New Roman" w:hAnsi="Times New Roman" w:cs="Times New Roman" w:eastAsiaTheme="minorEastAsia"/>
                      <w:bCs/>
                      <w:snapToGrid w:val="0"/>
                      <w:color w:val="auto"/>
                      <w:kern w:val="2"/>
                      <w:sz w:val="21"/>
                      <w:u w:val="none" w:color="auto"/>
                    </w:rPr>
                  </w:pPr>
                  <w:r>
                    <w:rPr>
                      <w:rFonts w:hint="default" w:ascii="Times New Roman" w:hAnsi="Times New Roman" w:cs="Times New Roman" w:eastAsiaTheme="minorEastAsia"/>
                      <w:bCs/>
                      <w:snapToGrid w:val="0"/>
                      <w:color w:val="auto"/>
                      <w:sz w:val="21"/>
                      <w:u w:val="none" w:color="auto"/>
                    </w:rPr>
                    <w:t>≤400</w:t>
                  </w:r>
                </w:p>
              </w:tc>
              <w:tc>
                <w:tcPr>
                  <w:tcW w:w="626" w:type="pct"/>
                  <w:tcBorders>
                    <w:tl2br w:val="nil"/>
                    <w:tr2bl w:val="nil"/>
                  </w:tcBorders>
                  <w:vAlign w:val="center"/>
                </w:tcPr>
                <w:p>
                  <w:pPr>
                    <w:pStyle w:val="7"/>
                    <w:spacing w:line="280" w:lineRule="exact"/>
                    <w:jc w:val="center"/>
                    <w:rPr>
                      <w:rFonts w:hint="default" w:ascii="Times New Roman" w:hAnsi="Times New Roman" w:cs="Times New Roman" w:eastAsiaTheme="minorEastAsia"/>
                      <w:bCs/>
                      <w:snapToGrid w:val="0"/>
                      <w:color w:val="auto"/>
                      <w:sz w:val="21"/>
                      <w:u w:val="none" w:color="auto"/>
                    </w:rPr>
                  </w:pPr>
                  <w:r>
                    <w:rPr>
                      <w:rFonts w:hint="default" w:ascii="Times New Roman" w:hAnsi="Times New Roman" w:cs="Times New Roman" w:eastAsiaTheme="minorEastAsia"/>
                      <w:bCs/>
                      <w:snapToGrid w:val="0"/>
                      <w:color w:val="auto"/>
                      <w:sz w:val="21"/>
                      <w:u w:val="none" w:color="auto"/>
                    </w:rPr>
                    <w:t>≤</w:t>
                  </w:r>
                  <w:r>
                    <w:rPr>
                      <w:rFonts w:hint="eastAsia" w:ascii="Times New Roman" w:hAnsi="Times New Roman" w:cs="Times New Roman" w:eastAsiaTheme="minorEastAsia"/>
                      <w:bCs/>
                      <w:snapToGrid w:val="0"/>
                      <w:color w:val="auto"/>
                      <w:sz w:val="21"/>
                      <w:u w:val="none" w:color="auto"/>
                      <w:lang w:val="en-US" w:eastAsia="zh-CN"/>
                    </w:rPr>
                    <w:t>1</w:t>
                  </w:r>
                  <w:r>
                    <w:rPr>
                      <w:rFonts w:hint="default" w:ascii="Times New Roman" w:hAnsi="Times New Roman" w:cs="Times New Roman" w:eastAsiaTheme="minorEastAsia"/>
                      <w:bCs/>
                      <w:snapToGrid w:val="0"/>
                      <w:color w:val="auto"/>
                      <w:sz w:val="21"/>
                      <w:u w:val="none" w:color="auto"/>
                    </w:rPr>
                    <w:t>00</w:t>
                  </w:r>
                </w:p>
              </w:tc>
              <w:tc>
                <w:tcPr>
                  <w:tcW w:w="497" w:type="pct"/>
                  <w:tcBorders>
                    <w:tl2br w:val="nil"/>
                    <w:tr2bl w:val="nil"/>
                  </w:tcBorders>
                  <w:vAlign w:val="center"/>
                </w:tcPr>
                <w:p>
                  <w:pPr>
                    <w:pStyle w:val="7"/>
                    <w:spacing w:line="280" w:lineRule="exact"/>
                    <w:jc w:val="center"/>
                    <w:rPr>
                      <w:rFonts w:hint="default" w:ascii="Times New Roman" w:hAnsi="Times New Roman" w:cs="Times New Roman" w:eastAsiaTheme="minorEastAsia"/>
                      <w:bCs/>
                      <w:snapToGrid w:val="0"/>
                      <w:color w:val="auto"/>
                      <w:sz w:val="21"/>
                      <w:u w:val="none" w:color="auto"/>
                      <w:lang w:val="en-US" w:eastAsia="zh-CN"/>
                    </w:rPr>
                  </w:pPr>
                  <w:r>
                    <w:rPr>
                      <w:rFonts w:hint="default" w:ascii="Times New Roman" w:hAnsi="Times New Roman" w:cs="Times New Roman" w:eastAsiaTheme="minorEastAsia"/>
                      <w:bCs/>
                      <w:snapToGrid w:val="0"/>
                      <w:color w:val="auto"/>
                      <w:sz w:val="21"/>
                      <w:u w:val="none" w:color="auto"/>
                    </w:rPr>
                    <w:t>≤</w:t>
                  </w:r>
                  <w:r>
                    <w:rPr>
                      <w:rFonts w:hint="eastAsia" w:cs="Times New Roman" w:eastAsiaTheme="minorEastAsia"/>
                      <w:bCs/>
                      <w:snapToGrid w:val="0"/>
                      <w:color w:val="auto"/>
                      <w:sz w:val="21"/>
                      <w:u w:val="none" w:color="auto"/>
                      <w:lang w:val="en-US" w:eastAsia="zh-CN"/>
                    </w:rPr>
                    <w:t>20</w:t>
                  </w:r>
                </w:p>
              </w:tc>
            </w:tr>
          </w:tbl>
          <w:p>
            <w:pPr>
              <w:pStyle w:val="32"/>
              <w:ind w:firstLine="480"/>
              <w:rPr>
                <w:rFonts w:hint="default" w:ascii="Times New Roman" w:hAnsi="Times New Roman" w:eastAsia="宋体" w:cs="Times New Roman"/>
                <w:lang w:val="en-US" w:eastAsia="zh-CN"/>
              </w:rPr>
            </w:pPr>
            <w:r>
              <w:rPr>
                <w:rFonts w:hint="default" w:ascii="Times New Roman" w:hAnsi="Times New Roman" w:cs="Times New Roman"/>
                <w:color w:val="auto"/>
                <w:u w:val="none" w:color="auto"/>
                <w:lang w:eastAsia="zh-CN"/>
              </w:rPr>
              <w:t>归阳污水处理厂</w:t>
            </w:r>
            <w:r>
              <w:rPr>
                <w:rFonts w:hint="eastAsia" w:cs="Times New Roman"/>
                <w:color w:val="auto"/>
                <w:u w:val="none" w:color="auto"/>
                <w:lang w:val="en-US" w:eastAsia="zh-CN"/>
              </w:rPr>
              <w:t>处理达到《城镇污水处理厂污染物排放标准》一级B标准排入湘江，</w:t>
            </w:r>
            <w:r>
              <w:rPr>
                <w:rFonts w:hint="default" w:ascii="Times New Roman" w:hAnsi="Times New Roman" w:cs="Times New Roman"/>
                <w:color w:val="auto"/>
                <w:u w:val="none" w:color="auto"/>
              </w:rPr>
              <w:t>标准限值详见下表。</w:t>
            </w:r>
          </w:p>
          <w:p>
            <w:pPr>
              <w:pStyle w:val="27"/>
              <w:bidi w:val="0"/>
              <w:spacing w:line="240" w:lineRule="auto"/>
              <w:jc w:val="center"/>
              <w:rPr>
                <w:rFonts w:hint="default" w:ascii="Times New Roman" w:hAnsi="Times New Roman" w:eastAsia="宋体" w:cs="Times New Roman"/>
                <w:lang w:val="en-US" w:eastAsia="zh-CN"/>
              </w:rPr>
            </w:pPr>
            <w:r>
              <w:rPr>
                <w:rFonts w:hint="default" w:ascii="Times New Roman" w:hAnsi="Times New Roman" w:eastAsia="宋体" w:cs="Times New Roman"/>
                <w:lang w:val="en-US" w:eastAsia="zh-CN"/>
              </w:rPr>
              <w:t>表</w:t>
            </w:r>
            <w:r>
              <w:rPr>
                <w:rFonts w:hint="eastAsia" w:ascii="Times New Roman" w:hAnsi="Times New Roman" w:eastAsia="宋体" w:cs="Times New Roman"/>
                <w:lang w:val="en-US" w:eastAsia="zh-CN"/>
              </w:rPr>
              <w:t>3-1</w:t>
            </w:r>
            <w:r>
              <w:rPr>
                <w:rFonts w:hint="eastAsia" w:cs="Times New Roman"/>
                <w:lang w:val="en-US" w:eastAsia="zh-CN"/>
              </w:rPr>
              <w:t>1</w:t>
            </w:r>
            <w:r>
              <w:rPr>
                <w:rFonts w:hint="default" w:ascii="Times New Roman" w:hAnsi="Times New Roman" w:eastAsia="宋体" w:cs="Times New Roman"/>
                <w:lang w:val="en-US" w:eastAsia="zh-CN"/>
              </w:rPr>
              <w:t xml:space="preserve">  城镇污水处理厂污染物排放标准</w:t>
            </w:r>
            <w:r>
              <w:rPr>
                <w:rFonts w:hint="eastAsia" w:ascii="Times New Roman" w:hAnsi="Times New Roman" w:eastAsia="宋体" w:cs="Times New Roman"/>
                <w:lang w:val="en-US" w:eastAsia="zh-CN"/>
              </w:rPr>
              <w:t xml:space="preserve">  </w:t>
            </w:r>
            <w:r>
              <w:rPr>
                <w:rFonts w:hint="default" w:ascii="Times New Roman" w:hAnsi="Times New Roman" w:eastAsia="宋体" w:cs="Times New Roman"/>
                <w:lang w:val="en-US" w:eastAsia="zh-CN"/>
              </w:rPr>
              <w:t>单位：mg/L(pH</w:t>
            </w:r>
            <w:r>
              <w:rPr>
                <w:rFonts w:hint="eastAsia" w:ascii="Times New Roman" w:hAnsi="Times New Roman" w:eastAsia="宋体" w:cs="Times New Roman"/>
                <w:lang w:val="en-US" w:eastAsia="zh-CN"/>
              </w:rPr>
              <w:t>无量纲、粪大肠菌群个/L</w:t>
            </w:r>
            <w:r>
              <w:rPr>
                <w:rFonts w:hint="default" w:ascii="Times New Roman" w:hAnsi="Times New Roman" w:eastAsia="宋体" w:cs="Times New Roman"/>
                <w:lang w:val="en-US" w:eastAsia="zh-CN"/>
              </w:rPr>
              <w:t>)</w:t>
            </w:r>
          </w:p>
          <w:tbl>
            <w:tblPr>
              <w:tblStyle w:val="18"/>
              <w:tblW w:w="4996"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6" w:type="dxa"/>
                <w:bottom w:w="0" w:type="dxa"/>
                <w:right w:w="6" w:type="dxa"/>
              </w:tblCellMar>
            </w:tblPr>
            <w:tblGrid>
              <w:gridCol w:w="1656"/>
              <w:gridCol w:w="1017"/>
              <w:gridCol w:w="1017"/>
              <w:gridCol w:w="1018"/>
              <w:gridCol w:w="1018"/>
              <w:gridCol w:w="1018"/>
              <w:gridCol w:w="1018"/>
              <w:gridCol w:w="101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6" w:type="dxa"/>
                  <w:bottom w:w="0" w:type="dxa"/>
                  <w:right w:w="6" w:type="dxa"/>
                </w:tblCellMar>
              </w:tblPrEx>
              <w:trPr>
                <w:trHeight w:val="397" w:hRule="atLeast"/>
                <w:jc w:val="center"/>
              </w:trPr>
              <w:tc>
                <w:tcPr>
                  <w:tcW w:w="943" w:type="pct"/>
                  <w:tcBorders>
                    <w:tl2br w:val="nil"/>
                    <w:tr2bl w:val="nil"/>
                  </w:tcBorders>
                  <w:vAlign w:val="center"/>
                </w:tcPr>
                <w:p>
                  <w:pPr>
                    <w:pStyle w:val="43"/>
                    <w:rPr>
                      <w:rFonts w:hint="default" w:ascii="Times New Roman" w:hAnsi="Times New Roman" w:eastAsia="宋体" w:cs="Times New Roman"/>
                      <w:color w:val="auto"/>
                      <w:sz w:val="21"/>
                      <w:szCs w:val="21"/>
                      <w:u w:val="none"/>
                      <w:lang w:val="en-US" w:eastAsia="zh-CN"/>
                    </w:rPr>
                  </w:pPr>
                  <w:r>
                    <w:rPr>
                      <w:rFonts w:hint="default" w:ascii="Times New Roman" w:hAnsi="Times New Roman" w:eastAsia="宋体" w:cs="Times New Roman"/>
                      <w:color w:val="auto"/>
                      <w:sz w:val="21"/>
                      <w:szCs w:val="21"/>
                      <w:u w:val="none"/>
                      <w:lang w:val="en-US" w:eastAsia="zh-CN"/>
                    </w:rPr>
                    <w:t>污染因子</w:t>
                  </w:r>
                </w:p>
              </w:tc>
              <w:tc>
                <w:tcPr>
                  <w:tcW w:w="579" w:type="pct"/>
                  <w:tcBorders>
                    <w:tl2br w:val="nil"/>
                    <w:tr2bl w:val="nil"/>
                  </w:tcBorders>
                  <w:vAlign w:val="center"/>
                </w:tcPr>
                <w:p>
                  <w:pPr>
                    <w:pStyle w:val="43"/>
                    <w:rPr>
                      <w:rFonts w:hint="default" w:ascii="Times New Roman" w:hAnsi="Times New Roman" w:eastAsia="宋体" w:cs="Times New Roman"/>
                      <w:color w:val="auto"/>
                      <w:sz w:val="21"/>
                      <w:szCs w:val="21"/>
                      <w:u w:val="none"/>
                    </w:rPr>
                  </w:pPr>
                  <w:r>
                    <w:rPr>
                      <w:rFonts w:hint="default" w:ascii="Times New Roman" w:hAnsi="Times New Roman" w:eastAsia="宋体" w:cs="Times New Roman"/>
                      <w:color w:val="auto"/>
                      <w:sz w:val="21"/>
                      <w:szCs w:val="21"/>
                      <w:u w:val="none"/>
                    </w:rPr>
                    <w:t>pH</w:t>
                  </w:r>
                </w:p>
              </w:tc>
              <w:tc>
                <w:tcPr>
                  <w:tcW w:w="579" w:type="pct"/>
                  <w:tcBorders>
                    <w:tl2br w:val="nil"/>
                    <w:tr2bl w:val="nil"/>
                  </w:tcBorders>
                  <w:vAlign w:val="center"/>
                </w:tcPr>
                <w:p>
                  <w:pPr>
                    <w:pStyle w:val="43"/>
                    <w:rPr>
                      <w:rFonts w:hint="default" w:ascii="Times New Roman" w:hAnsi="Times New Roman" w:eastAsia="宋体" w:cs="Times New Roman"/>
                      <w:color w:val="auto"/>
                      <w:sz w:val="21"/>
                      <w:szCs w:val="21"/>
                      <w:u w:val="none"/>
                    </w:rPr>
                  </w:pPr>
                  <w:r>
                    <w:rPr>
                      <w:rFonts w:hint="default" w:ascii="Times New Roman" w:hAnsi="Times New Roman" w:eastAsia="宋体" w:cs="Times New Roman"/>
                      <w:color w:val="auto"/>
                      <w:sz w:val="21"/>
                      <w:szCs w:val="21"/>
                      <w:u w:val="none"/>
                    </w:rPr>
                    <w:t>COD</w:t>
                  </w:r>
                </w:p>
              </w:tc>
              <w:tc>
                <w:tcPr>
                  <w:tcW w:w="579" w:type="pct"/>
                  <w:tcBorders>
                    <w:tl2br w:val="nil"/>
                    <w:tr2bl w:val="nil"/>
                  </w:tcBorders>
                  <w:vAlign w:val="center"/>
                </w:tcPr>
                <w:p>
                  <w:pPr>
                    <w:pStyle w:val="43"/>
                    <w:rPr>
                      <w:rFonts w:hint="default" w:ascii="Times New Roman" w:hAnsi="Times New Roman" w:eastAsia="宋体" w:cs="Times New Roman"/>
                      <w:color w:val="auto"/>
                      <w:sz w:val="21"/>
                      <w:szCs w:val="21"/>
                      <w:u w:val="none"/>
                    </w:rPr>
                  </w:pPr>
                  <w:r>
                    <w:rPr>
                      <w:rFonts w:hint="default" w:ascii="Times New Roman" w:hAnsi="Times New Roman" w:eastAsia="宋体" w:cs="Times New Roman"/>
                      <w:color w:val="auto"/>
                      <w:sz w:val="21"/>
                      <w:szCs w:val="21"/>
                      <w:u w:val="none"/>
                    </w:rPr>
                    <w:t>BOD</w:t>
                  </w:r>
                  <w:r>
                    <w:rPr>
                      <w:rFonts w:hint="default" w:ascii="Times New Roman" w:hAnsi="Times New Roman" w:eastAsia="宋体" w:cs="Times New Roman"/>
                      <w:color w:val="auto"/>
                      <w:sz w:val="21"/>
                      <w:szCs w:val="21"/>
                      <w:u w:val="none"/>
                      <w:vertAlign w:val="subscript"/>
                    </w:rPr>
                    <w:t>5</w:t>
                  </w:r>
                </w:p>
              </w:tc>
              <w:tc>
                <w:tcPr>
                  <w:tcW w:w="579" w:type="pct"/>
                  <w:tcBorders>
                    <w:tl2br w:val="nil"/>
                    <w:tr2bl w:val="nil"/>
                  </w:tcBorders>
                  <w:vAlign w:val="center"/>
                </w:tcPr>
                <w:p>
                  <w:pPr>
                    <w:pStyle w:val="43"/>
                    <w:rPr>
                      <w:rFonts w:hint="default" w:ascii="Times New Roman" w:hAnsi="Times New Roman" w:eastAsia="宋体" w:cs="Times New Roman"/>
                      <w:color w:val="auto"/>
                      <w:sz w:val="21"/>
                      <w:szCs w:val="21"/>
                      <w:u w:val="none"/>
                    </w:rPr>
                  </w:pPr>
                  <w:r>
                    <w:rPr>
                      <w:rFonts w:hint="default" w:ascii="Times New Roman" w:hAnsi="Times New Roman" w:eastAsia="宋体" w:cs="Times New Roman"/>
                      <w:color w:val="auto"/>
                      <w:sz w:val="21"/>
                      <w:szCs w:val="21"/>
                      <w:u w:val="none"/>
                    </w:rPr>
                    <w:t>SS</w:t>
                  </w:r>
                </w:p>
              </w:tc>
              <w:tc>
                <w:tcPr>
                  <w:tcW w:w="579" w:type="pct"/>
                  <w:tcBorders>
                    <w:tl2br w:val="nil"/>
                    <w:tr2bl w:val="nil"/>
                  </w:tcBorders>
                  <w:vAlign w:val="center"/>
                </w:tcPr>
                <w:p>
                  <w:pPr>
                    <w:pStyle w:val="43"/>
                    <w:rPr>
                      <w:rFonts w:hint="default" w:ascii="Times New Roman" w:hAnsi="Times New Roman" w:eastAsia="宋体" w:cs="Times New Roman"/>
                      <w:color w:val="auto"/>
                      <w:sz w:val="21"/>
                      <w:szCs w:val="21"/>
                      <w:u w:val="none"/>
                    </w:rPr>
                  </w:pPr>
                  <w:r>
                    <w:rPr>
                      <w:rFonts w:hint="default" w:ascii="Times New Roman" w:hAnsi="Times New Roman" w:eastAsia="宋体" w:cs="Times New Roman"/>
                      <w:color w:val="auto"/>
                      <w:sz w:val="21"/>
                      <w:szCs w:val="21"/>
                      <w:u w:val="none"/>
                    </w:rPr>
                    <w:t>NH</w:t>
                  </w:r>
                  <w:r>
                    <w:rPr>
                      <w:rFonts w:hint="default" w:ascii="Times New Roman" w:hAnsi="Times New Roman" w:eastAsia="宋体" w:cs="Times New Roman"/>
                      <w:color w:val="auto"/>
                      <w:sz w:val="21"/>
                      <w:szCs w:val="21"/>
                      <w:u w:val="none"/>
                      <w:vertAlign w:val="subscript"/>
                    </w:rPr>
                    <w:t>3</w:t>
                  </w:r>
                  <w:r>
                    <w:rPr>
                      <w:rFonts w:hint="default" w:ascii="Times New Roman" w:hAnsi="Times New Roman" w:eastAsia="宋体" w:cs="Times New Roman"/>
                      <w:color w:val="auto"/>
                      <w:sz w:val="21"/>
                      <w:szCs w:val="21"/>
                      <w:u w:val="none"/>
                    </w:rPr>
                    <w:t>-N</w:t>
                  </w:r>
                </w:p>
              </w:tc>
              <w:tc>
                <w:tcPr>
                  <w:tcW w:w="579" w:type="pct"/>
                  <w:tcBorders>
                    <w:tl2br w:val="nil"/>
                    <w:tr2bl w:val="nil"/>
                  </w:tcBorders>
                  <w:vAlign w:val="center"/>
                </w:tcPr>
                <w:p>
                  <w:pPr>
                    <w:pStyle w:val="43"/>
                    <w:rPr>
                      <w:rFonts w:hint="default" w:ascii="Times New Roman" w:hAnsi="Times New Roman" w:eastAsia="宋体" w:cs="Times New Roman"/>
                      <w:color w:val="auto"/>
                      <w:sz w:val="21"/>
                      <w:szCs w:val="21"/>
                      <w:u w:val="none"/>
                    </w:rPr>
                  </w:pPr>
                  <w:r>
                    <w:rPr>
                      <w:rFonts w:hint="default" w:ascii="Times New Roman" w:hAnsi="Times New Roman" w:eastAsia="宋体" w:cs="Times New Roman"/>
                      <w:color w:val="auto"/>
                      <w:sz w:val="21"/>
                      <w:szCs w:val="21"/>
                      <w:u w:val="none"/>
                    </w:rPr>
                    <w:t>动植物油</w:t>
                  </w:r>
                </w:p>
              </w:tc>
              <w:tc>
                <w:tcPr>
                  <w:tcW w:w="579" w:type="pct"/>
                  <w:tcBorders>
                    <w:tl2br w:val="nil"/>
                    <w:tr2bl w:val="nil"/>
                  </w:tcBorders>
                  <w:vAlign w:val="center"/>
                </w:tcPr>
                <w:p>
                  <w:pPr>
                    <w:pStyle w:val="43"/>
                    <w:rPr>
                      <w:rFonts w:hint="default" w:ascii="Times New Roman" w:hAnsi="Times New Roman" w:eastAsia="宋体" w:cs="Times New Roman"/>
                      <w:color w:val="auto"/>
                      <w:sz w:val="21"/>
                      <w:szCs w:val="21"/>
                      <w:u w:val="none"/>
                      <w:lang w:val="en-US" w:eastAsia="zh-CN"/>
                    </w:rPr>
                  </w:pPr>
                  <w:r>
                    <w:rPr>
                      <w:rFonts w:hint="default" w:ascii="Times New Roman" w:hAnsi="Times New Roman" w:eastAsia="宋体" w:cs="Times New Roman"/>
                      <w:color w:val="auto"/>
                      <w:sz w:val="21"/>
                      <w:szCs w:val="21"/>
                      <w:u w:val="none"/>
                      <w:lang w:val="en-US" w:eastAsia="zh-CN"/>
                    </w:rPr>
                    <w:t>石油类</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6" w:type="dxa"/>
                  <w:bottom w:w="0" w:type="dxa"/>
                  <w:right w:w="6" w:type="dxa"/>
                </w:tblCellMar>
              </w:tblPrEx>
              <w:trPr>
                <w:trHeight w:val="397" w:hRule="atLeast"/>
                <w:jc w:val="center"/>
              </w:trPr>
              <w:tc>
                <w:tcPr>
                  <w:tcW w:w="943" w:type="pct"/>
                  <w:tcBorders>
                    <w:tl2br w:val="nil"/>
                    <w:tr2bl w:val="nil"/>
                  </w:tcBorders>
                  <w:vAlign w:val="center"/>
                </w:tcPr>
                <w:p>
                  <w:pPr>
                    <w:pStyle w:val="43"/>
                    <w:rPr>
                      <w:rFonts w:hint="default" w:ascii="Times New Roman" w:hAnsi="Times New Roman" w:eastAsia="宋体" w:cs="Times New Roman"/>
                      <w:color w:val="auto"/>
                      <w:sz w:val="21"/>
                      <w:szCs w:val="21"/>
                      <w:u w:val="none"/>
                    </w:rPr>
                  </w:pPr>
                  <w:r>
                    <w:rPr>
                      <w:rFonts w:hint="default" w:ascii="Times New Roman" w:hAnsi="Times New Roman" w:eastAsia="宋体" w:cs="Times New Roman"/>
                      <w:bCs/>
                      <w:snapToGrid w:val="0"/>
                      <w:color w:val="auto"/>
                      <w:sz w:val="21"/>
                      <w:szCs w:val="21"/>
                      <w:u w:val="none" w:color="auto"/>
                      <w:lang w:val="en-US" w:eastAsia="zh-CN"/>
                    </w:rPr>
                    <w:t>一级B标准</w:t>
                  </w:r>
                </w:p>
              </w:tc>
              <w:tc>
                <w:tcPr>
                  <w:tcW w:w="579" w:type="pct"/>
                  <w:tcBorders>
                    <w:tl2br w:val="nil"/>
                    <w:tr2bl w:val="nil"/>
                  </w:tcBorders>
                  <w:vAlign w:val="center"/>
                </w:tcPr>
                <w:p>
                  <w:pPr>
                    <w:pStyle w:val="43"/>
                    <w:rPr>
                      <w:rFonts w:hint="default" w:ascii="Times New Roman" w:hAnsi="Times New Roman" w:eastAsia="宋体" w:cs="Times New Roman"/>
                      <w:color w:val="auto"/>
                      <w:sz w:val="21"/>
                      <w:szCs w:val="21"/>
                      <w:u w:val="none"/>
                    </w:rPr>
                  </w:pPr>
                  <w:r>
                    <w:rPr>
                      <w:rFonts w:hint="default" w:ascii="Times New Roman" w:hAnsi="Times New Roman" w:eastAsia="宋体" w:cs="Times New Roman"/>
                      <w:color w:val="auto"/>
                      <w:sz w:val="21"/>
                      <w:szCs w:val="21"/>
                      <w:u w:val="none"/>
                    </w:rPr>
                    <w:t>6~9</w:t>
                  </w:r>
                </w:p>
              </w:tc>
              <w:tc>
                <w:tcPr>
                  <w:tcW w:w="579" w:type="pct"/>
                  <w:tcBorders>
                    <w:tl2br w:val="nil"/>
                    <w:tr2bl w:val="nil"/>
                  </w:tcBorders>
                  <w:vAlign w:val="center"/>
                </w:tcPr>
                <w:p>
                  <w:pPr>
                    <w:pStyle w:val="43"/>
                    <w:rPr>
                      <w:rFonts w:hint="default" w:ascii="Times New Roman" w:hAnsi="Times New Roman" w:eastAsia="宋体" w:cs="Times New Roman"/>
                      <w:color w:val="auto"/>
                      <w:sz w:val="21"/>
                      <w:szCs w:val="21"/>
                      <w:u w:val="none"/>
                    </w:rPr>
                  </w:pPr>
                  <w:r>
                    <w:rPr>
                      <w:rFonts w:hint="default" w:ascii="Times New Roman" w:hAnsi="Times New Roman" w:eastAsia="宋体" w:cs="Times New Roman"/>
                      <w:color w:val="auto"/>
                      <w:sz w:val="21"/>
                      <w:szCs w:val="21"/>
                      <w:u w:val="none"/>
                    </w:rPr>
                    <w:t>60</w:t>
                  </w:r>
                </w:p>
              </w:tc>
              <w:tc>
                <w:tcPr>
                  <w:tcW w:w="579" w:type="pct"/>
                  <w:tcBorders>
                    <w:tl2br w:val="nil"/>
                    <w:tr2bl w:val="nil"/>
                  </w:tcBorders>
                  <w:vAlign w:val="center"/>
                </w:tcPr>
                <w:p>
                  <w:pPr>
                    <w:pStyle w:val="43"/>
                    <w:rPr>
                      <w:rFonts w:hint="default" w:ascii="Times New Roman" w:hAnsi="Times New Roman" w:eastAsia="宋体" w:cs="Times New Roman"/>
                      <w:color w:val="auto"/>
                      <w:sz w:val="21"/>
                      <w:szCs w:val="21"/>
                      <w:u w:val="none"/>
                    </w:rPr>
                  </w:pPr>
                  <w:r>
                    <w:rPr>
                      <w:rFonts w:hint="default" w:ascii="Times New Roman" w:hAnsi="Times New Roman" w:eastAsia="宋体" w:cs="Times New Roman"/>
                      <w:color w:val="auto"/>
                      <w:sz w:val="21"/>
                      <w:szCs w:val="21"/>
                      <w:u w:val="none"/>
                    </w:rPr>
                    <w:t>20</w:t>
                  </w:r>
                </w:p>
              </w:tc>
              <w:tc>
                <w:tcPr>
                  <w:tcW w:w="579" w:type="pct"/>
                  <w:tcBorders>
                    <w:tl2br w:val="nil"/>
                    <w:tr2bl w:val="nil"/>
                  </w:tcBorders>
                  <w:vAlign w:val="center"/>
                </w:tcPr>
                <w:p>
                  <w:pPr>
                    <w:pStyle w:val="43"/>
                    <w:rPr>
                      <w:rFonts w:hint="default" w:ascii="Times New Roman" w:hAnsi="Times New Roman" w:eastAsia="宋体" w:cs="Times New Roman"/>
                      <w:color w:val="auto"/>
                      <w:sz w:val="21"/>
                      <w:szCs w:val="21"/>
                      <w:u w:val="none"/>
                    </w:rPr>
                  </w:pPr>
                  <w:r>
                    <w:rPr>
                      <w:rFonts w:hint="default" w:ascii="Times New Roman" w:hAnsi="Times New Roman" w:eastAsia="宋体" w:cs="Times New Roman"/>
                      <w:color w:val="auto"/>
                      <w:sz w:val="21"/>
                      <w:szCs w:val="21"/>
                      <w:u w:val="none"/>
                    </w:rPr>
                    <w:t>20</w:t>
                  </w:r>
                </w:p>
              </w:tc>
              <w:tc>
                <w:tcPr>
                  <w:tcW w:w="579" w:type="pct"/>
                  <w:tcBorders>
                    <w:tl2br w:val="nil"/>
                    <w:tr2bl w:val="nil"/>
                  </w:tcBorders>
                  <w:vAlign w:val="center"/>
                </w:tcPr>
                <w:p>
                  <w:pPr>
                    <w:pStyle w:val="43"/>
                    <w:rPr>
                      <w:rFonts w:hint="default" w:ascii="Times New Roman" w:hAnsi="Times New Roman" w:eastAsia="宋体" w:cs="Times New Roman"/>
                      <w:color w:val="auto"/>
                      <w:sz w:val="21"/>
                      <w:szCs w:val="21"/>
                      <w:u w:val="none"/>
                      <w:lang w:val="en-US" w:eastAsia="zh-CN"/>
                    </w:rPr>
                  </w:pPr>
                  <w:r>
                    <w:rPr>
                      <w:rFonts w:hint="eastAsia" w:ascii="Times New Roman" w:hAnsi="Times New Roman" w:cs="Times New Roman"/>
                      <w:color w:val="auto"/>
                      <w:sz w:val="21"/>
                      <w:szCs w:val="21"/>
                      <w:u w:val="none"/>
                      <w:lang w:val="en-US" w:eastAsia="zh-CN"/>
                    </w:rPr>
                    <w:t>15</w:t>
                  </w:r>
                </w:p>
              </w:tc>
              <w:tc>
                <w:tcPr>
                  <w:tcW w:w="579" w:type="pct"/>
                  <w:tcBorders>
                    <w:tl2br w:val="nil"/>
                    <w:tr2bl w:val="nil"/>
                  </w:tcBorders>
                  <w:vAlign w:val="center"/>
                </w:tcPr>
                <w:p>
                  <w:pPr>
                    <w:pStyle w:val="43"/>
                    <w:rPr>
                      <w:rFonts w:hint="default" w:ascii="Times New Roman" w:hAnsi="Times New Roman" w:eastAsia="宋体" w:cs="Times New Roman"/>
                      <w:color w:val="auto"/>
                      <w:sz w:val="21"/>
                      <w:szCs w:val="21"/>
                      <w:u w:val="none"/>
                    </w:rPr>
                  </w:pPr>
                  <w:r>
                    <w:rPr>
                      <w:rFonts w:hint="default" w:ascii="Times New Roman" w:hAnsi="Times New Roman" w:eastAsia="宋体" w:cs="Times New Roman"/>
                      <w:color w:val="auto"/>
                      <w:sz w:val="21"/>
                      <w:szCs w:val="21"/>
                      <w:u w:val="none"/>
                    </w:rPr>
                    <w:t>3</w:t>
                  </w:r>
                </w:p>
              </w:tc>
              <w:tc>
                <w:tcPr>
                  <w:tcW w:w="579" w:type="pct"/>
                  <w:tcBorders>
                    <w:tl2br w:val="nil"/>
                    <w:tr2bl w:val="nil"/>
                  </w:tcBorders>
                  <w:vAlign w:val="center"/>
                </w:tcPr>
                <w:p>
                  <w:pPr>
                    <w:pStyle w:val="43"/>
                    <w:rPr>
                      <w:rFonts w:hint="default" w:ascii="Times New Roman" w:hAnsi="Times New Roman" w:eastAsia="宋体" w:cs="Times New Roman"/>
                      <w:color w:val="auto"/>
                      <w:sz w:val="21"/>
                      <w:szCs w:val="21"/>
                      <w:u w:val="none"/>
                      <w:lang w:val="en-US" w:eastAsia="zh-CN"/>
                    </w:rPr>
                  </w:pPr>
                  <w:r>
                    <w:rPr>
                      <w:rFonts w:hint="default" w:ascii="Times New Roman" w:hAnsi="Times New Roman" w:eastAsia="宋体" w:cs="Times New Roman"/>
                      <w:color w:val="auto"/>
                      <w:sz w:val="21"/>
                      <w:szCs w:val="21"/>
                      <w:u w:val="none"/>
                      <w:lang w:val="en-US" w:eastAsia="zh-CN"/>
                    </w:rPr>
                    <w:t>3</w:t>
                  </w:r>
                </w:p>
              </w:tc>
            </w:tr>
          </w:tbl>
          <w:p>
            <w:pPr>
              <w:pStyle w:val="25"/>
              <w:bidi w:val="0"/>
              <w:rPr>
                <w:rFonts w:hint="eastAsia"/>
                <w:lang w:val="en-US" w:eastAsia="zh-CN"/>
              </w:rPr>
            </w:pPr>
            <w:r>
              <w:rPr>
                <w:rFonts w:hint="eastAsia"/>
                <w:b/>
                <w:bCs/>
                <w:lang w:val="en-US" w:eastAsia="zh-CN"/>
              </w:rPr>
              <w:t>3、噪声</w:t>
            </w:r>
          </w:p>
          <w:p>
            <w:pPr>
              <w:pStyle w:val="32"/>
              <w:ind w:firstLine="480"/>
              <w:rPr>
                <w:rFonts w:hint="eastAsia" w:cs="Times New Roman"/>
                <w:color w:val="auto"/>
                <w:u w:val="none" w:color="auto"/>
                <w:lang w:eastAsia="zh-CN"/>
              </w:rPr>
            </w:pPr>
            <w:r>
              <w:rPr>
                <w:rFonts w:hint="default" w:ascii="Times New Roman" w:hAnsi="Times New Roman" w:cs="Times New Roman"/>
                <w:color w:val="auto"/>
                <w:u w:val="none" w:color="auto"/>
              </w:rPr>
              <w:t>施工期噪声</w:t>
            </w:r>
            <w:r>
              <w:rPr>
                <w:rFonts w:hint="eastAsia" w:cs="Times New Roman"/>
                <w:color w:val="auto"/>
                <w:u w:val="none" w:color="auto"/>
                <w:lang w:val="en-US" w:eastAsia="zh-CN"/>
              </w:rPr>
              <w:t>执行</w:t>
            </w:r>
            <w:r>
              <w:rPr>
                <w:rFonts w:hint="default" w:ascii="Times New Roman" w:hAnsi="Times New Roman" w:cs="Times New Roman"/>
                <w:color w:val="auto"/>
                <w:u w:val="none" w:color="auto"/>
              </w:rPr>
              <w:t>《建筑施工场界环境噪声排放标准》（GB12523-2011）</w:t>
            </w:r>
            <w:r>
              <w:rPr>
                <w:rFonts w:hint="eastAsia"/>
                <w:lang w:val="en-US" w:eastAsia="zh-CN"/>
              </w:rPr>
              <w:t>表1标准</w:t>
            </w:r>
            <w:r>
              <w:rPr>
                <w:rFonts w:hint="eastAsia" w:cs="Times New Roman"/>
                <w:color w:val="auto"/>
                <w:u w:val="none" w:color="auto"/>
                <w:lang w:eastAsia="zh-CN"/>
              </w:rPr>
              <w:t>。</w:t>
            </w:r>
          </w:p>
          <w:p>
            <w:pPr>
              <w:pStyle w:val="27"/>
              <w:bidi w:val="0"/>
              <w:spacing w:line="240" w:lineRule="auto"/>
              <w:jc w:val="center"/>
              <w:rPr>
                <w:rFonts w:hint="default" w:ascii="Times New Roman" w:hAnsi="Times New Roman" w:eastAsia="宋体" w:cs="Times New Roman"/>
                <w:lang w:val="en-US" w:eastAsia="zh-CN"/>
              </w:rPr>
            </w:pPr>
            <w:r>
              <w:rPr>
                <w:rFonts w:hint="default" w:ascii="Times New Roman" w:hAnsi="Times New Roman" w:eastAsia="宋体" w:cs="Times New Roman"/>
                <w:lang w:val="en-US" w:eastAsia="zh-CN"/>
              </w:rPr>
              <w:t>表</w:t>
            </w:r>
            <w:r>
              <w:rPr>
                <w:rFonts w:hint="eastAsia" w:ascii="Times New Roman" w:hAnsi="Times New Roman" w:eastAsia="宋体" w:cs="Times New Roman"/>
                <w:lang w:val="en-US" w:eastAsia="zh-CN"/>
              </w:rPr>
              <w:t>3-1</w:t>
            </w:r>
            <w:r>
              <w:rPr>
                <w:rFonts w:hint="eastAsia" w:cs="Times New Roman"/>
                <w:lang w:val="en-US" w:eastAsia="zh-CN"/>
              </w:rPr>
              <w:t>2</w:t>
            </w:r>
            <w:r>
              <w:rPr>
                <w:rFonts w:hint="default" w:ascii="Times New Roman" w:hAnsi="Times New Roman" w:eastAsia="宋体" w:cs="Times New Roman"/>
                <w:lang w:val="en-US" w:eastAsia="zh-CN"/>
              </w:rPr>
              <w:t xml:space="preserve">  建筑施工场界噪声限值（单位：dB（A））</w:t>
            </w:r>
          </w:p>
          <w:tbl>
            <w:tblPr>
              <w:tblStyle w:val="18"/>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511"/>
              <w:gridCol w:w="1684"/>
              <w:gridCol w:w="559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818" w:type="pct"/>
                  <w:gridSpan w:val="2"/>
                  <w:tcBorders>
                    <w:tl2br w:val="nil"/>
                    <w:tr2bl w:val="nil"/>
                  </w:tcBorders>
                  <w:vAlign w:val="center"/>
                </w:tcPr>
                <w:p>
                  <w:pPr>
                    <w:pStyle w:val="16"/>
                    <w:keepNext w:val="0"/>
                    <w:keepLines w:val="0"/>
                    <w:pageBreakBefore w:val="0"/>
                    <w:widowControl w:val="0"/>
                    <w:kinsoku/>
                    <w:wordWrap/>
                    <w:overflowPunct/>
                    <w:topLinePunct w:val="0"/>
                    <w:autoSpaceDE/>
                    <w:autoSpaceDN/>
                    <w:bidi w:val="0"/>
                    <w:adjustRightInd/>
                    <w:snapToGrid/>
                    <w:spacing w:after="0" w:line="240" w:lineRule="auto"/>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标准值</w:t>
                  </w:r>
                </w:p>
              </w:tc>
              <w:tc>
                <w:tcPr>
                  <w:tcW w:w="3181" w:type="pct"/>
                  <w:tcBorders>
                    <w:tl2br w:val="nil"/>
                    <w:tr2bl w:val="nil"/>
                  </w:tcBorders>
                  <w:vAlign w:val="center"/>
                </w:tcPr>
                <w:p>
                  <w:pPr>
                    <w:pStyle w:val="16"/>
                    <w:keepNext w:val="0"/>
                    <w:keepLines w:val="0"/>
                    <w:pageBreakBefore w:val="0"/>
                    <w:widowControl w:val="0"/>
                    <w:kinsoku/>
                    <w:wordWrap/>
                    <w:overflowPunct/>
                    <w:topLinePunct w:val="0"/>
                    <w:autoSpaceDE/>
                    <w:autoSpaceDN/>
                    <w:bidi w:val="0"/>
                    <w:adjustRightInd/>
                    <w:snapToGrid/>
                    <w:spacing w:after="0" w:line="240" w:lineRule="auto"/>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标准来源</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60" w:type="pct"/>
                  <w:tcBorders>
                    <w:tl2br w:val="nil"/>
                    <w:tr2bl w:val="nil"/>
                  </w:tcBorders>
                  <w:vAlign w:val="center"/>
                </w:tcPr>
                <w:p>
                  <w:pPr>
                    <w:pStyle w:val="16"/>
                    <w:keepNext w:val="0"/>
                    <w:keepLines w:val="0"/>
                    <w:pageBreakBefore w:val="0"/>
                    <w:widowControl w:val="0"/>
                    <w:kinsoku/>
                    <w:wordWrap/>
                    <w:overflowPunct/>
                    <w:topLinePunct w:val="0"/>
                    <w:autoSpaceDE/>
                    <w:autoSpaceDN/>
                    <w:bidi w:val="0"/>
                    <w:adjustRightInd/>
                    <w:snapToGrid/>
                    <w:spacing w:after="0" w:line="240" w:lineRule="auto"/>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昼 间</w:t>
                  </w:r>
                </w:p>
              </w:tc>
              <w:tc>
                <w:tcPr>
                  <w:tcW w:w="958" w:type="pct"/>
                  <w:tcBorders>
                    <w:tl2br w:val="nil"/>
                    <w:tr2bl w:val="nil"/>
                  </w:tcBorders>
                  <w:vAlign w:val="center"/>
                </w:tcPr>
                <w:p>
                  <w:pPr>
                    <w:pStyle w:val="16"/>
                    <w:keepNext w:val="0"/>
                    <w:keepLines w:val="0"/>
                    <w:pageBreakBefore w:val="0"/>
                    <w:widowControl w:val="0"/>
                    <w:kinsoku/>
                    <w:wordWrap/>
                    <w:overflowPunct/>
                    <w:topLinePunct w:val="0"/>
                    <w:autoSpaceDE/>
                    <w:autoSpaceDN/>
                    <w:bidi w:val="0"/>
                    <w:adjustRightInd/>
                    <w:snapToGrid/>
                    <w:spacing w:after="0" w:line="240" w:lineRule="auto"/>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夜 间</w:t>
                  </w:r>
                </w:p>
              </w:tc>
              <w:tc>
                <w:tcPr>
                  <w:tcW w:w="3181" w:type="pct"/>
                  <w:vMerge w:val="restart"/>
                  <w:tcBorders>
                    <w:tl2br w:val="nil"/>
                    <w:tr2bl w:val="nil"/>
                  </w:tcBorders>
                  <w:vAlign w:val="center"/>
                </w:tcPr>
                <w:p>
                  <w:pPr>
                    <w:pStyle w:val="16"/>
                    <w:keepNext w:val="0"/>
                    <w:keepLines w:val="0"/>
                    <w:pageBreakBefore w:val="0"/>
                    <w:widowControl w:val="0"/>
                    <w:kinsoku/>
                    <w:wordWrap/>
                    <w:overflowPunct/>
                    <w:topLinePunct w:val="0"/>
                    <w:autoSpaceDE/>
                    <w:autoSpaceDN/>
                    <w:bidi w:val="0"/>
                    <w:adjustRightInd/>
                    <w:snapToGrid/>
                    <w:spacing w:after="0" w:line="240" w:lineRule="auto"/>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《建筑施工场界环境噪声排放标准》（GB2523-2011）</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60" w:type="pct"/>
                  <w:tcBorders>
                    <w:tl2br w:val="nil"/>
                    <w:tr2bl w:val="nil"/>
                  </w:tcBorders>
                  <w:vAlign w:val="center"/>
                </w:tcPr>
                <w:p>
                  <w:pPr>
                    <w:pStyle w:val="16"/>
                    <w:keepNext w:val="0"/>
                    <w:keepLines w:val="0"/>
                    <w:pageBreakBefore w:val="0"/>
                    <w:widowControl w:val="0"/>
                    <w:kinsoku/>
                    <w:wordWrap/>
                    <w:overflowPunct/>
                    <w:topLinePunct w:val="0"/>
                    <w:autoSpaceDE/>
                    <w:autoSpaceDN/>
                    <w:bidi w:val="0"/>
                    <w:adjustRightInd/>
                    <w:snapToGrid/>
                    <w:spacing w:after="0" w:line="240" w:lineRule="auto"/>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70</w:t>
                  </w:r>
                </w:p>
              </w:tc>
              <w:tc>
                <w:tcPr>
                  <w:tcW w:w="958" w:type="pct"/>
                  <w:tcBorders>
                    <w:tl2br w:val="nil"/>
                    <w:tr2bl w:val="nil"/>
                  </w:tcBorders>
                  <w:vAlign w:val="center"/>
                </w:tcPr>
                <w:p>
                  <w:pPr>
                    <w:pStyle w:val="16"/>
                    <w:keepNext w:val="0"/>
                    <w:keepLines w:val="0"/>
                    <w:pageBreakBefore w:val="0"/>
                    <w:widowControl w:val="0"/>
                    <w:kinsoku/>
                    <w:wordWrap/>
                    <w:overflowPunct/>
                    <w:topLinePunct w:val="0"/>
                    <w:autoSpaceDE/>
                    <w:autoSpaceDN/>
                    <w:bidi w:val="0"/>
                    <w:adjustRightInd/>
                    <w:snapToGrid/>
                    <w:spacing w:after="0" w:line="240" w:lineRule="auto"/>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55</w:t>
                  </w:r>
                </w:p>
              </w:tc>
              <w:tc>
                <w:tcPr>
                  <w:tcW w:w="3181" w:type="pct"/>
                  <w:vMerge w:val="continue"/>
                  <w:tcBorders>
                    <w:tl2br w:val="nil"/>
                    <w:tr2bl w:val="nil"/>
                  </w:tcBorders>
                  <w:vAlign w:val="center"/>
                </w:tcPr>
                <w:p>
                  <w:pPr>
                    <w:pStyle w:val="16"/>
                    <w:keepNext w:val="0"/>
                    <w:keepLines w:val="0"/>
                    <w:pageBreakBefore w:val="0"/>
                    <w:widowControl w:val="0"/>
                    <w:kinsoku/>
                    <w:wordWrap/>
                    <w:overflowPunct/>
                    <w:topLinePunct w:val="0"/>
                    <w:autoSpaceDE/>
                    <w:autoSpaceDN/>
                    <w:bidi w:val="0"/>
                    <w:adjustRightInd/>
                    <w:snapToGrid/>
                    <w:spacing w:after="0" w:line="240" w:lineRule="auto"/>
                    <w:jc w:val="center"/>
                    <w:textAlignment w:val="auto"/>
                    <w:rPr>
                      <w:rFonts w:hint="default" w:ascii="Times New Roman" w:hAnsi="Times New Roman" w:eastAsia="宋体" w:cs="Times New Roman"/>
                      <w:color w:val="auto"/>
                      <w:sz w:val="21"/>
                      <w:szCs w:val="21"/>
                    </w:rPr>
                  </w:pPr>
                </w:p>
              </w:tc>
            </w:tr>
          </w:tbl>
          <w:p>
            <w:pPr>
              <w:spacing w:line="360" w:lineRule="auto"/>
              <w:ind w:firstLine="480" w:firstLineChars="200"/>
              <w:rPr>
                <w:rFonts w:hint="default" w:ascii="Times New Roman" w:hAnsi="Times New Roman" w:eastAsia="宋体" w:cs="Times New Roman"/>
                <w:color w:val="auto"/>
                <w:sz w:val="24"/>
                <w:szCs w:val="24"/>
                <w:u w:val="none" w:color="auto"/>
                <w:shd w:val="clear" w:color="auto" w:fill="auto"/>
              </w:rPr>
            </w:pPr>
            <w:r>
              <w:rPr>
                <w:rFonts w:hint="eastAsia" w:cs="Times New Roman"/>
                <w:color w:val="auto"/>
                <w:sz w:val="24"/>
                <w:szCs w:val="24"/>
                <w:u w:val="none" w:color="auto"/>
                <w:shd w:val="clear" w:color="auto" w:fill="auto"/>
                <w:lang w:val="en-US" w:eastAsia="zh-CN"/>
              </w:rPr>
              <w:t>本项目位于</w:t>
            </w:r>
            <w:r>
              <w:rPr>
                <w:rFonts w:hint="default" w:ascii="Times New Roman" w:hAnsi="Times New Roman" w:cs="Times New Roman"/>
                <w:color w:val="auto"/>
                <w:u w:val="none" w:color="auto"/>
                <w:lang w:eastAsia="zh-CN"/>
              </w:rPr>
              <w:t>归阳</w:t>
            </w:r>
            <w:r>
              <w:rPr>
                <w:rFonts w:hint="eastAsia" w:cs="Times New Roman"/>
                <w:color w:val="auto"/>
                <w:u w:val="none" w:color="auto"/>
                <w:lang w:val="en-US" w:eastAsia="zh-CN"/>
              </w:rPr>
              <w:t>工业园云鹤循环经济产业园，</w:t>
            </w:r>
            <w:r>
              <w:rPr>
                <w:rFonts w:hint="default" w:ascii="Times New Roman" w:hAnsi="Times New Roman" w:eastAsia="宋体" w:cs="Times New Roman"/>
                <w:color w:val="auto"/>
                <w:sz w:val="24"/>
                <w:szCs w:val="24"/>
                <w:u w:val="none" w:color="auto"/>
                <w:shd w:val="clear" w:color="auto" w:fill="auto"/>
              </w:rPr>
              <w:t>运营期</w:t>
            </w:r>
            <w:r>
              <w:rPr>
                <w:rFonts w:hint="eastAsia" w:cs="Times New Roman"/>
                <w:color w:val="auto"/>
                <w:sz w:val="24"/>
                <w:szCs w:val="24"/>
                <w:u w:val="none" w:color="auto"/>
                <w:shd w:val="clear" w:color="auto" w:fill="auto"/>
                <w:lang w:val="en-US" w:eastAsia="zh-CN"/>
              </w:rPr>
              <w:t>噪声排放</w:t>
            </w:r>
            <w:r>
              <w:rPr>
                <w:rFonts w:hint="default" w:ascii="Times New Roman" w:hAnsi="Times New Roman" w:eastAsia="宋体" w:cs="Times New Roman"/>
                <w:color w:val="auto"/>
                <w:sz w:val="24"/>
                <w:szCs w:val="24"/>
                <w:u w:val="none" w:color="auto"/>
                <w:shd w:val="clear" w:color="auto" w:fill="auto"/>
              </w:rPr>
              <w:t>执行《工业企业厂界环境噪声排放标准》（GB12348-2008）中的</w:t>
            </w:r>
            <w:r>
              <w:rPr>
                <w:rFonts w:hint="eastAsia" w:cs="Times New Roman"/>
                <w:color w:val="auto"/>
                <w:sz w:val="24"/>
                <w:szCs w:val="24"/>
                <w:u w:val="none" w:color="auto"/>
                <w:shd w:val="clear" w:color="auto" w:fill="auto"/>
                <w:lang w:val="en-US" w:eastAsia="zh-CN"/>
              </w:rPr>
              <w:t>3</w:t>
            </w:r>
            <w:r>
              <w:rPr>
                <w:rFonts w:hint="eastAsia" w:ascii="Times New Roman" w:hAnsi="Times New Roman" w:eastAsia="宋体" w:cs="Times New Roman"/>
                <w:color w:val="auto"/>
                <w:sz w:val="24"/>
                <w:szCs w:val="24"/>
                <w:u w:val="none" w:color="auto"/>
                <w:shd w:val="clear" w:color="auto" w:fill="auto"/>
                <w:lang w:val="en-US" w:eastAsia="zh-CN"/>
              </w:rPr>
              <w:t>类</w:t>
            </w:r>
            <w:r>
              <w:rPr>
                <w:rFonts w:hint="default" w:ascii="Times New Roman" w:hAnsi="Times New Roman" w:eastAsia="宋体" w:cs="Times New Roman"/>
                <w:color w:val="auto"/>
                <w:sz w:val="24"/>
                <w:szCs w:val="24"/>
                <w:u w:val="none" w:color="auto"/>
                <w:shd w:val="clear" w:color="auto" w:fill="auto"/>
              </w:rPr>
              <w:t>标准。具体数值详见表</w:t>
            </w:r>
            <w:r>
              <w:rPr>
                <w:rFonts w:hint="default" w:ascii="Times New Roman" w:hAnsi="Times New Roman" w:eastAsia="宋体" w:cs="Times New Roman"/>
                <w:color w:val="auto"/>
                <w:sz w:val="24"/>
                <w:szCs w:val="24"/>
                <w:u w:val="none" w:color="auto"/>
                <w:shd w:val="clear" w:color="auto" w:fill="auto"/>
                <w:lang w:val="en-US" w:eastAsia="zh-CN"/>
              </w:rPr>
              <w:t>3</w:t>
            </w:r>
            <w:r>
              <w:rPr>
                <w:rFonts w:hint="default" w:ascii="Times New Roman" w:hAnsi="Times New Roman" w:eastAsia="宋体" w:cs="Times New Roman"/>
                <w:color w:val="auto"/>
                <w:sz w:val="24"/>
                <w:szCs w:val="24"/>
                <w:u w:val="none" w:color="auto"/>
                <w:shd w:val="clear" w:color="auto" w:fill="auto"/>
              </w:rPr>
              <w:t>-</w:t>
            </w:r>
            <w:r>
              <w:rPr>
                <w:rFonts w:hint="eastAsia" w:cs="Times New Roman"/>
                <w:color w:val="auto"/>
                <w:sz w:val="24"/>
                <w:szCs w:val="24"/>
                <w:u w:val="none" w:color="auto"/>
                <w:shd w:val="clear" w:color="auto" w:fill="auto"/>
                <w:lang w:val="en-US" w:eastAsia="zh-CN"/>
              </w:rPr>
              <w:t>12</w:t>
            </w:r>
            <w:r>
              <w:rPr>
                <w:rFonts w:hint="default" w:ascii="Times New Roman" w:hAnsi="Times New Roman" w:eastAsia="宋体" w:cs="Times New Roman"/>
                <w:color w:val="auto"/>
                <w:sz w:val="24"/>
                <w:szCs w:val="24"/>
                <w:u w:val="none" w:color="auto"/>
                <w:shd w:val="clear" w:color="auto" w:fill="auto"/>
              </w:rPr>
              <w:t>。</w:t>
            </w:r>
          </w:p>
          <w:p>
            <w:pPr>
              <w:pStyle w:val="27"/>
              <w:bidi w:val="0"/>
              <w:spacing w:line="240" w:lineRule="auto"/>
              <w:jc w:val="center"/>
              <w:rPr>
                <w:rFonts w:hint="default" w:ascii="Times New Roman" w:hAnsi="Times New Roman" w:eastAsia="宋体" w:cs="Times New Roman"/>
                <w:lang w:val="en-US" w:eastAsia="zh-CN"/>
              </w:rPr>
            </w:pPr>
            <w:r>
              <w:rPr>
                <w:rFonts w:hint="default" w:ascii="Times New Roman" w:hAnsi="Times New Roman" w:eastAsia="宋体" w:cs="Times New Roman"/>
                <w:lang w:val="en-US" w:eastAsia="zh-CN"/>
              </w:rPr>
              <w:t>表3-</w:t>
            </w:r>
            <w:r>
              <w:rPr>
                <w:rFonts w:hint="eastAsia" w:ascii="Times New Roman" w:hAnsi="Times New Roman" w:eastAsia="宋体" w:cs="Times New Roman"/>
                <w:lang w:val="en-US" w:eastAsia="zh-CN"/>
              </w:rPr>
              <w:t>1</w:t>
            </w:r>
            <w:r>
              <w:rPr>
                <w:rFonts w:hint="eastAsia" w:cs="Times New Roman"/>
                <w:lang w:val="en-US" w:eastAsia="zh-CN"/>
              </w:rPr>
              <w:t>3</w:t>
            </w:r>
            <w:r>
              <w:rPr>
                <w:rFonts w:hint="eastAsia" w:ascii="Times New Roman" w:hAnsi="Times New Roman" w:eastAsia="宋体" w:cs="Times New Roman"/>
                <w:lang w:val="en-US" w:eastAsia="zh-CN"/>
              </w:rPr>
              <w:t xml:space="preserve"> </w:t>
            </w:r>
            <w:r>
              <w:rPr>
                <w:rFonts w:hint="default" w:ascii="Times New Roman" w:hAnsi="Times New Roman" w:eastAsia="宋体" w:cs="Times New Roman"/>
                <w:lang w:val="en-US" w:eastAsia="zh-CN"/>
              </w:rPr>
              <w:t xml:space="preserve"> 噪声排放标准  单位：dB（A）</w:t>
            </w:r>
          </w:p>
          <w:tbl>
            <w:tblPr>
              <w:tblStyle w:val="18"/>
              <w:tblW w:w="8787"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649"/>
              <w:gridCol w:w="2556"/>
              <w:gridCol w:w="2069"/>
              <w:gridCol w:w="251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454" w:hRule="atLeast"/>
                <w:jc w:val="center"/>
              </w:trPr>
              <w:tc>
                <w:tcPr>
                  <w:tcW w:w="1649" w:type="dxa"/>
                  <w:tcBorders>
                    <w:tl2br w:val="nil"/>
                    <w:tr2bl w:val="nil"/>
                  </w:tcBorders>
                  <w:vAlign w:val="center"/>
                </w:tcPr>
                <w:p>
                  <w:pPr>
                    <w:pStyle w:val="16"/>
                    <w:keepNext w:val="0"/>
                    <w:keepLines w:val="0"/>
                    <w:pageBreakBefore w:val="0"/>
                    <w:widowControl w:val="0"/>
                    <w:kinsoku/>
                    <w:wordWrap/>
                    <w:overflowPunct/>
                    <w:topLinePunct w:val="0"/>
                    <w:autoSpaceDE/>
                    <w:autoSpaceDN/>
                    <w:bidi w:val="0"/>
                    <w:adjustRightInd/>
                    <w:snapToGrid/>
                    <w:spacing w:after="0" w:line="240" w:lineRule="auto"/>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类别</w:t>
                  </w:r>
                </w:p>
              </w:tc>
              <w:tc>
                <w:tcPr>
                  <w:tcW w:w="2556" w:type="dxa"/>
                  <w:tcBorders>
                    <w:tl2br w:val="nil"/>
                    <w:tr2bl w:val="nil"/>
                  </w:tcBorders>
                  <w:vAlign w:val="center"/>
                </w:tcPr>
                <w:p>
                  <w:pPr>
                    <w:pStyle w:val="16"/>
                    <w:keepNext w:val="0"/>
                    <w:keepLines w:val="0"/>
                    <w:pageBreakBefore w:val="0"/>
                    <w:widowControl w:val="0"/>
                    <w:kinsoku/>
                    <w:wordWrap/>
                    <w:overflowPunct/>
                    <w:topLinePunct w:val="0"/>
                    <w:autoSpaceDE/>
                    <w:autoSpaceDN/>
                    <w:bidi w:val="0"/>
                    <w:adjustRightInd/>
                    <w:snapToGrid/>
                    <w:spacing w:after="0" w:line="240" w:lineRule="auto"/>
                    <w:jc w:val="center"/>
                    <w:textAlignment w:val="auto"/>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排放标准</w:t>
                  </w:r>
                </w:p>
              </w:tc>
              <w:tc>
                <w:tcPr>
                  <w:tcW w:w="2069" w:type="dxa"/>
                  <w:tcBorders>
                    <w:tl2br w:val="nil"/>
                    <w:tr2bl w:val="nil"/>
                  </w:tcBorders>
                  <w:vAlign w:val="center"/>
                </w:tcPr>
                <w:p>
                  <w:pPr>
                    <w:pStyle w:val="16"/>
                    <w:keepNext w:val="0"/>
                    <w:keepLines w:val="0"/>
                    <w:pageBreakBefore w:val="0"/>
                    <w:widowControl w:val="0"/>
                    <w:kinsoku/>
                    <w:wordWrap/>
                    <w:overflowPunct/>
                    <w:topLinePunct w:val="0"/>
                    <w:autoSpaceDE/>
                    <w:autoSpaceDN/>
                    <w:bidi w:val="0"/>
                    <w:adjustRightInd/>
                    <w:snapToGrid/>
                    <w:spacing w:after="0" w:line="240" w:lineRule="auto"/>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昼间</w:t>
                  </w:r>
                </w:p>
              </w:tc>
              <w:tc>
                <w:tcPr>
                  <w:tcW w:w="2513" w:type="dxa"/>
                  <w:tcBorders>
                    <w:tl2br w:val="nil"/>
                    <w:tr2bl w:val="nil"/>
                  </w:tcBorders>
                  <w:vAlign w:val="center"/>
                </w:tcPr>
                <w:p>
                  <w:pPr>
                    <w:pStyle w:val="16"/>
                    <w:keepNext w:val="0"/>
                    <w:keepLines w:val="0"/>
                    <w:pageBreakBefore w:val="0"/>
                    <w:widowControl w:val="0"/>
                    <w:kinsoku/>
                    <w:wordWrap/>
                    <w:overflowPunct/>
                    <w:topLinePunct w:val="0"/>
                    <w:autoSpaceDE/>
                    <w:autoSpaceDN/>
                    <w:bidi w:val="0"/>
                    <w:adjustRightInd/>
                    <w:snapToGrid/>
                    <w:spacing w:after="0" w:line="240" w:lineRule="auto"/>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夜间</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454" w:hRule="atLeast"/>
                <w:jc w:val="center"/>
              </w:trPr>
              <w:tc>
                <w:tcPr>
                  <w:tcW w:w="1649" w:type="dxa"/>
                  <w:tcBorders>
                    <w:tl2br w:val="nil"/>
                    <w:tr2bl w:val="nil"/>
                  </w:tcBorders>
                  <w:vAlign w:val="center"/>
                </w:tcPr>
                <w:p>
                  <w:pPr>
                    <w:pStyle w:val="16"/>
                    <w:keepNext w:val="0"/>
                    <w:keepLines w:val="0"/>
                    <w:pageBreakBefore w:val="0"/>
                    <w:widowControl w:val="0"/>
                    <w:kinsoku/>
                    <w:wordWrap/>
                    <w:overflowPunct/>
                    <w:topLinePunct w:val="0"/>
                    <w:autoSpaceDE/>
                    <w:autoSpaceDN/>
                    <w:bidi w:val="0"/>
                    <w:adjustRightInd/>
                    <w:snapToGrid/>
                    <w:spacing w:after="0" w:line="240" w:lineRule="auto"/>
                    <w:jc w:val="center"/>
                    <w:textAlignment w:val="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运行期</w:t>
                  </w:r>
                </w:p>
              </w:tc>
              <w:tc>
                <w:tcPr>
                  <w:tcW w:w="2556" w:type="dxa"/>
                  <w:tcBorders>
                    <w:tl2br w:val="nil"/>
                    <w:tr2bl w:val="nil"/>
                  </w:tcBorders>
                  <w:vAlign w:val="center"/>
                </w:tcPr>
                <w:p>
                  <w:pPr>
                    <w:pStyle w:val="16"/>
                    <w:keepNext w:val="0"/>
                    <w:keepLines w:val="0"/>
                    <w:pageBreakBefore w:val="0"/>
                    <w:widowControl w:val="0"/>
                    <w:kinsoku/>
                    <w:wordWrap/>
                    <w:overflowPunct/>
                    <w:topLinePunct w:val="0"/>
                    <w:autoSpaceDE/>
                    <w:autoSpaceDN/>
                    <w:bidi w:val="0"/>
                    <w:adjustRightInd/>
                    <w:snapToGrid/>
                    <w:spacing w:after="0" w:line="240" w:lineRule="auto"/>
                    <w:jc w:val="center"/>
                    <w:textAlignment w:val="auto"/>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3类</w:t>
                  </w:r>
                </w:p>
              </w:tc>
              <w:tc>
                <w:tcPr>
                  <w:tcW w:w="2069" w:type="dxa"/>
                  <w:tcBorders>
                    <w:tl2br w:val="nil"/>
                    <w:tr2bl w:val="nil"/>
                  </w:tcBorders>
                  <w:vAlign w:val="center"/>
                </w:tcPr>
                <w:p>
                  <w:pPr>
                    <w:pStyle w:val="16"/>
                    <w:keepNext w:val="0"/>
                    <w:keepLines w:val="0"/>
                    <w:pageBreakBefore w:val="0"/>
                    <w:widowControl w:val="0"/>
                    <w:kinsoku/>
                    <w:wordWrap/>
                    <w:overflowPunct/>
                    <w:topLinePunct w:val="0"/>
                    <w:autoSpaceDE/>
                    <w:autoSpaceDN/>
                    <w:bidi w:val="0"/>
                    <w:adjustRightInd/>
                    <w:snapToGrid/>
                    <w:spacing w:after="0" w:line="240" w:lineRule="auto"/>
                    <w:ind w:firstLine="0" w:firstLineChars="0"/>
                    <w:jc w:val="center"/>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rPr>
                    <w:t>65</w:t>
                  </w:r>
                </w:p>
              </w:tc>
              <w:tc>
                <w:tcPr>
                  <w:tcW w:w="2513" w:type="dxa"/>
                  <w:tcBorders>
                    <w:tl2br w:val="nil"/>
                    <w:tr2bl w:val="nil"/>
                  </w:tcBorders>
                  <w:vAlign w:val="center"/>
                </w:tcPr>
                <w:p>
                  <w:pPr>
                    <w:pStyle w:val="16"/>
                    <w:keepNext w:val="0"/>
                    <w:keepLines w:val="0"/>
                    <w:pageBreakBefore w:val="0"/>
                    <w:widowControl w:val="0"/>
                    <w:kinsoku/>
                    <w:wordWrap/>
                    <w:overflowPunct/>
                    <w:topLinePunct w:val="0"/>
                    <w:autoSpaceDE/>
                    <w:autoSpaceDN/>
                    <w:bidi w:val="0"/>
                    <w:adjustRightInd/>
                    <w:snapToGrid/>
                    <w:spacing w:after="0" w:line="240" w:lineRule="auto"/>
                    <w:ind w:firstLine="0" w:firstLineChars="0"/>
                    <w:jc w:val="center"/>
                    <w:textAlignment w:val="auto"/>
                    <w:rPr>
                      <w:rFonts w:hint="eastAsia"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rPr>
                    <w:t>55</w:t>
                  </w:r>
                </w:p>
              </w:tc>
            </w:tr>
          </w:tbl>
          <w:p>
            <w:pPr>
              <w:pStyle w:val="25"/>
              <w:numPr>
                <w:ilvl w:val="0"/>
                <w:numId w:val="7"/>
              </w:numPr>
              <w:bidi w:val="0"/>
              <w:rPr>
                <w:rFonts w:hint="eastAsia"/>
                <w:b/>
                <w:bCs/>
                <w:lang w:val="en-US" w:eastAsia="zh-CN"/>
              </w:rPr>
            </w:pPr>
            <w:r>
              <w:rPr>
                <w:rFonts w:hint="eastAsia"/>
                <w:b/>
                <w:bCs/>
                <w:lang w:val="en-US" w:eastAsia="zh-CN"/>
              </w:rPr>
              <w:t>固体废物</w:t>
            </w:r>
          </w:p>
          <w:p>
            <w:pPr>
              <w:widowControl/>
              <w:spacing w:line="360" w:lineRule="auto"/>
              <w:ind w:firstLine="480" w:firstLineChars="200"/>
              <w:jc w:val="left"/>
              <w:rPr>
                <w:rFonts w:hint="eastAsia" w:ascii="Times New Roman" w:hAnsi="Times New Roman" w:eastAsia="宋体" w:cs="Times New Roman"/>
                <w:color w:val="auto"/>
                <w:kern w:val="0"/>
                <w:sz w:val="24"/>
                <w:szCs w:val="24"/>
                <w:u w:val="none" w:color="auto"/>
                <w:lang w:eastAsia="zh-CN"/>
              </w:rPr>
            </w:pPr>
            <w:r>
              <w:rPr>
                <w:rFonts w:hint="default" w:ascii="Times New Roman" w:hAnsi="Times New Roman" w:cs="Times New Roman"/>
                <w:color w:val="auto"/>
                <w:sz w:val="24"/>
                <w:u w:val="none" w:color="auto"/>
              </w:rPr>
              <w:t>一般工业固废处置执行《一般工业固体废物贮存和填埋污染控制标准》（GB18599-2020）；危险废物处置执行</w:t>
            </w:r>
            <w:r>
              <w:rPr>
                <w:rFonts w:hint="eastAsia" w:ascii="Times New Roman" w:hAnsi="Times New Roman" w:cs="Times New Roman"/>
                <w:color w:val="auto"/>
                <w:sz w:val="24"/>
                <w:u w:val="none" w:color="auto"/>
                <w:lang w:eastAsia="zh-CN"/>
              </w:rPr>
              <w:t>《危险废物贮存污染控制标准》（GB18597—2023）</w:t>
            </w:r>
            <w:r>
              <w:rPr>
                <w:rFonts w:hint="default" w:ascii="Times New Roman" w:hAnsi="Times New Roman" w:cs="Times New Roman"/>
                <w:color w:val="auto"/>
                <w:sz w:val="24"/>
                <w:u w:val="none" w:color="auto"/>
              </w:rPr>
              <w:t>；生活垃圾执行</w:t>
            </w:r>
            <w:r>
              <w:rPr>
                <w:rFonts w:hint="default" w:ascii="Times New Roman" w:hAnsi="Times New Roman" w:cs="Times New Roman"/>
                <w:color w:val="auto"/>
                <w:sz w:val="24"/>
                <w:u w:val="none" w:color="auto"/>
                <w:lang w:eastAsia="zh-CN"/>
              </w:rPr>
              <w:t>《生活垃圾填埋场污染控制标准》（GB16889-2008）</w:t>
            </w:r>
            <w:r>
              <w:rPr>
                <w:rFonts w:hint="default" w:ascii="Times New Roman" w:hAnsi="Times New Roman" w:cs="Times New Roman"/>
                <w:color w:val="auto"/>
                <w:sz w:val="24"/>
                <w:u w:val="none" w:color="auto"/>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180" w:hRule="atLeast"/>
          <w:jc w:val="center"/>
        </w:trPr>
        <w:tc>
          <w:tcPr>
            <w:tcW w:w="475" w:type="dxa"/>
            <w:noWrap w:val="0"/>
            <w:vAlign w:val="center"/>
          </w:tcPr>
          <w:p>
            <w:pPr>
              <w:adjustRightInd w:val="0"/>
              <w:snapToGrid w:val="0"/>
              <w:jc w:val="center"/>
              <w:rPr>
                <w:rFonts w:hint="default" w:ascii="Times New Roman" w:hAnsi="Times New Roman" w:eastAsia="宋体" w:cs="Times New Roman"/>
                <w:color w:val="auto"/>
                <w:kern w:val="0"/>
                <w:sz w:val="24"/>
                <w:szCs w:val="24"/>
                <w:u w:val="none" w:color="auto"/>
              </w:rPr>
            </w:pPr>
            <w:r>
              <w:rPr>
                <w:rFonts w:hint="default" w:ascii="Times New Roman" w:hAnsi="Times New Roman" w:eastAsia="宋体" w:cs="Times New Roman"/>
                <w:color w:val="auto"/>
                <w:kern w:val="0"/>
                <w:sz w:val="24"/>
                <w:szCs w:val="24"/>
                <w:u w:val="none" w:color="auto"/>
              </w:rPr>
              <w:t>总量</w:t>
            </w:r>
          </w:p>
          <w:p>
            <w:pPr>
              <w:adjustRightInd w:val="0"/>
              <w:snapToGrid w:val="0"/>
              <w:jc w:val="center"/>
              <w:rPr>
                <w:rFonts w:hint="default" w:ascii="Times New Roman" w:hAnsi="Times New Roman" w:eastAsia="宋体" w:cs="Times New Roman"/>
                <w:color w:val="auto"/>
                <w:kern w:val="0"/>
                <w:sz w:val="24"/>
                <w:szCs w:val="24"/>
                <w:u w:val="none" w:color="auto"/>
              </w:rPr>
            </w:pPr>
            <w:r>
              <w:rPr>
                <w:rFonts w:hint="default" w:ascii="Times New Roman" w:hAnsi="Times New Roman" w:eastAsia="宋体" w:cs="Times New Roman"/>
                <w:color w:val="auto"/>
                <w:kern w:val="0"/>
                <w:sz w:val="24"/>
                <w:szCs w:val="24"/>
                <w:u w:val="none" w:color="auto"/>
              </w:rPr>
              <w:t>控制</w:t>
            </w:r>
          </w:p>
          <w:p>
            <w:pPr>
              <w:adjustRightInd w:val="0"/>
              <w:snapToGrid w:val="0"/>
              <w:jc w:val="center"/>
              <w:rPr>
                <w:rFonts w:hint="eastAsia" w:ascii="宋体" w:hAnsi="宋体" w:cs="宋体"/>
                <w:kern w:val="0"/>
                <w:szCs w:val="21"/>
              </w:rPr>
            </w:pPr>
            <w:r>
              <w:rPr>
                <w:rFonts w:hint="default" w:ascii="Times New Roman" w:hAnsi="Times New Roman" w:eastAsia="宋体" w:cs="Times New Roman"/>
                <w:color w:val="auto"/>
                <w:kern w:val="0"/>
                <w:sz w:val="24"/>
                <w:szCs w:val="24"/>
                <w:u w:val="none" w:color="auto"/>
              </w:rPr>
              <w:t>指标</w:t>
            </w:r>
          </w:p>
        </w:tc>
        <w:tc>
          <w:tcPr>
            <w:tcW w:w="8409" w:type="dxa"/>
            <w:noWrap w:val="0"/>
            <w:vAlign w:val="top"/>
          </w:tcPr>
          <w:p>
            <w:pPr>
              <w:widowControl/>
              <w:spacing w:line="360" w:lineRule="auto"/>
              <w:ind w:firstLine="480" w:firstLineChars="200"/>
              <w:jc w:val="left"/>
              <w:rPr>
                <w:rFonts w:hint="default" w:ascii="Times New Roman" w:hAnsi="Times New Roman" w:cs="Times New Roman"/>
                <w:color w:val="auto"/>
                <w:sz w:val="24"/>
                <w:szCs w:val="24"/>
                <w:highlight w:val="none"/>
                <w:u w:val="none" w:color="auto"/>
              </w:rPr>
            </w:pPr>
            <w:r>
              <w:rPr>
                <w:rFonts w:hint="eastAsia"/>
                <w:color w:val="auto"/>
                <w:sz w:val="24"/>
                <w:szCs w:val="24"/>
                <w:highlight w:val="none"/>
                <w:u w:val="none" w:color="auto"/>
              </w:rPr>
              <w:t>依据《湖南省“十三五”主要污染物减排规划》，湖南省对COD、NH</w:t>
            </w:r>
            <w:r>
              <w:rPr>
                <w:rFonts w:hint="eastAsia"/>
                <w:color w:val="auto"/>
                <w:sz w:val="24"/>
                <w:szCs w:val="24"/>
                <w:highlight w:val="none"/>
                <w:u w:val="none" w:color="auto"/>
                <w:vertAlign w:val="subscript"/>
              </w:rPr>
              <w:t>3</w:t>
            </w:r>
            <w:r>
              <w:rPr>
                <w:rFonts w:hint="eastAsia"/>
                <w:color w:val="auto"/>
                <w:sz w:val="24"/>
                <w:szCs w:val="24"/>
                <w:highlight w:val="none"/>
                <w:u w:val="none" w:color="auto"/>
              </w:rPr>
              <w:t>-N、SO</w:t>
            </w:r>
            <w:r>
              <w:rPr>
                <w:rFonts w:hint="eastAsia"/>
                <w:color w:val="auto"/>
                <w:sz w:val="24"/>
                <w:szCs w:val="24"/>
                <w:highlight w:val="none"/>
                <w:u w:val="none" w:color="auto"/>
                <w:vertAlign w:val="subscript"/>
              </w:rPr>
              <w:t>2</w:t>
            </w:r>
            <w:r>
              <w:rPr>
                <w:rFonts w:hint="eastAsia"/>
                <w:color w:val="auto"/>
                <w:sz w:val="24"/>
                <w:szCs w:val="24"/>
                <w:highlight w:val="none"/>
                <w:u w:val="none" w:color="auto"/>
              </w:rPr>
              <w:t>、NO</w:t>
            </w:r>
            <w:r>
              <w:rPr>
                <w:rFonts w:hint="eastAsia"/>
                <w:color w:val="auto"/>
                <w:sz w:val="24"/>
                <w:szCs w:val="24"/>
                <w:highlight w:val="none"/>
                <w:u w:val="none" w:color="auto"/>
                <w:vertAlign w:val="subscript"/>
              </w:rPr>
              <w:t>X</w:t>
            </w:r>
            <w:r>
              <w:rPr>
                <w:rFonts w:hint="eastAsia"/>
                <w:color w:val="auto"/>
                <w:sz w:val="24"/>
                <w:szCs w:val="24"/>
                <w:highlight w:val="none"/>
                <w:u w:val="none" w:color="auto"/>
              </w:rPr>
              <w:t>、VOCs五项污染物实施总量控制。</w:t>
            </w:r>
            <w:r>
              <w:rPr>
                <w:rFonts w:hint="default" w:ascii="Times New Roman" w:hAnsi="Times New Roman" w:cs="Times New Roman"/>
                <w:color w:val="auto"/>
                <w:sz w:val="24"/>
                <w:szCs w:val="24"/>
                <w:highlight w:val="none"/>
                <w:u w:val="none" w:color="auto"/>
              </w:rPr>
              <w:t>项目无SO</w:t>
            </w:r>
            <w:r>
              <w:rPr>
                <w:rFonts w:hint="default" w:ascii="Times New Roman" w:hAnsi="Times New Roman" w:cs="Times New Roman"/>
                <w:color w:val="auto"/>
                <w:sz w:val="24"/>
                <w:szCs w:val="24"/>
                <w:highlight w:val="none"/>
                <w:u w:val="none" w:color="auto"/>
                <w:vertAlign w:val="subscript"/>
              </w:rPr>
              <w:t>2</w:t>
            </w:r>
            <w:r>
              <w:rPr>
                <w:rFonts w:hint="default" w:ascii="Times New Roman" w:hAnsi="Times New Roman" w:cs="Times New Roman"/>
                <w:color w:val="auto"/>
                <w:sz w:val="24"/>
                <w:szCs w:val="24"/>
                <w:highlight w:val="none"/>
                <w:u w:val="none" w:color="auto"/>
              </w:rPr>
              <w:t>、NO</w:t>
            </w:r>
            <w:r>
              <w:rPr>
                <w:rFonts w:hint="default" w:ascii="Times New Roman" w:hAnsi="Times New Roman" w:cs="Times New Roman"/>
                <w:i/>
                <w:color w:val="auto"/>
                <w:sz w:val="24"/>
                <w:szCs w:val="24"/>
                <w:highlight w:val="none"/>
                <w:u w:val="none" w:color="auto"/>
              </w:rPr>
              <w:t>x</w:t>
            </w:r>
            <w:r>
              <w:rPr>
                <w:rFonts w:hint="default" w:ascii="Times New Roman" w:hAnsi="Times New Roman" w:cs="Times New Roman"/>
                <w:color w:val="auto"/>
                <w:sz w:val="24"/>
                <w:szCs w:val="24"/>
                <w:highlight w:val="none"/>
                <w:u w:val="none" w:color="auto"/>
              </w:rPr>
              <w:t>产生及排放。</w:t>
            </w:r>
          </w:p>
          <w:p>
            <w:pPr>
              <w:pStyle w:val="32"/>
              <w:ind w:firstLine="480"/>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本项目员工生活污水经隔油池、化粪池处理后经园区污水</w:t>
            </w:r>
            <w:r>
              <w:rPr>
                <w:rFonts w:hint="eastAsia" w:cs="Times New Roman"/>
                <w:bCs/>
                <w:sz w:val="24"/>
                <w:szCs w:val="24"/>
                <w:lang w:val="en-US" w:eastAsia="zh-CN"/>
              </w:rPr>
              <w:t>管</w:t>
            </w:r>
            <w:r>
              <w:rPr>
                <w:rFonts w:hint="eastAsia" w:ascii="Times New Roman" w:hAnsi="Times New Roman" w:eastAsia="宋体" w:cs="Times New Roman"/>
                <w:bCs/>
                <w:sz w:val="24"/>
                <w:szCs w:val="24"/>
                <w:lang w:val="en-US" w:eastAsia="zh-CN"/>
              </w:rPr>
              <w:t>网排入归阳污水处理厂处理；初期雨水经初期雨水收集池收集，再由隔油沉淀池（气浮机+油水分离器）处理后经市政污水管网排入归阳污水处理厂进行处理，项目拖把清洗废水经隔油沉淀池（气浮机+油水分离器）处理后经园区污水</w:t>
            </w:r>
            <w:r>
              <w:rPr>
                <w:rFonts w:hint="eastAsia" w:cs="Times New Roman"/>
                <w:bCs/>
                <w:sz w:val="24"/>
                <w:szCs w:val="24"/>
                <w:lang w:val="en-US" w:eastAsia="zh-CN"/>
              </w:rPr>
              <w:t>管</w:t>
            </w:r>
            <w:r>
              <w:rPr>
                <w:rFonts w:hint="eastAsia" w:ascii="Times New Roman" w:hAnsi="Times New Roman" w:eastAsia="宋体" w:cs="Times New Roman"/>
                <w:bCs/>
                <w:sz w:val="24"/>
                <w:szCs w:val="24"/>
                <w:lang w:val="en-US" w:eastAsia="zh-CN"/>
              </w:rPr>
              <w:t>网排入归阳污水处理厂进行处理。</w:t>
            </w:r>
          </w:p>
          <w:p>
            <w:pPr>
              <w:pStyle w:val="5"/>
              <w:ind w:firstLine="480" w:firstLineChars="200"/>
              <w:rPr>
                <w:rFonts w:hint="default" w:eastAsia="宋体"/>
                <w:lang w:val="en-US" w:eastAsia="zh-CN"/>
              </w:rPr>
            </w:pPr>
            <w:r>
              <w:rPr>
                <w:rFonts w:hint="default" w:ascii="Times New Roman" w:hAnsi="Times New Roman" w:eastAsia="宋体" w:cs="Times New Roman"/>
                <w:b w:val="0"/>
                <w:bCs/>
                <w:kern w:val="2"/>
                <w:sz w:val="24"/>
                <w:szCs w:val="24"/>
                <w:lang w:val="en-US" w:eastAsia="zh-CN" w:bidi="ar-SA"/>
              </w:rPr>
              <w:t>故本项目需申请废水总量指标</w:t>
            </w:r>
            <w:r>
              <w:rPr>
                <w:rFonts w:hint="eastAsia" w:ascii="Times New Roman" w:hAnsi="Times New Roman" w:eastAsia="宋体" w:cs="Times New Roman"/>
                <w:b w:val="0"/>
                <w:bCs/>
                <w:kern w:val="2"/>
                <w:sz w:val="24"/>
                <w:szCs w:val="24"/>
                <w:lang w:val="en-US" w:eastAsia="zh-CN" w:bidi="ar-SA"/>
              </w:rPr>
              <w:t>：COD0.</w:t>
            </w:r>
            <w:r>
              <w:rPr>
                <w:rFonts w:hint="eastAsia" w:cs="Times New Roman"/>
                <w:b w:val="0"/>
                <w:bCs/>
                <w:kern w:val="2"/>
                <w:sz w:val="24"/>
                <w:szCs w:val="24"/>
                <w:lang w:val="en-US" w:eastAsia="zh-CN" w:bidi="ar-SA"/>
              </w:rPr>
              <w:t>2576</w:t>
            </w:r>
            <w:r>
              <w:rPr>
                <w:rFonts w:hint="eastAsia" w:ascii="Times New Roman" w:hAnsi="Times New Roman" w:eastAsia="宋体" w:cs="Times New Roman"/>
                <w:b w:val="0"/>
                <w:bCs/>
                <w:kern w:val="2"/>
                <w:sz w:val="24"/>
                <w:szCs w:val="24"/>
                <w:lang w:val="en-US" w:eastAsia="zh-CN" w:bidi="ar-SA"/>
              </w:rPr>
              <w:t>t/a、NH</w:t>
            </w:r>
            <w:r>
              <w:rPr>
                <w:rFonts w:hint="eastAsia" w:ascii="Times New Roman" w:hAnsi="Times New Roman" w:eastAsia="宋体" w:cs="Times New Roman"/>
                <w:b w:val="0"/>
                <w:bCs/>
                <w:kern w:val="2"/>
                <w:sz w:val="24"/>
                <w:szCs w:val="24"/>
                <w:vertAlign w:val="subscript"/>
                <w:lang w:val="en-US" w:eastAsia="zh-CN" w:bidi="ar-SA"/>
              </w:rPr>
              <w:t>3</w:t>
            </w:r>
            <w:r>
              <w:rPr>
                <w:rFonts w:hint="eastAsia" w:ascii="Times New Roman" w:hAnsi="Times New Roman" w:eastAsia="宋体" w:cs="Times New Roman"/>
                <w:b w:val="0"/>
                <w:bCs/>
                <w:kern w:val="2"/>
                <w:sz w:val="24"/>
                <w:szCs w:val="24"/>
                <w:lang w:val="en-US" w:eastAsia="zh-CN" w:bidi="ar-SA"/>
              </w:rPr>
              <w:t>-N0.0</w:t>
            </w:r>
            <w:r>
              <w:rPr>
                <w:rFonts w:hint="eastAsia" w:cs="Times New Roman"/>
                <w:b w:val="0"/>
                <w:bCs/>
                <w:kern w:val="2"/>
                <w:sz w:val="24"/>
                <w:szCs w:val="24"/>
                <w:lang w:val="en-US" w:eastAsia="zh-CN" w:bidi="ar-SA"/>
              </w:rPr>
              <w:t>644</w:t>
            </w:r>
            <w:r>
              <w:rPr>
                <w:rFonts w:hint="eastAsia" w:ascii="Times New Roman" w:hAnsi="Times New Roman" w:eastAsia="宋体" w:cs="Times New Roman"/>
                <w:b w:val="0"/>
                <w:bCs/>
                <w:kern w:val="2"/>
                <w:sz w:val="24"/>
                <w:szCs w:val="24"/>
                <w:lang w:val="en-US" w:eastAsia="zh-CN" w:bidi="ar-SA"/>
              </w:rPr>
              <w:t>t/a，需购买总量。</w:t>
            </w:r>
            <w:bookmarkStart w:id="19" w:name="_GoBack"/>
            <w:bookmarkEnd w:id="19"/>
          </w:p>
        </w:tc>
      </w:tr>
    </w:tbl>
    <w:p>
      <w:pPr>
        <w:pStyle w:val="15"/>
        <w:keepNext w:val="0"/>
        <w:keepLines w:val="0"/>
        <w:pageBreakBefore w:val="0"/>
        <w:widowControl/>
        <w:kinsoku/>
        <w:wordWrap/>
        <w:overflowPunct/>
        <w:topLinePunct w:val="0"/>
        <w:autoSpaceDE/>
        <w:autoSpaceDN/>
        <w:bidi w:val="0"/>
        <w:adjustRightInd/>
        <w:snapToGrid/>
        <w:spacing w:before="0" w:beforeAutospacing="0" w:after="0" w:afterAutospacing="0" w:line="240" w:lineRule="auto"/>
        <w:jc w:val="center"/>
        <w:textAlignment w:val="auto"/>
        <w:outlineLvl w:val="9"/>
        <w:rPr>
          <w:rFonts w:hint="eastAsia" w:ascii="Times New Roman" w:hAnsi="Times New Roman" w:eastAsia="宋体" w:cs="Times New Roman"/>
          <w:b/>
          <w:bCs/>
          <w:snapToGrid w:val="0"/>
          <w:color w:val="auto"/>
          <w:sz w:val="28"/>
          <w:szCs w:val="28"/>
          <w:u w:val="none" w:color="auto"/>
        </w:rPr>
      </w:pPr>
    </w:p>
    <w:p>
      <w:pPr>
        <w:pStyle w:val="22"/>
        <w:outlineLvl w:val="9"/>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15"/>
        <w:keepNext w:val="0"/>
        <w:keepLines w:val="0"/>
        <w:pageBreakBefore w:val="0"/>
        <w:widowControl/>
        <w:kinsoku/>
        <w:wordWrap/>
        <w:overflowPunct/>
        <w:topLinePunct w:val="0"/>
        <w:autoSpaceDE/>
        <w:autoSpaceDN/>
        <w:bidi w:val="0"/>
        <w:adjustRightInd/>
        <w:snapToGrid/>
        <w:spacing w:before="0" w:beforeAutospacing="0" w:after="0" w:afterAutospacing="0" w:line="240" w:lineRule="auto"/>
        <w:jc w:val="center"/>
        <w:textAlignment w:val="auto"/>
        <w:outlineLvl w:val="0"/>
        <w:rPr>
          <w:rFonts w:hint="eastAsia" w:ascii="Times New Roman" w:hAnsi="Times New Roman" w:eastAsia="宋体" w:cs="Times New Roman"/>
          <w:b/>
          <w:bCs/>
          <w:snapToGrid w:val="0"/>
          <w:color w:val="auto"/>
          <w:sz w:val="28"/>
          <w:szCs w:val="28"/>
          <w:u w:val="none" w:color="auto"/>
          <w:vertAlign w:val="baseline"/>
        </w:rPr>
      </w:pPr>
      <w:bookmarkStart w:id="3" w:name="_Toc12844"/>
      <w:r>
        <w:rPr>
          <w:rFonts w:hint="eastAsia" w:ascii="Times New Roman" w:hAnsi="Times New Roman" w:eastAsia="宋体" w:cs="Times New Roman"/>
          <w:b/>
          <w:bCs/>
          <w:snapToGrid w:val="0"/>
          <w:color w:val="auto"/>
          <w:sz w:val="28"/>
          <w:szCs w:val="28"/>
          <w:u w:val="none" w:color="auto"/>
        </w:rPr>
        <w:t>四、主要环境影响和保护措施</w:t>
      </w:r>
      <w:bookmarkEnd w:id="3"/>
    </w:p>
    <w:tbl>
      <w:tblPr>
        <w:tblStyle w:val="19"/>
        <w:tblW w:w="9084" w:type="dxa"/>
        <w:tblInd w:w="-39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00"/>
        <w:gridCol w:w="818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0" w:type="dxa"/>
            <w:vAlign w:val="center"/>
          </w:tcPr>
          <w:p>
            <w:pPr>
              <w:adjustRightInd w:val="0"/>
              <w:snapToGrid w:val="0"/>
              <w:jc w:val="center"/>
              <w:rPr>
                <w:rFonts w:hint="eastAsia" w:ascii="Times New Roman" w:hAnsi="Times New Roman" w:eastAsia="宋体" w:cs="Times New Roman"/>
                <w:color w:val="auto"/>
                <w:kern w:val="0"/>
                <w:sz w:val="24"/>
                <w:szCs w:val="24"/>
                <w:u w:val="none" w:color="auto"/>
              </w:rPr>
            </w:pPr>
            <w:r>
              <w:rPr>
                <w:rFonts w:hint="eastAsia" w:ascii="Times New Roman" w:hAnsi="Times New Roman" w:eastAsia="宋体" w:cs="Times New Roman"/>
                <w:color w:val="auto"/>
                <w:kern w:val="0"/>
                <w:sz w:val="24"/>
                <w:szCs w:val="24"/>
                <w:u w:val="none" w:color="auto"/>
              </w:rPr>
              <w:t>施工</w:t>
            </w:r>
          </w:p>
          <w:p>
            <w:pPr>
              <w:adjustRightInd w:val="0"/>
              <w:snapToGrid w:val="0"/>
              <w:jc w:val="center"/>
              <w:rPr>
                <w:rFonts w:hint="eastAsia" w:ascii="Times New Roman" w:hAnsi="Times New Roman" w:eastAsia="宋体" w:cs="Times New Roman"/>
                <w:color w:val="auto"/>
                <w:kern w:val="0"/>
                <w:sz w:val="24"/>
                <w:szCs w:val="24"/>
                <w:u w:val="none" w:color="auto"/>
              </w:rPr>
            </w:pPr>
            <w:r>
              <w:rPr>
                <w:rFonts w:hint="eastAsia" w:ascii="Times New Roman" w:hAnsi="Times New Roman" w:eastAsia="宋体" w:cs="Times New Roman"/>
                <w:color w:val="auto"/>
                <w:kern w:val="0"/>
                <w:sz w:val="24"/>
                <w:szCs w:val="24"/>
                <w:u w:val="none" w:color="auto"/>
              </w:rPr>
              <w:t>期环</w:t>
            </w:r>
          </w:p>
          <w:p>
            <w:pPr>
              <w:adjustRightInd w:val="0"/>
              <w:snapToGrid w:val="0"/>
              <w:jc w:val="center"/>
              <w:rPr>
                <w:rFonts w:hint="eastAsia" w:ascii="Times New Roman" w:hAnsi="Times New Roman" w:eastAsia="宋体" w:cs="Times New Roman"/>
                <w:color w:val="auto"/>
                <w:kern w:val="0"/>
                <w:sz w:val="24"/>
                <w:szCs w:val="24"/>
                <w:u w:val="none" w:color="auto"/>
              </w:rPr>
            </w:pPr>
            <w:r>
              <w:rPr>
                <w:rFonts w:hint="eastAsia" w:ascii="Times New Roman" w:hAnsi="Times New Roman" w:eastAsia="宋体" w:cs="Times New Roman"/>
                <w:color w:val="auto"/>
                <w:kern w:val="0"/>
                <w:sz w:val="24"/>
                <w:szCs w:val="24"/>
                <w:u w:val="none" w:color="auto"/>
              </w:rPr>
              <w:t>境保</w:t>
            </w:r>
          </w:p>
          <w:p>
            <w:pPr>
              <w:adjustRightInd w:val="0"/>
              <w:snapToGrid w:val="0"/>
              <w:jc w:val="center"/>
              <w:rPr>
                <w:rFonts w:hint="eastAsia" w:ascii="Times New Roman" w:hAnsi="Times New Roman" w:eastAsia="宋体" w:cs="Times New Roman"/>
                <w:color w:val="auto"/>
                <w:kern w:val="0"/>
                <w:sz w:val="24"/>
                <w:szCs w:val="24"/>
                <w:u w:val="none" w:color="auto"/>
              </w:rPr>
            </w:pPr>
            <w:r>
              <w:rPr>
                <w:rFonts w:hint="eastAsia" w:ascii="Times New Roman" w:hAnsi="Times New Roman" w:eastAsia="宋体" w:cs="Times New Roman"/>
                <w:color w:val="auto"/>
                <w:kern w:val="0"/>
                <w:sz w:val="24"/>
                <w:szCs w:val="24"/>
                <w:u w:val="none" w:color="auto"/>
              </w:rPr>
              <w:t>护措</w:t>
            </w:r>
          </w:p>
          <w:p>
            <w:pPr>
              <w:adjustRightInd w:val="0"/>
              <w:snapToGrid w:val="0"/>
              <w:jc w:val="center"/>
              <w:rPr>
                <w:rFonts w:hint="eastAsia" w:ascii="Times New Roman" w:hAnsi="Times New Roman" w:eastAsia="宋体" w:cs="Times New Roman"/>
                <w:b/>
                <w:bCs/>
                <w:snapToGrid w:val="0"/>
                <w:color w:val="auto"/>
                <w:sz w:val="28"/>
                <w:szCs w:val="28"/>
                <w:u w:val="none" w:color="auto"/>
                <w:vertAlign w:val="baseline"/>
              </w:rPr>
            </w:pPr>
            <w:r>
              <w:rPr>
                <w:rFonts w:hint="eastAsia" w:ascii="Times New Roman" w:hAnsi="Times New Roman" w:eastAsia="宋体" w:cs="Times New Roman"/>
                <w:color w:val="auto"/>
                <w:kern w:val="0"/>
                <w:sz w:val="24"/>
                <w:szCs w:val="24"/>
                <w:u w:val="none" w:color="auto"/>
              </w:rPr>
              <w:t>施</w:t>
            </w:r>
          </w:p>
        </w:tc>
        <w:tc>
          <w:tcPr>
            <w:tcW w:w="8184" w:type="dxa"/>
          </w:tcPr>
          <w:p>
            <w:pPr>
              <w:pStyle w:val="25"/>
              <w:bidi w:val="0"/>
              <w:rPr>
                <w:rFonts w:hint="eastAsia" w:eastAsia="宋体"/>
                <w:lang w:val="en-US" w:eastAsia="zh-CN"/>
              </w:rPr>
            </w:pPr>
            <w:r>
              <w:rPr>
                <w:rFonts w:hint="eastAsia"/>
                <w:b/>
                <w:bCs/>
                <w:lang w:val="en-US" w:eastAsia="zh-CN"/>
              </w:rPr>
              <w:t>1、废气</w:t>
            </w:r>
          </w:p>
          <w:p>
            <w:pPr>
              <w:pStyle w:val="25"/>
              <w:bidi w:val="0"/>
              <w:jc w:val="left"/>
              <w:rPr>
                <w:rFonts w:hint="default"/>
                <w:lang w:val="en-US" w:eastAsia="zh-CN"/>
              </w:rPr>
            </w:pPr>
            <w:r>
              <w:rPr>
                <w:rFonts w:hint="eastAsia"/>
                <w:lang w:val="en-US" w:eastAsia="zh-CN"/>
              </w:rPr>
              <w:t>施工期废气主要为施工废气及施工扬尘</w:t>
            </w:r>
            <w:r>
              <w:rPr>
                <w:rFonts w:hint="eastAsia" w:ascii="宋体" w:hAnsi="宋体" w:eastAsia="宋体" w:cs="宋体"/>
                <w:lang w:val="en-US" w:eastAsia="zh-CN"/>
              </w:rPr>
              <w:t>。</w:t>
            </w:r>
            <w:r>
              <w:rPr>
                <w:rFonts w:hint="eastAsia"/>
                <w:lang w:val="en-US" w:eastAsia="zh-CN"/>
              </w:rPr>
              <w:t>施工废气主要来源于施工机械和运输车辆所排放的尾气</w:t>
            </w:r>
            <w:r>
              <w:rPr>
                <w:rFonts w:hint="eastAsia" w:ascii="宋体" w:hAnsi="宋体" w:eastAsia="宋体" w:cs="宋体"/>
                <w:lang w:val="en-US" w:eastAsia="zh-CN"/>
              </w:rPr>
              <w:t>；</w:t>
            </w:r>
            <w:r>
              <w:rPr>
                <w:rFonts w:hint="eastAsia"/>
                <w:lang w:val="en-US" w:eastAsia="zh-CN"/>
              </w:rPr>
              <w:t>施工扬尘主要来源于</w:t>
            </w:r>
            <w:r>
              <w:rPr>
                <w:rFonts w:ascii="Times New Roman" w:cs="Times New Roman"/>
                <w:sz w:val="24"/>
                <w:szCs w:val="20"/>
              </w:rPr>
              <w:t>建筑材料（如水泥、石灰、砂子等）在其装卸、运输、堆放过程中</w:t>
            </w:r>
            <w:r>
              <w:rPr>
                <w:rFonts w:hint="eastAsia" w:ascii="宋体" w:hAnsi="宋体" w:eastAsia="宋体" w:cs="宋体"/>
                <w:sz w:val="24"/>
                <w:szCs w:val="20"/>
              </w:rPr>
              <w:t>，</w:t>
            </w:r>
            <w:r>
              <w:rPr>
                <w:rFonts w:ascii="Times New Roman" w:cs="Times New Roman"/>
                <w:sz w:val="24"/>
                <w:szCs w:val="20"/>
              </w:rPr>
              <w:t>因风力作用</w:t>
            </w:r>
            <w:r>
              <w:rPr>
                <w:rFonts w:hint="eastAsia" w:cs="Times New Roman"/>
                <w:sz w:val="24"/>
                <w:szCs w:val="20"/>
                <w:lang w:eastAsia="zh-CN"/>
              </w:rPr>
              <w:t>而</w:t>
            </w:r>
            <w:r>
              <w:rPr>
                <w:rFonts w:ascii="Times New Roman" w:cs="Times New Roman"/>
                <w:sz w:val="24"/>
                <w:szCs w:val="20"/>
              </w:rPr>
              <w:t>产生</w:t>
            </w:r>
            <w:r>
              <w:rPr>
                <w:rFonts w:hint="eastAsia" w:ascii="宋体" w:hAnsi="宋体" w:eastAsia="宋体" w:cs="宋体"/>
                <w:sz w:val="24"/>
                <w:szCs w:val="20"/>
              </w:rPr>
              <w:t>；</w:t>
            </w:r>
            <w:r>
              <w:rPr>
                <w:rFonts w:ascii="Times New Roman" w:cs="Times New Roman"/>
                <w:sz w:val="24"/>
                <w:szCs w:val="20"/>
              </w:rPr>
              <w:t>运输车辆</w:t>
            </w:r>
            <w:r>
              <w:rPr>
                <w:rFonts w:hint="eastAsia" w:cs="Times New Roman"/>
                <w:sz w:val="24"/>
                <w:szCs w:val="20"/>
                <w:lang w:eastAsia="zh-CN"/>
              </w:rPr>
              <w:t>来往</w:t>
            </w:r>
            <w:r>
              <w:rPr>
                <w:rFonts w:ascii="Times New Roman" w:cs="Times New Roman"/>
                <w:sz w:val="24"/>
                <w:szCs w:val="20"/>
              </w:rPr>
              <w:t>造成地面扬尘</w:t>
            </w:r>
            <w:r>
              <w:rPr>
                <w:rFonts w:hint="eastAsia" w:ascii="宋体" w:hAnsi="宋体" w:eastAsia="宋体" w:cs="宋体"/>
                <w:sz w:val="24"/>
                <w:szCs w:val="20"/>
              </w:rPr>
              <w:t>；</w:t>
            </w:r>
            <w:r>
              <w:rPr>
                <w:rFonts w:ascii="Times New Roman" w:cs="Times New Roman"/>
                <w:sz w:val="24"/>
                <w:szCs w:val="20"/>
              </w:rPr>
              <w:t>施工</w:t>
            </w:r>
            <w:r>
              <w:rPr>
                <w:rFonts w:hint="eastAsia" w:cs="Times New Roman"/>
                <w:sz w:val="24"/>
                <w:szCs w:val="20"/>
                <w:lang w:eastAsia="zh-CN"/>
              </w:rPr>
              <w:t>过程</w:t>
            </w:r>
            <w:r>
              <w:rPr>
                <w:rFonts w:ascii="Times New Roman" w:cs="Times New Roman"/>
                <w:sz w:val="24"/>
                <w:szCs w:val="20"/>
              </w:rPr>
              <w:t>中土石方堆放和清运过程中产生扬尘</w:t>
            </w:r>
            <w:r>
              <w:rPr>
                <w:rFonts w:hint="eastAsia" w:ascii="宋体" w:hAnsi="宋体" w:eastAsia="宋体" w:cs="宋体"/>
                <w:sz w:val="24"/>
                <w:szCs w:val="20"/>
              </w:rPr>
              <w:t>。</w:t>
            </w:r>
          </w:p>
          <w:p>
            <w:pPr>
              <w:pStyle w:val="25"/>
              <w:bidi w:val="0"/>
              <w:jc w:val="left"/>
            </w:pPr>
            <w:r>
              <w:rPr>
                <w:rFonts w:hint="eastAsia"/>
              </w:rPr>
              <w:t>上述施工过程中产生的</w:t>
            </w:r>
            <w:r>
              <w:rPr>
                <w:rFonts w:hint="eastAsia"/>
                <w:lang w:eastAsia="zh-CN"/>
              </w:rPr>
              <w:t>施工</w:t>
            </w:r>
            <w:r>
              <w:rPr>
                <w:rFonts w:hint="eastAsia"/>
              </w:rPr>
              <w:t>废气及</w:t>
            </w:r>
            <w:r>
              <w:rPr>
                <w:rFonts w:hint="eastAsia"/>
                <w:lang w:eastAsia="zh-CN"/>
              </w:rPr>
              <w:t>施工</w:t>
            </w:r>
            <w:r>
              <w:rPr>
                <w:rFonts w:hint="eastAsia"/>
              </w:rPr>
              <w:t>扬尘将会对</w:t>
            </w:r>
            <w:r>
              <w:rPr>
                <w:rFonts w:hint="eastAsia"/>
                <w:lang w:eastAsia="zh-CN"/>
              </w:rPr>
              <w:t>项目所在区域</w:t>
            </w:r>
            <w:r>
              <w:rPr>
                <w:rFonts w:hint="eastAsia"/>
              </w:rPr>
              <w:t>大气环境造成污染</w:t>
            </w:r>
            <w:r>
              <w:rPr>
                <w:rFonts w:hint="eastAsia" w:ascii="宋体" w:hAnsi="宋体" w:eastAsia="宋体" w:cs="宋体"/>
              </w:rPr>
              <w:t>，</w:t>
            </w:r>
            <w:r>
              <w:rPr>
                <w:rFonts w:hint="eastAsia"/>
              </w:rPr>
              <w:t>其中又以扬尘的危害较为严重</w:t>
            </w:r>
            <w:r>
              <w:rPr>
                <w:rFonts w:hint="eastAsia" w:ascii="宋体" w:hAnsi="宋体" w:eastAsia="宋体" w:cs="宋体"/>
              </w:rPr>
              <w:t>。</w:t>
            </w:r>
            <w:r>
              <w:rPr>
                <w:rFonts w:hint="eastAsia"/>
              </w:rPr>
              <w:t>施工期间产生的扬尘污染主要决定于施工作业方式、材料的堆放以及风力等因素</w:t>
            </w:r>
            <w:r>
              <w:rPr>
                <w:rFonts w:hint="eastAsia" w:ascii="宋体" w:hAnsi="宋体" w:eastAsia="宋体" w:cs="宋体"/>
              </w:rPr>
              <w:t>，</w:t>
            </w:r>
            <w:r>
              <w:rPr>
                <w:rFonts w:hint="eastAsia"/>
              </w:rPr>
              <w:t>其中受风力因素的影响最大</w:t>
            </w:r>
            <w:r>
              <w:rPr>
                <w:rFonts w:hint="eastAsia" w:ascii="宋体" w:hAnsi="宋体" w:eastAsia="宋体" w:cs="宋体"/>
              </w:rPr>
              <w:t>。</w:t>
            </w:r>
          </w:p>
          <w:p>
            <w:pPr>
              <w:pStyle w:val="25"/>
              <w:bidi w:val="0"/>
              <w:rPr>
                <w:rFonts w:hint="eastAsia"/>
                <w:lang w:eastAsia="zh-CN"/>
              </w:rPr>
            </w:pPr>
            <w:r>
              <w:rPr>
                <w:rFonts w:hint="eastAsia"/>
                <w:b/>
                <w:bCs/>
                <w:lang w:eastAsia="zh-CN"/>
              </w:rPr>
              <w:t>拟采取的环保措施：</w:t>
            </w:r>
          </w:p>
          <w:p>
            <w:pPr>
              <w:pStyle w:val="25"/>
              <w:bidi w:val="0"/>
            </w:pPr>
            <w:r>
              <w:rPr>
                <w:rFonts w:hint="eastAsia"/>
                <w:lang w:eastAsia="zh-CN"/>
              </w:rPr>
              <w:t>①</w:t>
            </w:r>
            <w:r>
              <w:t>建设文明标准化施工</w:t>
            </w:r>
            <w:r>
              <w:rPr>
                <w:rFonts w:hint="eastAsia"/>
                <w:lang w:eastAsia="zh-CN"/>
              </w:rPr>
              <w:t>场地</w:t>
            </w:r>
            <w:r>
              <w:rPr>
                <w:rFonts w:hint="eastAsia" w:ascii="宋体" w:hAnsi="宋体" w:eastAsia="宋体" w:cs="宋体"/>
              </w:rPr>
              <w:t>，</w:t>
            </w:r>
            <w:r>
              <w:t>配置工地滞尘防护网、设置围档</w:t>
            </w:r>
            <w:r>
              <w:rPr>
                <w:rFonts w:hint="eastAsia" w:ascii="宋体" w:hAnsi="宋体" w:eastAsia="宋体" w:cs="宋体"/>
              </w:rPr>
              <w:t>，</w:t>
            </w:r>
            <w:r>
              <w:t>优先建好进场道路</w:t>
            </w:r>
            <w:r>
              <w:rPr>
                <w:rFonts w:hint="eastAsia" w:ascii="宋体" w:hAnsi="宋体" w:eastAsia="宋体" w:cs="宋体"/>
              </w:rPr>
              <w:t>，</w:t>
            </w:r>
            <w:r>
              <w:t>采取道路硬化措施</w:t>
            </w:r>
            <w:r>
              <w:rPr>
                <w:rFonts w:hint="eastAsia" w:ascii="宋体" w:hAnsi="宋体" w:eastAsia="宋体" w:cs="宋体"/>
              </w:rPr>
              <w:t>；</w:t>
            </w:r>
          </w:p>
          <w:p>
            <w:pPr>
              <w:pStyle w:val="25"/>
              <w:bidi w:val="0"/>
            </w:pPr>
            <w:r>
              <w:rPr>
                <w:rFonts w:hint="eastAsia"/>
                <w:lang w:eastAsia="zh-CN"/>
              </w:rPr>
              <w:t>②</w:t>
            </w:r>
            <w:r>
              <w:t>进场道路应适时洒水抑制扬尘</w:t>
            </w:r>
            <w:r>
              <w:rPr>
                <w:rFonts w:hint="eastAsia" w:ascii="宋体" w:hAnsi="宋体" w:eastAsia="宋体" w:cs="宋体"/>
              </w:rPr>
              <w:t>，</w:t>
            </w:r>
            <w:r>
              <w:t>防止和减轻道路扬尘对环境的影响</w:t>
            </w:r>
            <w:r>
              <w:rPr>
                <w:rFonts w:hint="eastAsia" w:ascii="宋体" w:hAnsi="宋体" w:eastAsia="宋体" w:cs="宋体"/>
              </w:rPr>
              <w:t>；</w:t>
            </w:r>
            <w:r>
              <w:t>对易产生粉尘的散装物料运输车辆</w:t>
            </w:r>
            <w:r>
              <w:rPr>
                <w:rFonts w:hint="eastAsia" w:ascii="宋体" w:hAnsi="宋体" w:eastAsia="宋体" w:cs="宋体"/>
              </w:rPr>
              <w:t>，</w:t>
            </w:r>
            <w:r>
              <w:t>可根据物料的具体形状采取密封或围护措施</w:t>
            </w:r>
            <w:r>
              <w:rPr>
                <w:rFonts w:hint="eastAsia" w:ascii="宋体" w:hAnsi="宋体" w:eastAsia="宋体" w:cs="宋体"/>
              </w:rPr>
              <w:t>，</w:t>
            </w:r>
            <w:r>
              <w:t>防止散装物料在运输过程中撒落而引起扬尘污染</w:t>
            </w:r>
            <w:r>
              <w:rPr>
                <w:rFonts w:hint="eastAsia" w:ascii="宋体" w:hAnsi="宋体" w:eastAsia="宋体" w:cs="宋体"/>
              </w:rPr>
              <w:t>。</w:t>
            </w:r>
          </w:p>
          <w:p>
            <w:pPr>
              <w:pStyle w:val="25"/>
              <w:bidi w:val="0"/>
            </w:pPr>
            <w:r>
              <w:rPr>
                <w:rFonts w:hint="eastAsia"/>
                <w:lang w:eastAsia="zh-CN"/>
              </w:rPr>
              <w:t>③</w:t>
            </w:r>
            <w:r>
              <w:t>施工车辆、机械应选择</w:t>
            </w:r>
            <w:r>
              <w:rPr>
                <w:rFonts w:hint="eastAsia"/>
                <w:lang w:val="en-US" w:eastAsia="zh-CN"/>
              </w:rPr>
              <w:t>符合</w:t>
            </w:r>
            <w:r>
              <w:t>国家相关</w:t>
            </w:r>
            <w:r>
              <w:rPr>
                <w:rFonts w:hint="eastAsia"/>
                <w:lang w:val="en-US" w:eastAsia="zh-CN"/>
              </w:rPr>
              <w:t>标准</w:t>
            </w:r>
            <w:r>
              <w:t>的机械设备</w:t>
            </w:r>
            <w:r>
              <w:rPr>
                <w:rFonts w:hint="eastAsia" w:ascii="宋体" w:hAnsi="宋体" w:eastAsia="宋体" w:cs="宋体"/>
              </w:rPr>
              <w:t>，</w:t>
            </w:r>
            <w:r>
              <w:t>加强机械的维护</w:t>
            </w:r>
            <w:r>
              <w:rPr>
                <w:rFonts w:hint="eastAsia" w:ascii="宋体" w:hAnsi="宋体" w:eastAsia="宋体" w:cs="宋体"/>
              </w:rPr>
              <w:t>，</w:t>
            </w:r>
            <w:r>
              <w:t>防止尾气超标排放</w:t>
            </w:r>
            <w:r>
              <w:rPr>
                <w:rFonts w:hint="eastAsia" w:ascii="宋体" w:hAnsi="宋体" w:eastAsia="宋体" w:cs="宋体"/>
              </w:rPr>
              <w:t>。</w:t>
            </w:r>
            <w:r>
              <w:t>施工人员要做好施工现场的交通组织</w:t>
            </w:r>
            <w:r>
              <w:rPr>
                <w:rFonts w:hint="eastAsia" w:ascii="宋体" w:hAnsi="宋体" w:eastAsia="宋体" w:cs="宋体"/>
              </w:rPr>
              <w:t>，</w:t>
            </w:r>
            <w:r>
              <w:t>减少运输车辆怠速产生的废气排放</w:t>
            </w:r>
            <w:r>
              <w:rPr>
                <w:rFonts w:hint="eastAsia" w:ascii="宋体" w:hAnsi="宋体" w:eastAsia="宋体" w:cs="宋体"/>
              </w:rPr>
              <w:t>。</w:t>
            </w:r>
          </w:p>
          <w:p>
            <w:pPr>
              <w:pStyle w:val="25"/>
              <w:bidi w:val="0"/>
              <w:rPr>
                <w:rFonts w:hint="eastAsia"/>
                <w:lang w:val="en-US" w:eastAsia="zh-CN"/>
              </w:rPr>
            </w:pPr>
            <w:r>
              <w:rPr>
                <w:rFonts w:hint="eastAsia"/>
                <w:b/>
                <w:bCs/>
                <w:lang w:val="en-US" w:eastAsia="zh-CN"/>
              </w:rPr>
              <w:t>2、废水</w:t>
            </w:r>
          </w:p>
          <w:p>
            <w:pPr>
              <w:pStyle w:val="25"/>
              <w:bidi w:val="0"/>
              <w:jc w:val="left"/>
              <w:rPr>
                <w:rFonts w:hint="default"/>
                <w:lang w:val="en-US" w:eastAsia="zh-CN"/>
              </w:rPr>
            </w:pPr>
            <w:r>
              <w:rPr>
                <w:rFonts w:hint="eastAsia"/>
                <w:lang w:val="en-US" w:eastAsia="zh-CN"/>
              </w:rPr>
              <w:t>施工期废水主要为施工废水及施工人员生活污水</w:t>
            </w:r>
            <w:r>
              <w:rPr>
                <w:rFonts w:hint="eastAsia" w:ascii="宋体" w:hAnsi="宋体" w:eastAsia="宋体" w:cs="宋体"/>
                <w:lang w:val="en-US" w:eastAsia="zh-CN"/>
              </w:rPr>
              <w:t>。</w:t>
            </w:r>
          </w:p>
          <w:p>
            <w:pPr>
              <w:pStyle w:val="25"/>
              <w:bidi w:val="0"/>
              <w:jc w:val="left"/>
              <w:rPr>
                <w:rFonts w:hint="eastAsia"/>
                <w:lang w:val="en-US" w:eastAsia="zh-CN"/>
              </w:rPr>
            </w:pPr>
            <w:r>
              <w:rPr>
                <w:rFonts w:hint="eastAsia"/>
                <w:lang w:val="en-US" w:eastAsia="zh-CN"/>
              </w:rPr>
              <w:t>（1）施工废水</w:t>
            </w:r>
          </w:p>
          <w:p>
            <w:pPr>
              <w:pStyle w:val="25"/>
              <w:bidi w:val="0"/>
              <w:jc w:val="left"/>
              <w:rPr>
                <w:rFonts w:hint="eastAsia"/>
                <w:lang w:val="en-US" w:eastAsia="zh-CN"/>
              </w:rPr>
            </w:pPr>
            <w:r>
              <w:rPr>
                <w:rFonts w:hint="eastAsia"/>
                <w:lang w:val="en-US" w:eastAsia="zh-CN"/>
              </w:rPr>
              <w:t>施工机械、渣土及材料运输车辆在运行和维修及外表的清洗中产生的少量含油污、含泥沙废水</w:t>
            </w:r>
            <w:r>
              <w:rPr>
                <w:rFonts w:hint="eastAsia" w:ascii="宋体" w:hAnsi="宋体" w:eastAsia="宋体" w:cs="宋体"/>
                <w:lang w:val="en-US" w:eastAsia="zh-CN"/>
              </w:rPr>
              <w:t>，</w:t>
            </w:r>
            <w:r>
              <w:rPr>
                <w:rFonts w:hint="eastAsia"/>
                <w:lang w:val="en-US" w:eastAsia="zh-CN"/>
              </w:rPr>
              <w:t>其主要污染物浓度一般为 COD</w:t>
            </w:r>
            <w:r>
              <w:rPr>
                <w:rFonts w:hint="eastAsia"/>
                <w:vertAlign w:val="subscript"/>
                <w:lang w:val="en-US" w:eastAsia="zh-CN"/>
              </w:rPr>
              <w:t>cr</w:t>
            </w:r>
            <w:r>
              <w:rPr>
                <w:rFonts w:hint="eastAsia"/>
                <w:lang w:val="en-US" w:eastAsia="zh-CN"/>
              </w:rPr>
              <w:t>：25~200mg/L、石油类：10~30mg/L、SS：500~4000mg/L</w:t>
            </w:r>
            <w:r>
              <w:rPr>
                <w:rFonts w:hint="eastAsia" w:ascii="宋体" w:hAnsi="宋体" w:eastAsia="宋体" w:cs="宋体"/>
                <w:lang w:val="en-US" w:eastAsia="zh-CN"/>
              </w:rPr>
              <w:t>。</w:t>
            </w:r>
          </w:p>
          <w:p>
            <w:pPr>
              <w:pStyle w:val="25"/>
              <w:bidi w:val="0"/>
              <w:jc w:val="left"/>
              <w:rPr>
                <w:rFonts w:hint="eastAsia" w:eastAsia="宋体"/>
                <w:lang w:val="en-US" w:eastAsia="zh-CN"/>
              </w:rPr>
            </w:pPr>
            <w:r>
              <w:rPr>
                <w:rFonts w:hint="eastAsia"/>
                <w:lang w:val="en-US" w:eastAsia="zh-CN"/>
              </w:rPr>
              <w:t>（2）施工人员生活污水</w:t>
            </w:r>
          </w:p>
          <w:p>
            <w:pPr>
              <w:pStyle w:val="25"/>
              <w:bidi w:val="0"/>
              <w:jc w:val="left"/>
              <w:rPr>
                <w:rFonts w:hint="eastAsia" w:eastAsia="宋体"/>
                <w:lang w:eastAsia="zh-CN"/>
              </w:rPr>
            </w:pPr>
            <w:r>
              <w:rPr>
                <w:rFonts w:hint="eastAsia"/>
              </w:rPr>
              <w:t>施工人数为</w:t>
            </w:r>
            <w:r>
              <w:rPr>
                <w:rFonts w:hint="eastAsia"/>
                <w:lang w:val="en-US" w:eastAsia="zh-CN"/>
              </w:rPr>
              <w:t>20</w:t>
            </w:r>
            <w:r>
              <w:rPr>
                <w:rFonts w:hint="eastAsia"/>
              </w:rPr>
              <w:t>人</w:t>
            </w:r>
            <w:r>
              <w:rPr>
                <w:rFonts w:hint="eastAsia" w:ascii="宋体" w:hAnsi="宋体" w:eastAsia="宋体" w:cs="宋体"/>
              </w:rPr>
              <w:t>，</w:t>
            </w:r>
            <w:r>
              <w:rPr>
                <w:rFonts w:hint="eastAsia"/>
              </w:rPr>
              <w:t>均为附近村民</w:t>
            </w:r>
            <w:r>
              <w:rPr>
                <w:rFonts w:hint="eastAsia" w:ascii="宋体" w:hAnsi="宋体" w:eastAsia="宋体" w:cs="宋体"/>
              </w:rPr>
              <w:t>，</w:t>
            </w:r>
            <w:r>
              <w:rPr>
                <w:rFonts w:hint="eastAsia"/>
              </w:rPr>
              <w:t>厂区不设施工营地</w:t>
            </w:r>
            <w:r>
              <w:rPr>
                <w:rFonts w:hint="eastAsia" w:ascii="宋体" w:hAnsi="宋体" w:eastAsia="宋体" w:cs="宋体"/>
                <w:lang w:eastAsia="zh-CN"/>
              </w:rPr>
              <w:t>。</w:t>
            </w:r>
          </w:p>
          <w:p>
            <w:pPr>
              <w:pStyle w:val="25"/>
              <w:bidi w:val="0"/>
              <w:jc w:val="left"/>
            </w:pPr>
            <w:r>
              <w:rPr>
                <w:rFonts w:hint="eastAsia"/>
                <w:b/>
                <w:bCs/>
                <w:lang w:eastAsia="zh-CN"/>
              </w:rPr>
              <w:t>拟采取的环保措施：</w:t>
            </w:r>
          </w:p>
          <w:p>
            <w:pPr>
              <w:pStyle w:val="25"/>
              <w:bidi w:val="0"/>
              <w:jc w:val="left"/>
              <w:rPr>
                <w:rFonts w:hint="eastAsia"/>
              </w:rPr>
            </w:pPr>
            <w:r>
              <w:rPr>
                <w:rFonts w:hint="eastAsia"/>
                <w:lang w:eastAsia="zh-CN"/>
              </w:rPr>
              <w:t>①</w:t>
            </w:r>
            <w:r>
              <w:rPr>
                <w:rFonts w:hint="eastAsia"/>
              </w:rPr>
              <w:t>本项目在施工过程中应加强对机械设备的检修</w:t>
            </w:r>
            <w:r>
              <w:rPr>
                <w:rFonts w:hint="eastAsia" w:ascii="宋体" w:hAnsi="宋体" w:eastAsia="宋体" w:cs="宋体"/>
              </w:rPr>
              <w:t>，</w:t>
            </w:r>
            <w:r>
              <w:rPr>
                <w:rFonts w:hint="eastAsia"/>
              </w:rPr>
              <w:t>以防止设备漏油现象的发生</w:t>
            </w:r>
            <w:r>
              <w:rPr>
                <w:rFonts w:hint="eastAsia" w:ascii="宋体" w:hAnsi="宋体" w:eastAsia="宋体" w:cs="宋体"/>
              </w:rPr>
              <w:t>。</w:t>
            </w:r>
            <w:r>
              <w:rPr>
                <w:rFonts w:hint="eastAsia"/>
              </w:rPr>
              <w:t>施工机械设备的维修应在专业厂家进行</w:t>
            </w:r>
            <w:r>
              <w:rPr>
                <w:rFonts w:hint="eastAsia" w:ascii="宋体" w:hAnsi="宋体" w:eastAsia="宋体" w:cs="宋体"/>
              </w:rPr>
              <w:t>，</w:t>
            </w:r>
            <w:r>
              <w:rPr>
                <w:rFonts w:hint="eastAsia"/>
              </w:rPr>
              <w:t>防止施工现场地表油类污染</w:t>
            </w:r>
            <w:r>
              <w:rPr>
                <w:rFonts w:hint="eastAsia" w:ascii="宋体" w:hAnsi="宋体" w:eastAsia="宋体" w:cs="宋体"/>
              </w:rPr>
              <w:t>，</w:t>
            </w:r>
            <w:r>
              <w:rPr>
                <w:rFonts w:hint="eastAsia"/>
              </w:rPr>
              <w:t>以减小初期雨水的油类污染物负荷</w:t>
            </w:r>
            <w:r>
              <w:rPr>
                <w:rFonts w:hint="eastAsia" w:ascii="宋体" w:hAnsi="宋体" w:eastAsia="宋体" w:cs="宋体"/>
              </w:rPr>
              <w:t>；</w:t>
            </w:r>
          </w:p>
          <w:p>
            <w:pPr>
              <w:pStyle w:val="25"/>
              <w:bidi w:val="0"/>
              <w:jc w:val="left"/>
              <w:rPr>
                <w:rFonts w:hint="eastAsia"/>
              </w:rPr>
            </w:pPr>
            <w:r>
              <w:rPr>
                <w:rFonts w:hint="eastAsia"/>
                <w:lang w:eastAsia="zh-CN"/>
              </w:rPr>
              <w:t>②</w:t>
            </w:r>
            <w:r>
              <w:rPr>
                <w:rFonts w:hint="eastAsia"/>
              </w:rPr>
              <w:t>施工期做好排水工程</w:t>
            </w:r>
            <w:r>
              <w:rPr>
                <w:rFonts w:hint="eastAsia" w:ascii="宋体" w:hAnsi="宋体" w:eastAsia="宋体" w:cs="宋体"/>
              </w:rPr>
              <w:t>，</w:t>
            </w:r>
            <w:r>
              <w:rPr>
                <w:rFonts w:hint="eastAsia"/>
              </w:rPr>
              <w:t>在施工工地周界设置排水明沟</w:t>
            </w:r>
            <w:r>
              <w:rPr>
                <w:rFonts w:hint="eastAsia" w:ascii="宋体" w:hAnsi="宋体" w:eastAsia="宋体" w:cs="宋体"/>
              </w:rPr>
              <w:t>，</w:t>
            </w:r>
            <w:r>
              <w:rPr>
                <w:rFonts w:hint="eastAsia"/>
              </w:rPr>
              <w:t>设置临时性的</w:t>
            </w:r>
            <w:r>
              <w:rPr>
                <w:rFonts w:hint="eastAsia"/>
                <w:lang w:eastAsia="zh-CN"/>
              </w:rPr>
              <w:t>隔油沉淀</w:t>
            </w:r>
            <w:r>
              <w:rPr>
                <w:rFonts w:hint="eastAsia"/>
              </w:rPr>
              <w:t>池</w:t>
            </w:r>
            <w:r>
              <w:rPr>
                <w:rFonts w:hint="eastAsia" w:ascii="宋体" w:hAnsi="宋体" w:eastAsia="宋体" w:cs="宋体"/>
              </w:rPr>
              <w:t>，</w:t>
            </w:r>
            <w:r>
              <w:rPr>
                <w:rFonts w:hint="eastAsia"/>
                <w:lang w:eastAsia="zh-CN"/>
              </w:rPr>
              <w:t>施工废水</w:t>
            </w:r>
            <w:r>
              <w:rPr>
                <w:rFonts w:hint="eastAsia"/>
              </w:rPr>
              <w:t>经</w:t>
            </w:r>
            <w:r>
              <w:rPr>
                <w:rFonts w:hint="eastAsia"/>
                <w:lang w:eastAsia="zh-CN"/>
              </w:rPr>
              <w:t>隔油沉淀</w:t>
            </w:r>
            <w:r>
              <w:rPr>
                <w:rFonts w:hint="eastAsia"/>
              </w:rPr>
              <w:t>池</w:t>
            </w:r>
            <w:r>
              <w:rPr>
                <w:rFonts w:hint="eastAsia"/>
                <w:lang w:eastAsia="zh-CN"/>
              </w:rPr>
              <w:t>处理</w:t>
            </w:r>
            <w:r>
              <w:rPr>
                <w:rFonts w:hint="eastAsia"/>
              </w:rPr>
              <w:t>后用于</w:t>
            </w:r>
            <w:r>
              <w:rPr>
                <w:rFonts w:hint="eastAsia"/>
                <w:lang w:eastAsia="zh-CN"/>
              </w:rPr>
              <w:t>施工场地</w:t>
            </w:r>
            <w:r>
              <w:rPr>
                <w:rFonts w:hint="eastAsia"/>
              </w:rPr>
              <w:t>洒水抑尘</w:t>
            </w:r>
            <w:r>
              <w:rPr>
                <w:rFonts w:hint="eastAsia" w:ascii="宋体" w:hAnsi="宋体" w:eastAsia="宋体" w:cs="宋体"/>
              </w:rPr>
              <w:t>；</w:t>
            </w:r>
          </w:p>
          <w:p>
            <w:pPr>
              <w:pStyle w:val="25"/>
              <w:bidi w:val="0"/>
              <w:rPr>
                <w:rFonts w:hint="eastAsia"/>
                <w:lang w:val="en-US" w:eastAsia="zh-CN"/>
              </w:rPr>
            </w:pPr>
            <w:r>
              <w:rPr>
                <w:rFonts w:hint="eastAsia"/>
                <w:lang w:eastAsia="zh-CN"/>
              </w:rPr>
              <w:t>③</w:t>
            </w:r>
            <w:r>
              <w:rPr>
                <w:rFonts w:hint="eastAsia"/>
              </w:rPr>
              <w:t>施工人员生活污水</w:t>
            </w:r>
            <w:r>
              <w:rPr>
                <w:rFonts w:hint="eastAsia"/>
                <w:lang w:val="en-US" w:eastAsia="zh-CN"/>
              </w:rPr>
              <w:t>依托已建综合楼</w:t>
            </w:r>
            <w:r>
              <w:rPr>
                <w:rFonts w:hint="eastAsia"/>
                <w:lang w:eastAsia="zh-CN"/>
              </w:rPr>
              <w:t>三级</w:t>
            </w:r>
            <w:r>
              <w:rPr>
                <w:rFonts w:hint="eastAsia"/>
              </w:rPr>
              <w:t>化粪池处理</w:t>
            </w:r>
            <w:r>
              <w:rPr>
                <w:rFonts w:hint="eastAsia"/>
                <w:lang w:eastAsia="zh-CN"/>
              </w:rPr>
              <w:t>后</w:t>
            </w:r>
            <w:r>
              <w:rPr>
                <w:rFonts w:hint="eastAsia"/>
              </w:rPr>
              <w:t>用作农肥</w:t>
            </w:r>
            <w:r>
              <w:rPr>
                <w:rFonts w:hint="eastAsia" w:ascii="宋体" w:hAnsi="宋体" w:eastAsia="宋体" w:cs="宋体"/>
              </w:rPr>
              <w:t>，</w:t>
            </w:r>
            <w:r>
              <w:rPr>
                <w:rFonts w:hint="eastAsia"/>
              </w:rPr>
              <w:t>不外排</w:t>
            </w:r>
            <w:r>
              <w:rPr>
                <w:rFonts w:hint="eastAsia" w:ascii="宋体" w:hAnsi="宋体" w:eastAsia="宋体" w:cs="宋体"/>
              </w:rPr>
              <w:t>。</w:t>
            </w:r>
          </w:p>
          <w:p>
            <w:pPr>
              <w:pStyle w:val="25"/>
              <w:bidi w:val="0"/>
              <w:rPr>
                <w:rFonts w:hint="eastAsia" w:eastAsia="宋体"/>
                <w:lang w:val="en-US" w:eastAsia="zh-CN"/>
              </w:rPr>
            </w:pPr>
            <w:r>
              <w:rPr>
                <w:rFonts w:hint="eastAsia"/>
                <w:b/>
                <w:bCs/>
                <w:lang w:val="en-US" w:eastAsia="zh-CN"/>
              </w:rPr>
              <w:t>3、噪声</w:t>
            </w:r>
          </w:p>
          <w:p>
            <w:pPr>
              <w:pStyle w:val="25"/>
              <w:bidi w:val="0"/>
              <w:jc w:val="left"/>
              <w:rPr>
                <w:rFonts w:hint="default"/>
                <w:lang w:val="en-US" w:eastAsia="zh-CN"/>
              </w:rPr>
            </w:pPr>
            <w:r>
              <w:rPr>
                <w:rFonts w:hint="eastAsia"/>
                <w:lang w:val="en-US" w:eastAsia="zh-CN"/>
              </w:rPr>
              <w:t>施工期噪声主要来源于施工机械和车辆运行</w:t>
            </w:r>
            <w:r>
              <w:rPr>
                <w:rFonts w:hint="eastAsia" w:ascii="宋体" w:hAnsi="宋体" w:eastAsia="宋体" w:cs="宋体"/>
                <w:lang w:val="en-US" w:eastAsia="zh-CN"/>
              </w:rPr>
              <w:t>，</w:t>
            </w:r>
            <w:r>
              <w:rPr>
                <w:rFonts w:hint="eastAsia"/>
                <w:lang w:val="en-US" w:eastAsia="zh-CN"/>
              </w:rPr>
              <w:t>其特点是间歇或阵发性的</w:t>
            </w:r>
            <w:r>
              <w:rPr>
                <w:rFonts w:hint="eastAsia" w:ascii="宋体" w:hAnsi="宋体" w:eastAsia="宋体" w:cs="宋体"/>
                <w:lang w:val="en-US" w:eastAsia="zh-CN"/>
              </w:rPr>
              <w:t>，</w:t>
            </w:r>
            <w:r>
              <w:rPr>
                <w:rFonts w:hint="eastAsia"/>
                <w:lang w:val="en-US" w:eastAsia="zh-CN"/>
              </w:rPr>
              <w:t>并具备流动性、噪声较高（5m处噪声值在80~85dB(A)）的特征</w:t>
            </w:r>
            <w:r>
              <w:rPr>
                <w:rFonts w:hint="eastAsia" w:ascii="宋体" w:hAnsi="宋体" w:eastAsia="宋体" w:cs="宋体"/>
                <w:lang w:val="en-US" w:eastAsia="zh-CN"/>
              </w:rPr>
              <w:t>。</w:t>
            </w:r>
          </w:p>
          <w:p>
            <w:pPr>
              <w:pStyle w:val="25"/>
              <w:bidi w:val="0"/>
              <w:jc w:val="left"/>
            </w:pPr>
            <w:r>
              <w:rPr>
                <w:rFonts w:hint="eastAsia"/>
                <w:b/>
                <w:bCs/>
                <w:lang w:eastAsia="zh-CN"/>
              </w:rPr>
              <w:t>拟采取的环保措施：</w:t>
            </w:r>
          </w:p>
          <w:p>
            <w:pPr>
              <w:pStyle w:val="25"/>
              <w:bidi w:val="0"/>
              <w:jc w:val="left"/>
              <w:rPr>
                <w:rFonts w:hint="eastAsia" w:eastAsia="宋体"/>
                <w:lang w:eastAsia="zh-CN"/>
              </w:rPr>
            </w:pPr>
            <w:r>
              <w:rPr>
                <w:rFonts w:hint="eastAsia"/>
                <w:lang w:eastAsia="zh-CN"/>
              </w:rPr>
              <w:t>①</w:t>
            </w:r>
            <w:r>
              <w:rPr>
                <w:rFonts w:hint="eastAsia"/>
              </w:rPr>
              <w:t>采用较先进、噪声较低的施工设备</w:t>
            </w:r>
            <w:r>
              <w:rPr>
                <w:rFonts w:hint="eastAsia" w:ascii="宋体" w:hAnsi="宋体" w:eastAsia="宋体" w:cs="宋体"/>
              </w:rPr>
              <w:t>，</w:t>
            </w:r>
            <w:r>
              <w:rPr>
                <w:rFonts w:hint="eastAsia"/>
              </w:rPr>
              <w:t>施工中应加强对施工机械的维护保养</w:t>
            </w:r>
            <w:r>
              <w:rPr>
                <w:rFonts w:hint="eastAsia" w:ascii="宋体" w:hAnsi="宋体" w:eastAsia="宋体" w:cs="宋体"/>
              </w:rPr>
              <w:t>，</w:t>
            </w:r>
            <w:r>
              <w:rPr>
                <w:rFonts w:hint="eastAsia"/>
              </w:rPr>
              <w:t>避免由于设备性能差而增大机械噪声的现象发生</w:t>
            </w:r>
            <w:r>
              <w:rPr>
                <w:rFonts w:hint="eastAsia" w:ascii="宋体" w:hAnsi="宋体" w:eastAsia="宋体" w:cs="宋体"/>
              </w:rPr>
              <w:t>，</w:t>
            </w:r>
            <w:r>
              <w:rPr>
                <w:rFonts w:hint="eastAsia"/>
              </w:rPr>
              <w:t>对现场的施工车辆进行疏导</w:t>
            </w:r>
            <w:r>
              <w:rPr>
                <w:rFonts w:hint="eastAsia" w:ascii="宋体" w:hAnsi="宋体" w:eastAsia="宋体" w:cs="宋体"/>
              </w:rPr>
              <w:t>，</w:t>
            </w:r>
            <w:r>
              <w:rPr>
                <w:rFonts w:hint="eastAsia"/>
              </w:rPr>
              <w:t>禁止鸣笛</w:t>
            </w:r>
            <w:r>
              <w:rPr>
                <w:rFonts w:hint="eastAsia" w:ascii="宋体" w:hAnsi="宋体" w:eastAsia="宋体" w:cs="宋体"/>
                <w:lang w:eastAsia="zh-CN"/>
              </w:rPr>
              <w:t>；</w:t>
            </w:r>
          </w:p>
          <w:p>
            <w:pPr>
              <w:pStyle w:val="25"/>
              <w:bidi w:val="0"/>
              <w:jc w:val="left"/>
              <w:rPr>
                <w:rFonts w:hint="eastAsia" w:eastAsia="宋体"/>
                <w:lang w:eastAsia="zh-CN"/>
              </w:rPr>
            </w:pPr>
            <w:r>
              <w:rPr>
                <w:rFonts w:hint="eastAsia"/>
                <w:lang w:eastAsia="zh-CN"/>
              </w:rPr>
              <w:t>②</w:t>
            </w:r>
            <w:r>
              <w:rPr>
                <w:rFonts w:hint="eastAsia"/>
              </w:rPr>
              <w:t>将噪声级大的工作尽量安排在白天</w:t>
            </w:r>
            <w:r>
              <w:rPr>
                <w:rFonts w:hint="eastAsia" w:ascii="宋体" w:hAnsi="宋体" w:eastAsia="宋体" w:cs="宋体"/>
              </w:rPr>
              <w:t>，</w:t>
            </w:r>
            <w:r>
              <w:rPr>
                <w:rFonts w:hint="eastAsia"/>
              </w:rPr>
              <w:t>禁止夜间（22:00-06:00）施工</w:t>
            </w:r>
            <w:r>
              <w:rPr>
                <w:rFonts w:hint="eastAsia" w:ascii="宋体" w:hAnsi="宋体" w:eastAsia="宋体" w:cs="宋体"/>
              </w:rPr>
              <w:t>。</w:t>
            </w:r>
            <w:r>
              <w:rPr>
                <w:rFonts w:hint="eastAsia"/>
              </w:rPr>
              <w:t>若必须夜间施工</w:t>
            </w:r>
            <w:r>
              <w:rPr>
                <w:rFonts w:hint="eastAsia" w:ascii="宋体" w:hAnsi="宋体" w:eastAsia="宋体" w:cs="宋体"/>
              </w:rPr>
              <w:t>，</w:t>
            </w:r>
            <w:r>
              <w:rPr>
                <w:rFonts w:hint="eastAsia"/>
              </w:rPr>
              <w:t>须先向当地</w:t>
            </w:r>
            <w:r>
              <w:rPr>
                <w:rFonts w:hint="eastAsia"/>
                <w:lang w:eastAsia="zh-CN"/>
              </w:rPr>
              <w:t>生态环境</w:t>
            </w:r>
            <w:r>
              <w:rPr>
                <w:rFonts w:hint="eastAsia"/>
              </w:rPr>
              <w:t>部门申报并征得许可</w:t>
            </w:r>
            <w:r>
              <w:rPr>
                <w:rFonts w:hint="eastAsia" w:ascii="宋体" w:hAnsi="宋体" w:eastAsia="宋体" w:cs="宋体"/>
                <w:lang w:eastAsia="zh-CN"/>
              </w:rPr>
              <w:t>；</w:t>
            </w:r>
          </w:p>
          <w:p>
            <w:pPr>
              <w:pStyle w:val="25"/>
              <w:bidi w:val="0"/>
              <w:jc w:val="left"/>
              <w:rPr>
                <w:rFonts w:hint="eastAsia" w:eastAsia="宋体"/>
                <w:lang w:eastAsia="zh-CN"/>
              </w:rPr>
            </w:pPr>
            <w:r>
              <w:rPr>
                <w:rFonts w:hint="eastAsia"/>
                <w:lang w:eastAsia="zh-CN"/>
              </w:rPr>
              <w:t>③</w:t>
            </w:r>
            <w:r>
              <w:rPr>
                <w:rFonts w:hint="eastAsia"/>
              </w:rPr>
              <w:t>施工机械</w:t>
            </w:r>
            <w:r>
              <w:rPr>
                <w:rFonts w:hint="eastAsia"/>
                <w:lang w:eastAsia="zh-CN"/>
              </w:rPr>
              <w:t>应</w:t>
            </w:r>
            <w:r>
              <w:rPr>
                <w:rFonts w:hint="eastAsia"/>
              </w:rPr>
              <w:t>尽量设置在</w:t>
            </w:r>
            <w:r>
              <w:rPr>
                <w:rFonts w:hint="eastAsia"/>
                <w:lang w:eastAsia="zh-CN"/>
              </w:rPr>
              <w:t>施工场地中心区域</w:t>
            </w:r>
            <w:r>
              <w:rPr>
                <w:rFonts w:hint="eastAsia" w:ascii="宋体" w:hAnsi="宋体" w:eastAsia="宋体" w:cs="宋体"/>
              </w:rPr>
              <w:t>，</w:t>
            </w:r>
            <w:r>
              <w:rPr>
                <w:rFonts w:hint="eastAsia"/>
              </w:rPr>
              <w:t>并采取封闭和隔声措施</w:t>
            </w:r>
            <w:r>
              <w:rPr>
                <w:rFonts w:hint="eastAsia" w:ascii="宋体" w:hAnsi="宋体" w:eastAsia="宋体" w:cs="宋体"/>
                <w:lang w:eastAsia="zh-CN"/>
              </w:rPr>
              <w:t>；</w:t>
            </w:r>
          </w:p>
          <w:p>
            <w:pPr>
              <w:pStyle w:val="25"/>
              <w:bidi w:val="0"/>
            </w:pPr>
            <w:r>
              <w:rPr>
                <w:rFonts w:hint="eastAsia"/>
                <w:lang w:eastAsia="zh-CN"/>
              </w:rPr>
              <w:t>④</w:t>
            </w:r>
            <w:r>
              <w:rPr>
                <w:rFonts w:hint="eastAsia"/>
              </w:rPr>
              <w:t>降低人为噪声影响</w:t>
            </w:r>
            <w:r>
              <w:rPr>
                <w:rFonts w:hint="eastAsia" w:ascii="宋体" w:hAnsi="宋体" w:eastAsia="宋体" w:cs="宋体"/>
              </w:rPr>
              <w:t>，</w:t>
            </w:r>
            <w:r>
              <w:rPr>
                <w:rFonts w:hint="eastAsia"/>
              </w:rPr>
              <w:t>对工人进行环保方面的教育</w:t>
            </w:r>
            <w:r>
              <w:rPr>
                <w:rFonts w:hint="eastAsia" w:ascii="宋体" w:hAnsi="宋体" w:eastAsia="宋体" w:cs="宋体"/>
                <w:lang w:eastAsia="zh-CN"/>
              </w:rPr>
              <w:t>；</w:t>
            </w:r>
            <w:r>
              <w:rPr>
                <w:rFonts w:hint="eastAsia"/>
                <w:lang w:eastAsia="zh-CN"/>
              </w:rPr>
              <w:t>要求</w:t>
            </w:r>
            <w:r>
              <w:rPr>
                <w:rFonts w:hint="eastAsia"/>
              </w:rPr>
              <w:t>按操作规范操作机械设备</w:t>
            </w:r>
            <w:r>
              <w:rPr>
                <w:rFonts w:hint="eastAsia" w:ascii="宋体" w:hAnsi="宋体" w:eastAsia="宋体" w:cs="宋体"/>
                <w:lang w:eastAsia="zh-CN"/>
              </w:rPr>
              <w:t>，</w:t>
            </w:r>
            <w:r>
              <w:rPr>
                <w:rFonts w:hint="eastAsia"/>
              </w:rPr>
              <w:t>减少碰撞噪声</w:t>
            </w:r>
            <w:r>
              <w:rPr>
                <w:rFonts w:hint="eastAsia" w:ascii="宋体" w:hAnsi="宋体" w:eastAsia="宋体" w:cs="宋体"/>
                <w:lang w:eastAsia="zh-CN"/>
              </w:rPr>
              <w:t>；</w:t>
            </w:r>
            <w:r>
              <w:rPr>
                <w:rFonts w:hint="eastAsia"/>
              </w:rPr>
              <w:t>在装卸过程中禁止野蛮作业</w:t>
            </w:r>
            <w:r>
              <w:rPr>
                <w:rFonts w:hint="eastAsia" w:ascii="宋体" w:hAnsi="宋体" w:eastAsia="宋体" w:cs="宋体"/>
              </w:rPr>
              <w:t>，</w:t>
            </w:r>
            <w:r>
              <w:rPr>
                <w:rFonts w:hint="eastAsia"/>
              </w:rPr>
              <w:t>减少作业噪声</w:t>
            </w:r>
            <w:r>
              <w:rPr>
                <w:rFonts w:hint="eastAsia" w:ascii="宋体" w:hAnsi="宋体" w:eastAsia="宋体" w:cs="宋体"/>
              </w:rPr>
              <w:t>。</w:t>
            </w:r>
          </w:p>
          <w:p>
            <w:pPr>
              <w:pStyle w:val="25"/>
              <w:bidi w:val="0"/>
              <w:rPr>
                <w:rFonts w:hint="eastAsia" w:eastAsia="宋体"/>
                <w:lang w:val="en-US" w:eastAsia="zh-CN"/>
              </w:rPr>
            </w:pPr>
            <w:r>
              <w:rPr>
                <w:rFonts w:hint="eastAsia"/>
                <w:b/>
                <w:bCs/>
                <w:lang w:val="en-US" w:eastAsia="zh-CN"/>
              </w:rPr>
              <w:t>4、固体废物</w:t>
            </w:r>
          </w:p>
          <w:p>
            <w:pPr>
              <w:pStyle w:val="25"/>
              <w:bidi w:val="0"/>
              <w:jc w:val="left"/>
              <w:rPr>
                <w:rFonts w:hint="eastAsia" w:eastAsia="宋体"/>
                <w:lang w:eastAsia="zh-CN"/>
              </w:rPr>
            </w:pPr>
            <w:r>
              <w:rPr>
                <w:rFonts w:hint="eastAsia"/>
                <w:lang w:eastAsia="zh-CN"/>
              </w:rPr>
              <w:t>施工期固体废物主要为建筑垃圾、土石方和施工人员生活垃圾</w:t>
            </w:r>
            <w:r>
              <w:rPr>
                <w:rFonts w:hint="eastAsia" w:ascii="宋体" w:hAnsi="宋体" w:eastAsia="宋体" w:cs="宋体"/>
                <w:lang w:eastAsia="zh-CN"/>
              </w:rPr>
              <w:t>。</w:t>
            </w:r>
          </w:p>
          <w:p>
            <w:pPr>
              <w:pStyle w:val="25"/>
              <w:bidi w:val="0"/>
              <w:jc w:val="left"/>
              <w:rPr>
                <w:rFonts w:hint="eastAsia"/>
                <w:lang w:val="en-US" w:eastAsia="zh-CN"/>
              </w:rPr>
            </w:pPr>
            <w:r>
              <w:rPr>
                <w:rFonts w:hint="eastAsia"/>
                <w:lang w:val="en-US" w:eastAsia="zh-CN"/>
              </w:rPr>
              <w:t>（1）建筑垃圾</w:t>
            </w:r>
          </w:p>
          <w:p>
            <w:pPr>
              <w:pStyle w:val="25"/>
              <w:bidi w:val="0"/>
              <w:jc w:val="left"/>
              <w:rPr>
                <w:rFonts w:hint="eastAsia"/>
                <w:lang w:val="en-US" w:eastAsia="zh-CN"/>
              </w:rPr>
            </w:pPr>
            <w:r>
              <w:rPr>
                <w:rFonts w:hint="eastAsia"/>
                <w:lang w:val="en-US" w:eastAsia="zh-CN"/>
              </w:rPr>
              <w:t>施工建筑垃圾产生系数为20～50kg/m</w:t>
            </w:r>
            <w:r>
              <w:rPr>
                <w:rFonts w:hint="eastAsia"/>
                <w:vertAlign w:val="superscript"/>
                <w:lang w:val="en-US" w:eastAsia="zh-CN"/>
              </w:rPr>
              <w:t>2</w:t>
            </w:r>
            <w:r>
              <w:rPr>
                <w:rFonts w:hint="eastAsia" w:ascii="宋体" w:hAnsi="宋体" w:eastAsia="宋体" w:cs="宋体"/>
                <w:lang w:val="en-US" w:eastAsia="zh-CN"/>
              </w:rPr>
              <w:t>，</w:t>
            </w:r>
            <w:r>
              <w:rPr>
                <w:rFonts w:hint="eastAsia"/>
                <w:lang w:val="en-US" w:eastAsia="zh-CN"/>
              </w:rPr>
              <w:t>此处取30kg/m</w:t>
            </w:r>
            <w:r>
              <w:rPr>
                <w:rFonts w:hint="eastAsia"/>
                <w:vertAlign w:val="superscript"/>
                <w:lang w:val="en-US" w:eastAsia="zh-CN"/>
              </w:rPr>
              <w:t>2</w:t>
            </w:r>
            <w:r>
              <w:rPr>
                <w:rFonts w:hint="eastAsia" w:ascii="宋体" w:hAnsi="宋体" w:eastAsia="宋体" w:cs="宋体"/>
                <w:lang w:val="en-US" w:eastAsia="zh-CN"/>
              </w:rPr>
              <w:t>，</w:t>
            </w:r>
            <w:r>
              <w:rPr>
                <w:rFonts w:hint="eastAsia"/>
                <w:lang w:val="en-US" w:eastAsia="zh-CN"/>
              </w:rPr>
              <w:t>项目总建筑面积按3550m</w:t>
            </w:r>
            <w:r>
              <w:rPr>
                <w:rFonts w:hint="eastAsia"/>
                <w:vertAlign w:val="superscript"/>
                <w:lang w:val="en-US" w:eastAsia="zh-CN"/>
              </w:rPr>
              <w:t>2</w:t>
            </w:r>
            <w:r>
              <w:rPr>
                <w:rFonts w:hint="eastAsia"/>
                <w:lang w:val="en-US" w:eastAsia="zh-CN"/>
              </w:rPr>
              <w:t>计</w:t>
            </w:r>
            <w:r>
              <w:rPr>
                <w:rFonts w:hint="eastAsia" w:ascii="宋体" w:hAnsi="宋体" w:eastAsia="宋体" w:cs="宋体"/>
                <w:lang w:val="en-US" w:eastAsia="zh-CN"/>
              </w:rPr>
              <w:t>，</w:t>
            </w:r>
            <w:r>
              <w:rPr>
                <w:rFonts w:hint="eastAsia"/>
                <w:lang w:val="en-US" w:eastAsia="zh-CN"/>
              </w:rPr>
              <w:t>建筑垃圾产生量为106.5t</w:t>
            </w:r>
            <w:r>
              <w:rPr>
                <w:rFonts w:hint="eastAsia" w:ascii="宋体" w:hAnsi="宋体" w:eastAsia="宋体" w:cs="宋体"/>
                <w:lang w:val="en-US" w:eastAsia="zh-CN"/>
              </w:rPr>
              <w:t>，</w:t>
            </w:r>
            <w:r>
              <w:rPr>
                <w:rFonts w:hint="eastAsia"/>
                <w:lang w:val="en-US" w:eastAsia="zh-CN"/>
              </w:rPr>
              <w:t>全部运送至城管部门指定弃渣场填埋</w:t>
            </w:r>
            <w:r>
              <w:rPr>
                <w:rFonts w:hint="eastAsia" w:ascii="宋体" w:hAnsi="宋体" w:eastAsia="宋体" w:cs="宋体"/>
                <w:lang w:val="en-US" w:eastAsia="zh-CN"/>
              </w:rPr>
              <w:t>。</w:t>
            </w:r>
          </w:p>
          <w:p>
            <w:pPr>
              <w:pStyle w:val="25"/>
              <w:bidi w:val="0"/>
              <w:jc w:val="left"/>
              <w:rPr>
                <w:rFonts w:hint="eastAsia"/>
                <w:lang w:val="en-US" w:eastAsia="zh-CN"/>
              </w:rPr>
            </w:pPr>
            <w:r>
              <w:rPr>
                <w:rFonts w:hint="eastAsia"/>
                <w:lang w:val="en-US" w:eastAsia="zh-CN"/>
              </w:rPr>
              <w:t>（2）土石方</w:t>
            </w:r>
          </w:p>
          <w:p>
            <w:pPr>
              <w:pStyle w:val="25"/>
              <w:bidi w:val="0"/>
              <w:jc w:val="left"/>
              <w:rPr>
                <w:rFonts w:hint="eastAsia"/>
                <w:lang w:val="en-US" w:eastAsia="zh-CN"/>
              </w:rPr>
            </w:pPr>
            <w:r>
              <w:rPr>
                <w:rFonts w:hint="eastAsia"/>
                <w:lang w:val="en-US" w:eastAsia="zh-CN"/>
              </w:rPr>
              <w:t>项目施工期挖出的土石方</w:t>
            </w:r>
            <w:r>
              <w:rPr>
                <w:rFonts w:hint="eastAsia" w:ascii="宋体" w:hAnsi="宋体" w:eastAsia="宋体" w:cs="宋体"/>
                <w:lang w:val="en-US" w:eastAsia="zh-CN"/>
              </w:rPr>
              <w:t>，</w:t>
            </w:r>
            <w:r>
              <w:rPr>
                <w:rFonts w:hint="eastAsia"/>
                <w:lang w:val="en-US" w:eastAsia="zh-CN"/>
              </w:rPr>
              <w:t>均回填地势低洼处及绿化覆土</w:t>
            </w:r>
            <w:r>
              <w:rPr>
                <w:rFonts w:hint="eastAsia" w:ascii="宋体" w:hAnsi="宋体" w:eastAsia="宋体" w:cs="宋体"/>
                <w:lang w:val="en-US" w:eastAsia="zh-CN"/>
              </w:rPr>
              <w:t>，</w:t>
            </w:r>
            <w:r>
              <w:rPr>
                <w:rFonts w:hint="eastAsia"/>
                <w:lang w:val="en-US" w:eastAsia="zh-CN"/>
              </w:rPr>
              <w:t>无需额外取土和弃土</w:t>
            </w:r>
            <w:r>
              <w:rPr>
                <w:rFonts w:hint="eastAsia" w:ascii="宋体" w:hAnsi="宋体" w:eastAsia="宋体" w:cs="宋体"/>
                <w:lang w:val="en-US" w:eastAsia="zh-CN"/>
              </w:rPr>
              <w:t>。</w:t>
            </w:r>
          </w:p>
          <w:p>
            <w:pPr>
              <w:pStyle w:val="25"/>
              <w:bidi w:val="0"/>
              <w:jc w:val="left"/>
              <w:rPr>
                <w:rFonts w:hint="eastAsia" w:eastAsia="宋体"/>
                <w:lang w:val="en-US" w:eastAsia="zh-CN"/>
              </w:rPr>
            </w:pPr>
            <w:r>
              <w:rPr>
                <w:rFonts w:hint="eastAsia"/>
                <w:lang w:val="en-US" w:eastAsia="zh-CN"/>
              </w:rPr>
              <w:t>（3）施工人员生活垃圾</w:t>
            </w:r>
          </w:p>
          <w:p>
            <w:pPr>
              <w:pStyle w:val="25"/>
              <w:bidi w:val="0"/>
              <w:rPr>
                <w:rFonts w:hint="eastAsia" w:ascii="宋体" w:hAnsi="宋体" w:eastAsia="宋体" w:cs="宋体"/>
                <w:lang w:eastAsia="zh-CN"/>
              </w:rPr>
            </w:pPr>
            <w:r>
              <w:rPr>
                <w:rFonts w:hint="eastAsia"/>
              </w:rPr>
              <w:t>施工人数为</w:t>
            </w:r>
            <w:r>
              <w:rPr>
                <w:rFonts w:hint="eastAsia"/>
                <w:lang w:val="en-US" w:eastAsia="zh-CN"/>
              </w:rPr>
              <w:t>20</w:t>
            </w:r>
            <w:r>
              <w:rPr>
                <w:rFonts w:hint="eastAsia"/>
              </w:rPr>
              <w:t>人</w:t>
            </w:r>
            <w:r>
              <w:rPr>
                <w:rFonts w:hint="eastAsia" w:ascii="宋体" w:hAnsi="宋体" w:eastAsia="宋体" w:cs="宋体"/>
              </w:rPr>
              <w:t>，</w:t>
            </w:r>
            <w:r>
              <w:rPr>
                <w:rFonts w:hint="eastAsia"/>
                <w:lang w:eastAsia="zh-CN"/>
              </w:rPr>
              <w:t>拟施工</w:t>
            </w:r>
            <w:r>
              <w:rPr>
                <w:rFonts w:hint="eastAsia"/>
                <w:lang w:val="en-US" w:eastAsia="zh-CN"/>
              </w:rPr>
              <w:t>2个月</w:t>
            </w:r>
            <w:r>
              <w:rPr>
                <w:rFonts w:hint="eastAsia" w:ascii="宋体" w:hAnsi="宋体" w:eastAsia="宋体" w:cs="宋体"/>
                <w:lang w:eastAsia="zh-CN"/>
              </w:rPr>
              <w:t>，</w:t>
            </w:r>
            <w:r>
              <w:rPr>
                <w:rFonts w:hint="eastAsia"/>
              </w:rPr>
              <w:t>施工人员</w:t>
            </w:r>
            <w:r>
              <w:rPr>
                <w:rFonts w:hint="eastAsia"/>
                <w:lang w:eastAsia="zh-CN"/>
              </w:rPr>
              <w:t>生活</w:t>
            </w:r>
            <w:r>
              <w:rPr>
                <w:rFonts w:hint="eastAsia"/>
              </w:rPr>
              <w:t>垃圾产生系数</w:t>
            </w:r>
            <w:r>
              <w:rPr>
                <w:rFonts w:hint="eastAsia"/>
                <w:lang w:eastAsia="zh-CN"/>
              </w:rPr>
              <w:t>按</w:t>
            </w:r>
            <w:r>
              <w:rPr>
                <w:rFonts w:hint="eastAsia"/>
              </w:rPr>
              <w:t>0.5kg/d·人</w:t>
            </w:r>
            <w:r>
              <w:rPr>
                <w:rFonts w:hint="eastAsia"/>
                <w:lang w:eastAsia="zh-CN"/>
              </w:rPr>
              <w:t>计</w:t>
            </w:r>
            <w:r>
              <w:rPr>
                <w:rFonts w:hint="eastAsia" w:ascii="宋体" w:hAnsi="宋体" w:eastAsia="宋体" w:cs="宋体"/>
              </w:rPr>
              <w:t>，</w:t>
            </w:r>
            <w:r>
              <w:rPr>
                <w:rFonts w:hint="eastAsia"/>
              </w:rPr>
              <w:t>则项目产生的施工人员</w:t>
            </w:r>
            <w:r>
              <w:rPr>
                <w:rFonts w:hint="eastAsia"/>
                <w:lang w:eastAsia="zh-CN"/>
              </w:rPr>
              <w:t>生活</w:t>
            </w:r>
            <w:r>
              <w:rPr>
                <w:rFonts w:hint="eastAsia"/>
              </w:rPr>
              <w:t>垃圾为</w:t>
            </w:r>
            <w:r>
              <w:rPr>
                <w:rFonts w:hint="eastAsia"/>
                <w:lang w:val="en-US" w:eastAsia="zh-CN"/>
              </w:rPr>
              <w:t>10</w:t>
            </w:r>
            <w:r>
              <w:rPr>
                <w:rFonts w:hint="eastAsia"/>
              </w:rPr>
              <w:t>kg/d</w:t>
            </w:r>
            <w:r>
              <w:rPr>
                <w:rFonts w:hint="eastAsia"/>
                <w:lang w:eastAsia="zh-CN"/>
              </w:rPr>
              <w:t>、0.</w:t>
            </w:r>
            <w:r>
              <w:rPr>
                <w:rFonts w:hint="eastAsia"/>
                <w:lang w:val="en-US" w:eastAsia="zh-CN"/>
              </w:rPr>
              <w:t>6t/施工期</w:t>
            </w:r>
            <w:r>
              <w:rPr>
                <w:rFonts w:hint="eastAsia" w:ascii="宋体" w:hAnsi="宋体" w:eastAsia="宋体" w:cs="宋体"/>
              </w:rPr>
              <w:t>。</w:t>
            </w:r>
            <w:r>
              <w:rPr>
                <w:rFonts w:hint="eastAsia"/>
                <w:lang w:eastAsia="zh-CN"/>
              </w:rPr>
              <w:t>由施工人员运至周边垃圾中转站</w:t>
            </w:r>
            <w:r>
              <w:rPr>
                <w:rFonts w:hint="eastAsia" w:ascii="宋体" w:hAnsi="宋体" w:eastAsia="宋体" w:cs="宋体"/>
                <w:lang w:eastAsia="zh-CN"/>
              </w:rPr>
              <w:t>，</w:t>
            </w:r>
            <w:r>
              <w:rPr>
                <w:rFonts w:hint="eastAsia"/>
                <w:lang w:eastAsia="zh-CN"/>
              </w:rPr>
              <w:t>再由环卫部门定期清运</w:t>
            </w:r>
            <w:r>
              <w:rPr>
                <w:rFonts w:hint="eastAsia" w:ascii="宋体" w:hAnsi="宋体" w:eastAsia="宋体" w:cs="宋体"/>
                <w:lang w:eastAsia="zh-CN"/>
              </w:rPr>
              <w:t>。</w:t>
            </w:r>
          </w:p>
          <w:p>
            <w:pPr>
              <w:pStyle w:val="25"/>
              <w:bidi w:val="0"/>
              <w:rPr>
                <w:rFonts w:hint="eastAsia" w:eastAsia="宋体"/>
                <w:highlight w:val="none"/>
                <w:lang w:val="en-US" w:eastAsia="zh-CN"/>
              </w:rPr>
            </w:pPr>
            <w:r>
              <w:rPr>
                <w:rFonts w:hint="eastAsia"/>
                <w:b/>
                <w:bCs/>
                <w:highlight w:val="none"/>
                <w:lang w:val="en-US" w:eastAsia="zh-CN"/>
              </w:rPr>
              <w:t>5、生态环境</w:t>
            </w:r>
          </w:p>
          <w:p>
            <w:pPr>
              <w:pStyle w:val="25"/>
              <w:bidi w:val="0"/>
              <w:rPr>
                <w:rFonts w:hint="eastAsia" w:ascii="宋体" w:hAnsi="宋体" w:eastAsia="宋体" w:cs="宋体"/>
                <w:highlight w:val="none"/>
                <w:lang w:val="en-US" w:eastAsia="zh-CN"/>
              </w:rPr>
            </w:pPr>
            <w:r>
              <w:rPr>
                <w:highlight w:val="none"/>
                <w:lang w:val="en-US" w:eastAsia="zh-CN"/>
              </w:rPr>
              <w:t>建设项目对评价区的生态环境可能产生的影响主要表现为水土流失</w:t>
            </w:r>
            <w:r>
              <w:rPr>
                <w:rFonts w:hint="eastAsia"/>
                <w:highlight w:val="none"/>
                <w:lang w:val="en-US" w:eastAsia="zh-CN"/>
              </w:rPr>
              <w:t>与生态景观破坏</w:t>
            </w:r>
            <w:r>
              <w:rPr>
                <w:rFonts w:hint="eastAsia" w:ascii="宋体" w:hAnsi="宋体" w:eastAsia="宋体" w:cs="宋体"/>
                <w:highlight w:val="none"/>
                <w:lang w:val="en-US" w:eastAsia="zh-CN"/>
              </w:rPr>
              <w:t>。</w:t>
            </w:r>
            <w:r>
              <w:rPr>
                <w:highlight w:val="none"/>
                <w:lang w:val="en-US" w:eastAsia="zh-CN"/>
              </w:rPr>
              <w:t>建设项目土建过程中需开挖地面</w:t>
            </w:r>
            <w:r>
              <w:rPr>
                <w:rFonts w:hint="eastAsia" w:ascii="宋体" w:hAnsi="宋体" w:eastAsia="宋体" w:cs="宋体"/>
                <w:highlight w:val="none"/>
                <w:lang w:val="en-US" w:eastAsia="zh-CN"/>
              </w:rPr>
              <w:t>，</w:t>
            </w:r>
            <w:r>
              <w:rPr>
                <w:highlight w:val="none"/>
                <w:lang w:val="en-US" w:eastAsia="zh-CN"/>
              </w:rPr>
              <w:t>在开挖施工过程中产生临时挖土方</w:t>
            </w:r>
            <w:r>
              <w:rPr>
                <w:rFonts w:hint="eastAsia" w:ascii="宋体" w:hAnsi="宋体" w:eastAsia="宋体" w:cs="宋体"/>
                <w:highlight w:val="none"/>
                <w:lang w:val="en-US" w:eastAsia="zh-CN"/>
              </w:rPr>
              <w:t>，</w:t>
            </w:r>
            <w:r>
              <w:rPr>
                <w:highlight w:val="none"/>
                <w:lang w:val="en-US" w:eastAsia="zh-CN"/>
              </w:rPr>
              <w:t>这些临时堆放的挖方在一定时期内形成新的表层土壤</w:t>
            </w:r>
            <w:r>
              <w:rPr>
                <w:rFonts w:hint="eastAsia" w:ascii="宋体" w:hAnsi="宋体" w:eastAsia="宋体" w:cs="宋体"/>
                <w:highlight w:val="none"/>
                <w:lang w:val="en-US" w:eastAsia="zh-CN"/>
              </w:rPr>
              <w:t>，</w:t>
            </w:r>
            <w:r>
              <w:rPr>
                <w:highlight w:val="none"/>
                <w:lang w:val="en-US" w:eastAsia="zh-CN"/>
              </w:rPr>
              <w:t>植被覆盖率为零</w:t>
            </w:r>
            <w:r>
              <w:rPr>
                <w:rFonts w:hint="eastAsia" w:ascii="宋体" w:hAnsi="宋体" w:eastAsia="宋体" w:cs="宋体"/>
                <w:highlight w:val="none"/>
                <w:lang w:val="en-US" w:eastAsia="zh-CN"/>
              </w:rPr>
              <w:t>，</w:t>
            </w:r>
            <w:r>
              <w:rPr>
                <w:highlight w:val="none"/>
                <w:lang w:val="en-US" w:eastAsia="zh-CN"/>
              </w:rPr>
              <w:t>经雨水冲刷</w:t>
            </w:r>
            <w:r>
              <w:rPr>
                <w:rFonts w:hint="eastAsia" w:ascii="宋体" w:hAnsi="宋体" w:eastAsia="宋体" w:cs="宋体"/>
                <w:highlight w:val="none"/>
                <w:lang w:val="en-US" w:eastAsia="zh-CN"/>
              </w:rPr>
              <w:t>，</w:t>
            </w:r>
            <w:r>
              <w:rPr>
                <w:highlight w:val="none"/>
                <w:lang w:val="en-US" w:eastAsia="zh-CN"/>
              </w:rPr>
              <w:t>将会形成水土流失源</w:t>
            </w:r>
            <w:r>
              <w:rPr>
                <w:rFonts w:hint="eastAsia" w:ascii="宋体" w:hAnsi="宋体" w:eastAsia="宋体" w:cs="宋体"/>
                <w:highlight w:val="none"/>
                <w:lang w:val="en-US" w:eastAsia="zh-CN"/>
              </w:rPr>
              <w:t>。</w:t>
            </w:r>
          </w:p>
          <w:p>
            <w:pPr>
              <w:pStyle w:val="25"/>
              <w:bidi w:val="0"/>
              <w:jc w:val="left"/>
              <w:rPr>
                <w:rFonts w:hint="eastAsia"/>
                <w:highlight w:val="none"/>
              </w:rPr>
            </w:pPr>
            <w:r>
              <w:rPr>
                <w:rFonts w:hint="eastAsia"/>
                <w:b/>
                <w:bCs/>
                <w:highlight w:val="none"/>
                <w:lang w:eastAsia="zh-CN"/>
              </w:rPr>
              <w:t>拟采取的环保措施：</w:t>
            </w:r>
          </w:p>
          <w:p>
            <w:pPr>
              <w:pStyle w:val="25"/>
              <w:bidi w:val="0"/>
              <w:jc w:val="left"/>
              <w:rPr>
                <w:rFonts w:hint="eastAsia" w:eastAsia="宋体"/>
                <w:highlight w:val="none"/>
                <w:lang w:eastAsia="zh-CN"/>
              </w:rPr>
            </w:pPr>
            <w:r>
              <w:rPr>
                <w:rFonts w:hint="eastAsia"/>
                <w:highlight w:val="none"/>
              </w:rPr>
              <w:t>①项目周边建</w:t>
            </w:r>
            <w:r>
              <w:rPr>
                <w:rFonts w:hint="eastAsia"/>
                <w:highlight w:val="none"/>
                <w:lang w:eastAsia="zh-CN"/>
              </w:rPr>
              <w:t>围挡</w:t>
            </w:r>
            <w:r>
              <w:rPr>
                <w:rFonts w:hint="eastAsia"/>
                <w:highlight w:val="none"/>
              </w:rPr>
              <w:t>、及时回填土方</w:t>
            </w:r>
            <w:r>
              <w:rPr>
                <w:rFonts w:hint="eastAsia" w:ascii="宋体" w:hAnsi="宋体" w:eastAsia="宋体" w:cs="宋体"/>
                <w:highlight w:val="none"/>
              </w:rPr>
              <w:t>，</w:t>
            </w:r>
            <w:r>
              <w:rPr>
                <w:rFonts w:hint="eastAsia"/>
                <w:highlight w:val="none"/>
              </w:rPr>
              <w:t>合理安排施工时序</w:t>
            </w:r>
            <w:r>
              <w:rPr>
                <w:rFonts w:hint="eastAsia" w:ascii="宋体" w:hAnsi="宋体" w:eastAsia="宋体" w:cs="宋体"/>
                <w:highlight w:val="none"/>
              </w:rPr>
              <w:t>，</w:t>
            </w:r>
            <w:r>
              <w:rPr>
                <w:rFonts w:hint="eastAsia"/>
                <w:highlight w:val="none"/>
              </w:rPr>
              <w:t>避开雨季施工</w:t>
            </w:r>
            <w:r>
              <w:rPr>
                <w:rFonts w:hint="eastAsia" w:ascii="宋体" w:hAnsi="宋体" w:eastAsia="宋体" w:cs="宋体"/>
                <w:highlight w:val="none"/>
                <w:lang w:eastAsia="zh-CN"/>
              </w:rPr>
              <w:t>；</w:t>
            </w:r>
          </w:p>
          <w:p>
            <w:pPr>
              <w:pStyle w:val="25"/>
              <w:bidi w:val="0"/>
              <w:jc w:val="left"/>
              <w:rPr>
                <w:rFonts w:hint="eastAsia" w:eastAsia="宋体"/>
                <w:highlight w:val="none"/>
                <w:lang w:eastAsia="zh-CN"/>
              </w:rPr>
            </w:pPr>
            <w:r>
              <w:rPr>
                <w:rFonts w:hint="eastAsia"/>
                <w:highlight w:val="none"/>
              </w:rPr>
              <w:t>②施工道路采用硬化路面</w:t>
            </w:r>
            <w:r>
              <w:rPr>
                <w:rFonts w:hint="eastAsia" w:ascii="宋体" w:hAnsi="宋体" w:eastAsia="宋体" w:cs="宋体"/>
                <w:highlight w:val="none"/>
              </w:rPr>
              <w:t>，</w:t>
            </w:r>
            <w:r>
              <w:rPr>
                <w:rFonts w:hint="eastAsia"/>
                <w:highlight w:val="none"/>
              </w:rPr>
              <w:t>在施工场地建排水沟</w:t>
            </w:r>
            <w:r>
              <w:rPr>
                <w:rFonts w:hint="eastAsia" w:ascii="宋体" w:hAnsi="宋体" w:eastAsia="宋体" w:cs="宋体"/>
                <w:highlight w:val="none"/>
              </w:rPr>
              <w:t>，</w:t>
            </w:r>
            <w:r>
              <w:rPr>
                <w:rFonts w:hint="eastAsia"/>
                <w:highlight w:val="none"/>
              </w:rPr>
              <w:t>防止雨水冲刷场地</w:t>
            </w:r>
            <w:r>
              <w:rPr>
                <w:rFonts w:hint="eastAsia" w:ascii="宋体" w:hAnsi="宋体" w:eastAsia="宋体" w:cs="宋体"/>
                <w:highlight w:val="none"/>
              </w:rPr>
              <w:t>，</w:t>
            </w:r>
            <w:r>
              <w:rPr>
                <w:rFonts w:hint="eastAsia"/>
                <w:highlight w:val="none"/>
              </w:rPr>
              <w:t>并在排水沟出口设沉砂池</w:t>
            </w:r>
            <w:r>
              <w:rPr>
                <w:rFonts w:hint="eastAsia" w:ascii="宋体" w:hAnsi="宋体" w:eastAsia="宋体" w:cs="宋体"/>
                <w:highlight w:val="none"/>
              </w:rPr>
              <w:t>，</w:t>
            </w:r>
            <w:r>
              <w:rPr>
                <w:rFonts w:hint="eastAsia"/>
                <w:highlight w:val="none"/>
              </w:rPr>
              <w:t>使初期雨水澄清后用于</w:t>
            </w:r>
            <w:r>
              <w:rPr>
                <w:rFonts w:hint="eastAsia"/>
                <w:highlight w:val="none"/>
                <w:lang w:eastAsia="zh-CN"/>
              </w:rPr>
              <w:t>施工场地</w:t>
            </w:r>
            <w:r>
              <w:rPr>
                <w:rFonts w:hint="eastAsia"/>
                <w:highlight w:val="none"/>
              </w:rPr>
              <w:t>洒水抑尘</w:t>
            </w:r>
            <w:r>
              <w:rPr>
                <w:rFonts w:hint="eastAsia" w:ascii="宋体" w:hAnsi="宋体" w:eastAsia="宋体" w:cs="宋体"/>
                <w:highlight w:val="none"/>
              </w:rPr>
              <w:t>，</w:t>
            </w:r>
            <w:r>
              <w:rPr>
                <w:rFonts w:hint="eastAsia"/>
                <w:highlight w:val="none"/>
              </w:rPr>
              <w:t>尽量减少施工期水土流失</w:t>
            </w:r>
            <w:r>
              <w:rPr>
                <w:rFonts w:hint="eastAsia" w:ascii="宋体" w:hAnsi="宋体" w:eastAsia="宋体" w:cs="宋体"/>
                <w:highlight w:val="none"/>
                <w:lang w:eastAsia="zh-CN"/>
              </w:rPr>
              <w:t>；</w:t>
            </w:r>
          </w:p>
          <w:p>
            <w:pPr>
              <w:pStyle w:val="25"/>
              <w:bidi w:val="0"/>
              <w:rPr>
                <w:rFonts w:hint="eastAsia" w:ascii="Times New Roman" w:hAnsi="Times New Roman" w:eastAsia="宋体" w:cs="Times New Roman"/>
                <w:b/>
                <w:bCs/>
                <w:snapToGrid w:val="0"/>
                <w:color w:val="auto"/>
                <w:sz w:val="28"/>
                <w:szCs w:val="28"/>
                <w:u w:val="none" w:color="auto"/>
                <w:vertAlign w:val="baseline"/>
              </w:rPr>
            </w:pPr>
            <w:r>
              <w:rPr>
                <w:rFonts w:hint="eastAsia"/>
                <w:highlight w:val="none"/>
                <w:lang w:eastAsia="zh-CN"/>
              </w:rPr>
              <w:t>③对工程临时占地进行原貌恢复</w:t>
            </w:r>
            <w:r>
              <w:rPr>
                <w:rFonts w:hint="eastAsia" w:ascii="宋体" w:hAnsi="宋体" w:eastAsia="宋体" w:cs="宋体"/>
                <w:highlight w:val="none"/>
                <w:lang w:eastAsia="zh-CN"/>
              </w:rPr>
              <w:t>，</w:t>
            </w:r>
            <w:r>
              <w:rPr>
                <w:rFonts w:hint="eastAsia"/>
                <w:highlight w:val="none"/>
                <w:lang w:eastAsia="zh-CN"/>
              </w:rPr>
              <w:t>减少水土流失</w:t>
            </w:r>
            <w:r>
              <w:rPr>
                <w:rFonts w:hint="eastAsia" w:ascii="宋体" w:hAnsi="宋体" w:eastAsia="宋体" w:cs="宋体"/>
                <w:highlight w:val="none"/>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0" w:type="dxa"/>
            <w:vAlign w:val="center"/>
          </w:tcPr>
          <w:p>
            <w:pPr>
              <w:adjustRightInd w:val="0"/>
              <w:snapToGrid w:val="0"/>
              <w:jc w:val="center"/>
              <w:rPr>
                <w:rFonts w:hint="eastAsia" w:ascii="宋体" w:hAnsi="宋体" w:cs="宋体"/>
                <w:bCs/>
                <w:szCs w:val="21"/>
              </w:rPr>
            </w:pPr>
            <w:r>
              <w:rPr>
                <w:rFonts w:hint="eastAsia" w:ascii="宋体" w:hAnsi="宋体" w:cs="宋体"/>
                <w:bCs/>
                <w:szCs w:val="21"/>
              </w:rPr>
              <w:t>运营</w:t>
            </w:r>
          </w:p>
          <w:p>
            <w:pPr>
              <w:adjustRightInd w:val="0"/>
              <w:snapToGrid w:val="0"/>
              <w:jc w:val="center"/>
              <w:rPr>
                <w:rFonts w:hint="eastAsia" w:ascii="宋体" w:hAnsi="宋体" w:cs="宋体"/>
                <w:bCs/>
                <w:szCs w:val="21"/>
              </w:rPr>
            </w:pPr>
            <w:r>
              <w:rPr>
                <w:rFonts w:hint="eastAsia" w:ascii="宋体" w:hAnsi="宋体" w:cs="宋体"/>
                <w:bCs/>
                <w:szCs w:val="21"/>
              </w:rPr>
              <w:t>期环</w:t>
            </w:r>
          </w:p>
          <w:p>
            <w:pPr>
              <w:adjustRightInd w:val="0"/>
              <w:snapToGrid w:val="0"/>
              <w:jc w:val="center"/>
              <w:rPr>
                <w:rFonts w:hint="eastAsia" w:ascii="宋体" w:hAnsi="宋体" w:cs="宋体"/>
                <w:bCs/>
                <w:szCs w:val="21"/>
              </w:rPr>
            </w:pPr>
            <w:r>
              <w:rPr>
                <w:rFonts w:hint="eastAsia" w:ascii="宋体" w:hAnsi="宋体" w:cs="宋体"/>
                <w:bCs/>
                <w:szCs w:val="21"/>
              </w:rPr>
              <w:t>境影</w:t>
            </w:r>
          </w:p>
          <w:p>
            <w:pPr>
              <w:adjustRightInd w:val="0"/>
              <w:snapToGrid w:val="0"/>
              <w:jc w:val="center"/>
              <w:rPr>
                <w:rFonts w:hint="eastAsia" w:ascii="宋体" w:hAnsi="宋体" w:cs="宋体"/>
                <w:bCs/>
                <w:szCs w:val="21"/>
              </w:rPr>
            </w:pPr>
            <w:r>
              <w:rPr>
                <w:rFonts w:hint="eastAsia" w:ascii="宋体" w:hAnsi="宋体" w:cs="宋体"/>
                <w:bCs/>
                <w:szCs w:val="21"/>
              </w:rPr>
              <w:t>响和</w:t>
            </w:r>
          </w:p>
          <w:p>
            <w:pPr>
              <w:adjustRightInd w:val="0"/>
              <w:snapToGrid w:val="0"/>
              <w:jc w:val="center"/>
              <w:rPr>
                <w:rFonts w:hint="eastAsia" w:ascii="宋体" w:hAnsi="宋体" w:cs="宋体"/>
                <w:bCs/>
                <w:szCs w:val="21"/>
              </w:rPr>
            </w:pPr>
            <w:r>
              <w:rPr>
                <w:rFonts w:hint="eastAsia" w:ascii="宋体" w:hAnsi="宋体" w:cs="宋体"/>
                <w:bCs/>
                <w:szCs w:val="21"/>
              </w:rPr>
              <w:t>保护</w:t>
            </w:r>
          </w:p>
          <w:p>
            <w:pPr>
              <w:adjustRightInd w:val="0"/>
              <w:snapToGrid w:val="0"/>
              <w:jc w:val="center"/>
              <w:rPr>
                <w:rFonts w:hint="eastAsia" w:ascii="Times New Roman" w:hAnsi="Times New Roman" w:eastAsia="宋体" w:cs="Times New Roman"/>
                <w:color w:val="auto"/>
                <w:kern w:val="0"/>
                <w:sz w:val="24"/>
                <w:szCs w:val="24"/>
                <w:u w:val="none" w:color="auto"/>
              </w:rPr>
            </w:pPr>
            <w:r>
              <w:rPr>
                <w:rFonts w:hint="eastAsia" w:ascii="宋体" w:hAnsi="宋体" w:cs="宋体"/>
                <w:bCs/>
                <w:szCs w:val="21"/>
              </w:rPr>
              <w:t>措施</w:t>
            </w:r>
          </w:p>
        </w:tc>
        <w:tc>
          <w:tcPr>
            <w:tcW w:w="8184" w:type="dxa"/>
          </w:tcPr>
          <w:p>
            <w:pPr>
              <w:pageBreakBefore w:val="0"/>
              <w:numPr>
                <w:ilvl w:val="0"/>
                <w:numId w:val="0"/>
              </w:numPr>
              <w:kinsoku/>
              <w:overflowPunct/>
              <w:bidi w:val="0"/>
              <w:spacing w:line="360" w:lineRule="auto"/>
              <w:ind w:firstLine="482" w:firstLineChars="200"/>
              <w:rPr>
                <w:rFonts w:hint="default" w:ascii="Times New Roman" w:hAnsi="Times New Roman" w:eastAsia="宋体" w:cs="Times New Roman"/>
                <w:b/>
                <w:bCs/>
                <w:color w:val="auto"/>
                <w:sz w:val="24"/>
                <w:szCs w:val="24"/>
                <w:u w:val="none" w:color="auto"/>
                <w:lang w:val="en-US" w:eastAsia="zh-CN"/>
              </w:rPr>
            </w:pPr>
            <w:r>
              <w:rPr>
                <w:rFonts w:hint="default" w:ascii="Times New Roman" w:hAnsi="Times New Roman" w:eastAsia="宋体" w:cs="Times New Roman"/>
                <w:b/>
                <w:bCs/>
                <w:color w:val="auto"/>
                <w:sz w:val="24"/>
                <w:szCs w:val="24"/>
                <w:u w:val="none" w:color="auto"/>
                <w:lang w:val="en-US" w:eastAsia="zh-CN"/>
              </w:rPr>
              <w:t>一、废气</w:t>
            </w:r>
          </w:p>
          <w:p>
            <w:pPr>
              <w:pageBreakBefore w:val="0"/>
              <w:numPr>
                <w:ilvl w:val="0"/>
                <w:numId w:val="0"/>
              </w:numPr>
              <w:kinsoku/>
              <w:overflowPunct/>
              <w:bidi w:val="0"/>
              <w:spacing w:line="360" w:lineRule="auto"/>
              <w:ind w:firstLine="482" w:firstLineChars="200"/>
              <w:rPr>
                <w:rFonts w:hint="default" w:ascii="Times New Roman" w:hAnsi="Times New Roman" w:eastAsia="宋体" w:cs="Times New Roman"/>
                <w:color w:val="auto"/>
                <w:sz w:val="24"/>
                <w:szCs w:val="24"/>
                <w:u w:val="none" w:color="auto"/>
              </w:rPr>
            </w:pPr>
            <w:r>
              <w:rPr>
                <w:rFonts w:hint="default" w:ascii="Times New Roman" w:hAnsi="Times New Roman" w:eastAsia="宋体" w:cs="Times New Roman"/>
                <w:b/>
                <w:bCs/>
                <w:color w:val="auto"/>
                <w:sz w:val="24"/>
                <w:szCs w:val="24"/>
                <w:u w:val="none" w:color="auto"/>
              </w:rPr>
              <w:t>1、废气污染源分析</w:t>
            </w:r>
          </w:p>
          <w:p>
            <w:pPr>
              <w:pageBreakBefore w:val="0"/>
              <w:kinsoku/>
              <w:overflowPunct/>
              <w:bidi w:val="0"/>
              <w:spacing w:line="360" w:lineRule="auto"/>
              <w:ind w:firstLine="480" w:firstLineChars="200"/>
              <w:jc w:val="both"/>
              <w:rPr>
                <w:rFonts w:hint="default" w:ascii="Times New Roman" w:hAnsi="Times New Roman" w:eastAsia="宋体" w:cs="Times New Roman"/>
                <w:color w:val="auto"/>
                <w:sz w:val="24"/>
                <w:szCs w:val="24"/>
                <w:u w:val="none" w:color="auto"/>
                <w:lang w:bidi="ar"/>
              </w:rPr>
            </w:pPr>
            <w:r>
              <w:rPr>
                <w:rFonts w:hint="default" w:ascii="Times New Roman" w:hAnsi="Times New Roman" w:eastAsia="宋体" w:cs="Times New Roman"/>
                <w:color w:val="auto"/>
                <w:sz w:val="24"/>
                <w:szCs w:val="24"/>
                <w:u w:val="none" w:color="auto"/>
                <w:lang w:bidi="ar"/>
              </w:rPr>
              <w:t>根据项目生产工艺分析，本项目废气主要是汽车拆解切割过程产生的粉尘、预处理工序抽取废油液时产生的挥发性有机废气</w:t>
            </w:r>
            <w:r>
              <w:rPr>
                <w:rFonts w:hint="eastAsia" w:cs="Times New Roman"/>
                <w:color w:val="auto"/>
                <w:sz w:val="24"/>
                <w:szCs w:val="24"/>
                <w:u w:val="none" w:color="auto"/>
                <w:lang w:eastAsia="zh-CN" w:bidi="ar"/>
              </w:rPr>
              <w:t>、</w:t>
            </w:r>
            <w:r>
              <w:rPr>
                <w:rFonts w:hint="default" w:ascii="Times New Roman" w:hAnsi="Times New Roman" w:eastAsia="宋体" w:cs="Times New Roman"/>
                <w:color w:val="auto"/>
                <w:sz w:val="24"/>
                <w:szCs w:val="24"/>
                <w:u w:val="none" w:color="auto"/>
                <w:lang w:bidi="ar"/>
              </w:rPr>
              <w:t>抽取空调制冷剂时产生的极少挥发性氟利昂废气</w:t>
            </w:r>
            <w:r>
              <w:rPr>
                <w:rFonts w:hint="eastAsia" w:cs="Times New Roman"/>
                <w:color w:val="auto"/>
                <w:sz w:val="24"/>
                <w:szCs w:val="24"/>
                <w:u w:val="none" w:color="auto"/>
                <w:lang w:eastAsia="zh-CN" w:bidi="ar"/>
              </w:rPr>
              <w:t>、</w:t>
            </w:r>
            <w:r>
              <w:rPr>
                <w:rFonts w:hint="eastAsia" w:cs="Times New Roman"/>
                <w:color w:val="auto"/>
                <w:sz w:val="24"/>
                <w:szCs w:val="24"/>
                <w:u w:val="none" w:color="auto"/>
                <w:lang w:val="en-US" w:eastAsia="zh-CN" w:bidi="ar"/>
              </w:rPr>
              <w:t>安全气囊引爆产生的废气、食堂油烟等</w:t>
            </w:r>
            <w:r>
              <w:rPr>
                <w:rFonts w:hint="default" w:ascii="Times New Roman" w:hAnsi="Times New Roman" w:eastAsia="宋体" w:cs="Times New Roman"/>
                <w:color w:val="auto"/>
                <w:sz w:val="24"/>
                <w:szCs w:val="24"/>
                <w:u w:val="none" w:color="auto"/>
                <w:lang w:bidi="ar"/>
              </w:rPr>
              <w:t>。</w:t>
            </w:r>
          </w:p>
          <w:p>
            <w:pPr>
              <w:pageBreakBefore w:val="0"/>
              <w:kinsoku/>
              <w:overflowPunct/>
              <w:bidi w:val="0"/>
              <w:spacing w:line="360" w:lineRule="auto"/>
              <w:ind w:firstLine="482" w:firstLineChars="200"/>
              <w:jc w:val="both"/>
              <w:rPr>
                <w:rFonts w:hint="default" w:ascii="Times New Roman" w:hAnsi="Times New Roman" w:eastAsia="宋体" w:cs="Times New Roman"/>
                <w:b/>
                <w:bCs/>
                <w:color w:val="auto"/>
                <w:sz w:val="24"/>
                <w:szCs w:val="24"/>
                <w:u w:val="none" w:color="auto"/>
                <w:lang w:val="en-US" w:eastAsia="zh-CN"/>
              </w:rPr>
            </w:pPr>
            <w:r>
              <w:rPr>
                <w:rFonts w:hint="default" w:ascii="Times New Roman" w:hAnsi="Times New Roman" w:eastAsia="宋体" w:cs="Times New Roman"/>
                <w:b/>
                <w:bCs/>
                <w:color w:val="auto"/>
                <w:sz w:val="24"/>
                <w:szCs w:val="24"/>
                <w:u w:val="none" w:color="auto"/>
                <w:lang w:val="en-US" w:eastAsia="zh-CN"/>
              </w:rPr>
              <w:t>（1）废油液</w:t>
            </w:r>
            <w:r>
              <w:rPr>
                <w:rFonts w:hint="eastAsia" w:cs="Times New Roman"/>
                <w:b/>
                <w:bCs/>
                <w:color w:val="auto"/>
                <w:sz w:val="24"/>
                <w:szCs w:val="24"/>
                <w:u w:val="none" w:color="auto"/>
                <w:lang w:val="en-US" w:eastAsia="zh-CN"/>
              </w:rPr>
              <w:t>抽取</w:t>
            </w:r>
            <w:r>
              <w:rPr>
                <w:rFonts w:hint="default" w:ascii="Times New Roman" w:hAnsi="Times New Roman" w:eastAsia="宋体" w:cs="Times New Roman"/>
                <w:b/>
                <w:bCs/>
                <w:color w:val="auto"/>
                <w:sz w:val="24"/>
                <w:szCs w:val="24"/>
                <w:u w:val="none" w:color="auto"/>
                <w:lang w:val="en-US" w:eastAsia="zh-CN"/>
              </w:rPr>
              <w:t>产生的有机废气</w:t>
            </w:r>
          </w:p>
          <w:p>
            <w:pPr>
              <w:pageBreakBefore w:val="0"/>
              <w:kinsoku/>
              <w:overflowPunct/>
              <w:bidi w:val="0"/>
              <w:spacing w:line="360" w:lineRule="auto"/>
              <w:ind w:firstLine="480" w:firstLineChars="200"/>
              <w:rPr>
                <w:rFonts w:hint="default" w:ascii="Times New Roman" w:hAnsi="Times New Roman" w:eastAsia="宋体" w:cs="Times New Roman"/>
                <w:color w:val="auto"/>
                <w:sz w:val="24"/>
                <w:szCs w:val="24"/>
                <w:u w:val="none" w:color="auto"/>
                <w:lang w:bidi="ar"/>
              </w:rPr>
            </w:pPr>
            <w:r>
              <w:rPr>
                <w:rFonts w:hint="default" w:ascii="Times New Roman" w:hAnsi="Times New Roman" w:eastAsia="宋体" w:cs="Times New Roman"/>
                <w:color w:val="auto"/>
                <w:sz w:val="24"/>
                <w:szCs w:val="24"/>
                <w:u w:val="none" w:color="auto"/>
                <w:lang w:bidi="ar"/>
              </w:rPr>
              <w:t>报废机动车进场后先进行预处理，需要对报废机动车剩余油液抽取</w:t>
            </w:r>
            <w:r>
              <w:rPr>
                <w:rFonts w:hint="eastAsia" w:cs="Times New Roman"/>
                <w:color w:val="auto"/>
                <w:sz w:val="24"/>
                <w:szCs w:val="24"/>
                <w:u w:val="none" w:color="auto"/>
                <w:lang w:eastAsia="zh-CN" w:bidi="ar"/>
              </w:rPr>
              <w:t>，</w:t>
            </w:r>
            <w:r>
              <w:rPr>
                <w:rFonts w:hint="default" w:ascii="Times New Roman" w:hAnsi="Times New Roman" w:eastAsia="宋体" w:cs="Times New Roman"/>
                <w:color w:val="auto"/>
                <w:sz w:val="24"/>
                <w:szCs w:val="24"/>
                <w:u w:val="none" w:color="auto"/>
                <w:lang w:bidi="ar"/>
              </w:rPr>
              <w:t>在预处理平台上进行，抽取灌注至专用容器内密闭储存。油液抽取过程采用抽油机抽取至储油罐，储油罐满后再抽至储油桶密闭储存，抽取过程为常压，均在预处理区域进行操作，燃油（柴油和汽油）沸点较低，可能会挥发，其他油液主要对发动机等机械设备起到润滑、清洁、密封、减磨、防锈等作用，相对于燃油而言其稳定性较强，有较强的氧化稳定性、热稳定性以及低挥发性，抽取过程挥发量较少。废油液回收过程中产生的大气污染源主要来源于燃油和其他油液挥发的有机物，本评价以非甲烷总烃进行表征。</w:t>
            </w:r>
          </w:p>
          <w:p>
            <w:pPr>
              <w:pageBreakBefore w:val="0"/>
              <w:kinsoku/>
              <w:overflowPunct/>
              <w:bidi w:val="0"/>
              <w:spacing w:line="360" w:lineRule="auto"/>
              <w:ind w:firstLine="480" w:firstLineChars="200"/>
              <w:rPr>
                <w:rFonts w:hint="default" w:ascii="Times New Roman" w:hAnsi="Times New Roman" w:eastAsia="宋体" w:cs="Times New Roman"/>
                <w:color w:val="auto"/>
                <w:sz w:val="24"/>
                <w:szCs w:val="24"/>
                <w:u w:val="none" w:color="auto"/>
              </w:rPr>
            </w:pPr>
            <w:r>
              <w:rPr>
                <w:rFonts w:hint="default" w:ascii="Times New Roman" w:hAnsi="Times New Roman" w:eastAsia="宋体" w:cs="Times New Roman"/>
                <w:color w:val="auto"/>
                <w:sz w:val="24"/>
                <w:szCs w:val="24"/>
                <w:u w:val="none" w:color="auto"/>
                <w:lang w:bidi="ar"/>
              </w:rPr>
              <w:t>类比同类企业，废油液的抽取量高于90%，本报告按90%计算，则剩余少量未抽出的废油液以及抽取废油液过程中会有少量的VOCs</w:t>
            </w:r>
            <w:r>
              <w:rPr>
                <w:rFonts w:hint="eastAsia" w:cs="Times New Roman"/>
                <w:color w:val="auto"/>
                <w:sz w:val="24"/>
                <w:szCs w:val="24"/>
                <w:u w:val="none" w:color="auto"/>
                <w:lang w:eastAsia="zh-CN" w:bidi="ar"/>
              </w:rPr>
              <w:t>（</w:t>
            </w:r>
            <w:r>
              <w:rPr>
                <w:rFonts w:hint="eastAsia" w:cs="Times New Roman"/>
                <w:color w:val="auto"/>
                <w:sz w:val="24"/>
                <w:szCs w:val="24"/>
                <w:u w:val="none" w:color="auto"/>
                <w:lang w:val="en-US" w:eastAsia="zh-CN" w:bidi="ar"/>
              </w:rPr>
              <w:t>以非甲烷总烃计</w:t>
            </w:r>
            <w:r>
              <w:rPr>
                <w:rFonts w:hint="eastAsia" w:cs="Times New Roman"/>
                <w:color w:val="auto"/>
                <w:sz w:val="24"/>
                <w:szCs w:val="24"/>
                <w:u w:val="none" w:color="auto"/>
                <w:lang w:eastAsia="zh-CN" w:bidi="ar"/>
              </w:rPr>
              <w:t>）</w:t>
            </w:r>
            <w:r>
              <w:rPr>
                <w:rFonts w:hint="default" w:ascii="Times New Roman" w:hAnsi="Times New Roman" w:eastAsia="宋体" w:cs="Times New Roman"/>
                <w:color w:val="auto"/>
                <w:sz w:val="24"/>
                <w:szCs w:val="24"/>
                <w:u w:val="none" w:color="auto"/>
                <w:lang w:bidi="ar"/>
              </w:rPr>
              <w:t>产生。油液抽排系统是利用压缩空气，通过特殊设计的真空发生装置将密闭钢瓶抽真空，产生一定的真空度，在外界空气压力的作用下，通过抽油管，将废油液抽入密闭钢瓶内。</w:t>
            </w:r>
          </w:p>
          <w:p>
            <w:pPr>
              <w:pStyle w:val="15"/>
              <w:pageBreakBefore w:val="0"/>
              <w:widowControl w:val="0"/>
              <w:kinsoku/>
              <w:overflowPunct/>
              <w:bidi w:val="0"/>
              <w:spacing w:before="0" w:beforeAutospacing="0" w:after="0" w:afterAutospacing="0" w:line="360" w:lineRule="auto"/>
              <w:ind w:firstLine="480"/>
              <w:jc w:val="both"/>
              <w:rPr>
                <w:rFonts w:hint="default" w:ascii="Times New Roman" w:hAnsi="Times New Roman" w:eastAsia="宋体" w:cs="Times New Roman"/>
                <w:color w:val="auto"/>
                <w:sz w:val="24"/>
                <w:szCs w:val="24"/>
                <w:u w:val="none" w:color="auto"/>
              </w:rPr>
            </w:pPr>
            <w:r>
              <w:rPr>
                <w:rFonts w:hint="default" w:ascii="Times New Roman" w:hAnsi="Times New Roman" w:eastAsia="宋体" w:cs="Times New Roman"/>
                <w:color w:val="auto"/>
                <w:sz w:val="24"/>
                <w:szCs w:val="24"/>
                <w:u w:val="none" w:color="auto"/>
                <w:lang w:bidi="ar"/>
              </w:rPr>
              <w:t>参照《散装液态石油拆解</w:t>
            </w:r>
            <w:r>
              <w:rPr>
                <w:rFonts w:hint="default" w:ascii="Times New Roman" w:hAnsi="Times New Roman" w:eastAsia="宋体" w:cs="Times New Roman"/>
                <w:color w:val="auto"/>
                <w:sz w:val="24"/>
                <w:szCs w:val="24"/>
                <w:u w:val="none" w:color="auto"/>
                <w:lang w:val="en-US" w:eastAsia="zh-CN" w:bidi="ar"/>
              </w:rPr>
              <w:t xml:space="preserve"> </w:t>
            </w:r>
            <w:r>
              <w:rPr>
                <w:rFonts w:hint="default" w:ascii="Times New Roman" w:hAnsi="Times New Roman" w:eastAsia="宋体" w:cs="Times New Roman"/>
                <w:color w:val="auto"/>
                <w:sz w:val="24"/>
                <w:szCs w:val="24"/>
                <w:u w:val="none" w:color="auto"/>
                <w:lang w:bidi="ar"/>
              </w:rPr>
              <w:t>物品损耗》（GB11085-89）中灌桶（0.18%）和零售加注时（0.29%）的两部分的损失率，按总体0.47%的损失率进行。根据本报告项目拆解物品方案章节的分析，</w:t>
            </w:r>
            <w:r>
              <w:rPr>
                <w:rFonts w:hint="eastAsia" w:ascii="Times New Roman" w:hAnsi="Times New Roman" w:cs="Times New Roman"/>
                <w:color w:val="auto"/>
                <w:sz w:val="24"/>
                <w:szCs w:val="24"/>
                <w:u w:val="none" w:color="auto"/>
                <w:lang w:eastAsia="zh-CN" w:bidi="ar"/>
              </w:rPr>
              <w:t>本项目</w:t>
            </w:r>
            <w:r>
              <w:rPr>
                <w:rFonts w:hint="default" w:ascii="Times New Roman" w:hAnsi="Times New Roman" w:eastAsia="宋体" w:cs="Times New Roman"/>
                <w:color w:val="auto"/>
                <w:sz w:val="24"/>
                <w:szCs w:val="24"/>
                <w:u w:val="none" w:color="auto"/>
                <w:lang w:bidi="ar"/>
              </w:rPr>
              <w:t>营运后废燃料油和各类废油液的产生量共计</w:t>
            </w:r>
            <w:r>
              <w:rPr>
                <w:rFonts w:hint="eastAsia" w:ascii="Times New Roman" w:hAnsi="Times New Roman" w:cs="Times New Roman"/>
                <w:color w:val="auto"/>
                <w:sz w:val="24"/>
                <w:szCs w:val="24"/>
                <w:u w:val="none" w:color="auto"/>
                <w:lang w:val="en-US" w:eastAsia="zh-CN" w:bidi="ar"/>
              </w:rPr>
              <w:t>43.2</w:t>
            </w:r>
            <w:r>
              <w:rPr>
                <w:rFonts w:hint="default" w:ascii="Times New Roman" w:hAnsi="Times New Roman" w:eastAsia="宋体" w:cs="Times New Roman"/>
                <w:color w:val="auto"/>
                <w:sz w:val="24"/>
                <w:szCs w:val="24"/>
                <w:u w:val="none" w:color="auto"/>
                <w:lang w:bidi="ar"/>
              </w:rPr>
              <w:t>t/a，则废油液挥发产生的</w:t>
            </w:r>
            <w:r>
              <w:rPr>
                <w:rFonts w:hint="eastAsia" w:ascii="Times New Roman" w:hAnsi="Times New Roman" w:cs="Times New Roman"/>
                <w:color w:val="auto"/>
                <w:sz w:val="24"/>
                <w:szCs w:val="24"/>
                <w:u w:val="none" w:color="auto"/>
                <w:lang w:val="en-US" w:eastAsia="zh-CN" w:bidi="ar"/>
              </w:rPr>
              <w:t>挥发性有机废气</w:t>
            </w:r>
            <w:r>
              <w:rPr>
                <w:rFonts w:hint="eastAsia" w:ascii="Times New Roman" w:hAnsi="Times New Roman" w:cs="Times New Roman"/>
                <w:color w:val="auto"/>
                <w:sz w:val="24"/>
                <w:szCs w:val="24"/>
                <w:u w:val="none" w:color="auto"/>
                <w:lang w:eastAsia="zh-CN" w:bidi="ar"/>
              </w:rPr>
              <w:t>（</w:t>
            </w:r>
            <w:r>
              <w:rPr>
                <w:rFonts w:hint="eastAsia" w:ascii="Times New Roman" w:hAnsi="Times New Roman" w:cs="Times New Roman"/>
                <w:color w:val="auto"/>
                <w:sz w:val="24"/>
                <w:szCs w:val="24"/>
                <w:u w:val="none" w:color="auto"/>
                <w:lang w:val="en-US" w:eastAsia="zh-CN" w:bidi="ar"/>
              </w:rPr>
              <w:t>以非甲烷总烃计</w:t>
            </w:r>
            <w:r>
              <w:rPr>
                <w:rFonts w:hint="eastAsia" w:ascii="Times New Roman" w:hAnsi="Times New Roman" w:cs="Times New Roman"/>
                <w:color w:val="auto"/>
                <w:sz w:val="24"/>
                <w:szCs w:val="24"/>
                <w:u w:val="none" w:color="auto"/>
                <w:lang w:eastAsia="zh-CN" w:bidi="ar"/>
              </w:rPr>
              <w:t>）</w:t>
            </w:r>
            <w:r>
              <w:rPr>
                <w:rFonts w:hint="default" w:ascii="Times New Roman" w:hAnsi="Times New Roman" w:eastAsia="宋体" w:cs="Times New Roman"/>
                <w:color w:val="auto"/>
                <w:sz w:val="24"/>
                <w:szCs w:val="24"/>
                <w:u w:val="none" w:color="auto"/>
                <w:lang w:bidi="ar"/>
              </w:rPr>
              <w:t>量约为</w:t>
            </w:r>
            <w:r>
              <w:rPr>
                <w:rFonts w:hint="eastAsia" w:ascii="Times New Roman" w:hAnsi="Times New Roman" w:cs="Times New Roman"/>
                <w:color w:val="auto"/>
                <w:sz w:val="24"/>
                <w:szCs w:val="24"/>
                <w:u w:val="none" w:color="auto"/>
                <w:lang w:val="en-US" w:eastAsia="zh-CN" w:bidi="ar"/>
              </w:rPr>
              <w:t>50</w:t>
            </w:r>
            <w:r>
              <w:rPr>
                <w:rFonts w:hint="default" w:ascii="Times New Roman" w:hAnsi="Times New Roman" w:eastAsia="宋体" w:cs="Times New Roman"/>
                <w:color w:val="auto"/>
                <w:sz w:val="24"/>
                <w:szCs w:val="24"/>
                <w:u w:val="none" w:color="auto"/>
                <w:lang w:bidi="ar"/>
              </w:rPr>
              <w:t>×0.0047=0.</w:t>
            </w:r>
            <w:r>
              <w:rPr>
                <w:rFonts w:hint="default" w:ascii="Times New Roman" w:hAnsi="Times New Roman" w:eastAsia="宋体" w:cs="Times New Roman"/>
                <w:color w:val="auto"/>
                <w:sz w:val="24"/>
                <w:szCs w:val="24"/>
                <w:u w:val="none" w:color="auto"/>
                <w:lang w:val="en-US" w:eastAsia="zh-CN" w:bidi="ar"/>
              </w:rPr>
              <w:t>2</w:t>
            </w:r>
            <w:r>
              <w:rPr>
                <w:rFonts w:hint="eastAsia" w:ascii="Times New Roman" w:hAnsi="Times New Roman" w:cs="Times New Roman"/>
                <w:color w:val="auto"/>
                <w:sz w:val="24"/>
                <w:szCs w:val="24"/>
                <w:u w:val="none" w:color="auto"/>
                <w:lang w:val="en-US" w:eastAsia="zh-CN" w:bidi="ar"/>
              </w:rPr>
              <w:t>35</w:t>
            </w:r>
            <w:r>
              <w:rPr>
                <w:rFonts w:hint="default" w:ascii="Times New Roman" w:hAnsi="Times New Roman" w:eastAsia="宋体" w:cs="Times New Roman"/>
                <w:color w:val="auto"/>
                <w:sz w:val="24"/>
                <w:szCs w:val="24"/>
                <w:u w:val="none" w:color="auto"/>
                <w:lang w:bidi="ar"/>
              </w:rPr>
              <w:t>t/a。</w:t>
            </w:r>
          </w:p>
          <w:p>
            <w:pPr>
              <w:pageBreakBefore w:val="0"/>
              <w:kinsoku/>
              <w:overflowPunct/>
              <w:bidi w:val="0"/>
              <w:spacing w:line="360" w:lineRule="auto"/>
              <w:ind w:firstLine="480" w:firstLineChars="200"/>
              <w:jc w:val="both"/>
              <w:rPr>
                <w:rFonts w:hint="default" w:ascii="Times New Roman" w:hAnsi="Times New Roman" w:eastAsia="宋体" w:cs="Times New Roman"/>
                <w:b w:val="0"/>
                <w:bCs w:val="0"/>
                <w:color w:val="auto"/>
                <w:sz w:val="24"/>
                <w:szCs w:val="24"/>
                <w:u w:color="auto"/>
                <w:lang w:val="en-US" w:eastAsia="zh-CN"/>
              </w:rPr>
            </w:pPr>
            <w:r>
              <w:rPr>
                <w:color w:val="auto"/>
                <w:u w:color="auto"/>
              </w:rPr>
              <w:t>在</w:t>
            </w:r>
            <w:r>
              <w:rPr>
                <w:rFonts w:hint="eastAsia"/>
                <w:color w:val="auto"/>
                <w:u w:color="auto"/>
              </w:rPr>
              <w:t>预处理</w:t>
            </w:r>
            <w:r>
              <w:rPr>
                <w:color w:val="auto"/>
                <w:u w:color="auto"/>
              </w:rPr>
              <w:t>过程中，首先使用专用设备对各类废油液</w:t>
            </w:r>
            <w:r>
              <w:rPr>
                <w:rFonts w:hint="eastAsia"/>
                <w:color w:val="auto"/>
                <w:u w:color="auto"/>
              </w:rPr>
              <w:t>、气体</w:t>
            </w:r>
            <w:r>
              <w:rPr>
                <w:color w:val="auto"/>
                <w:u w:color="auto"/>
              </w:rPr>
              <w:t>进行</w:t>
            </w:r>
            <w:r>
              <w:rPr>
                <w:rFonts w:hint="eastAsia"/>
                <w:color w:val="auto"/>
                <w:u w:color="auto"/>
              </w:rPr>
              <w:t>封闭</w:t>
            </w:r>
            <w:r>
              <w:rPr>
                <w:color w:val="auto"/>
                <w:u w:color="auto"/>
              </w:rPr>
              <w:t>抽取，抽取后采用</w:t>
            </w:r>
            <w:r>
              <w:rPr>
                <w:rFonts w:hint="eastAsia"/>
                <w:color w:val="auto"/>
                <w:u w:color="auto"/>
              </w:rPr>
              <w:t>封闭</w:t>
            </w:r>
            <w:r>
              <w:rPr>
                <w:color w:val="auto"/>
                <w:u w:color="auto"/>
              </w:rPr>
              <w:t>罐体进行储存</w:t>
            </w:r>
            <w:r>
              <w:rPr>
                <w:rFonts w:hint="eastAsia"/>
                <w:color w:val="auto"/>
                <w:u w:color="auto"/>
              </w:rPr>
              <w:t>，</w:t>
            </w:r>
            <w:r>
              <w:rPr>
                <w:color w:val="auto"/>
                <w:u w:color="auto"/>
              </w:rPr>
              <w:t>减少项目非甲烷总烃的排放</w:t>
            </w:r>
            <w:r>
              <w:rPr>
                <w:rFonts w:hint="default" w:ascii="Times New Roman" w:hAnsi="Times New Roman" w:eastAsia="宋体" w:cs="Times New Roman"/>
                <w:color w:val="auto"/>
                <w:sz w:val="24"/>
                <w:szCs w:val="24"/>
                <w:u w:color="auto"/>
                <w:lang w:eastAsia="zh-CN" w:bidi="ar"/>
              </w:rPr>
              <w:t>。</w:t>
            </w:r>
          </w:p>
          <w:p>
            <w:pPr>
              <w:pageBreakBefore w:val="0"/>
              <w:kinsoku/>
              <w:overflowPunct/>
              <w:bidi w:val="0"/>
              <w:spacing w:line="360" w:lineRule="auto"/>
              <w:ind w:firstLine="482" w:firstLineChars="200"/>
              <w:jc w:val="both"/>
              <w:rPr>
                <w:rFonts w:hint="default" w:ascii="Times New Roman" w:hAnsi="Times New Roman" w:eastAsia="宋体" w:cs="Times New Roman"/>
                <w:b/>
                <w:bCs/>
                <w:color w:val="auto"/>
                <w:sz w:val="24"/>
                <w:szCs w:val="24"/>
                <w:u w:val="none" w:color="auto"/>
                <w:lang w:val="en-US" w:eastAsia="zh-CN"/>
              </w:rPr>
            </w:pPr>
            <w:r>
              <w:rPr>
                <w:rFonts w:hint="eastAsia" w:cs="Times New Roman"/>
                <w:b/>
                <w:bCs/>
                <w:color w:val="auto"/>
                <w:sz w:val="24"/>
                <w:szCs w:val="24"/>
                <w:u w:val="none" w:color="auto"/>
                <w:lang w:val="en-US" w:eastAsia="zh-CN"/>
              </w:rPr>
              <w:t>（2）</w:t>
            </w:r>
            <w:r>
              <w:rPr>
                <w:rFonts w:hint="default" w:ascii="Times New Roman" w:hAnsi="Times New Roman" w:eastAsia="宋体" w:cs="Times New Roman"/>
                <w:b/>
                <w:bCs/>
                <w:color w:val="auto"/>
                <w:sz w:val="24"/>
                <w:szCs w:val="24"/>
                <w:u w:val="none" w:color="auto"/>
                <w:lang w:val="en-US" w:eastAsia="zh-CN"/>
              </w:rPr>
              <w:t>制冷剂废气</w:t>
            </w:r>
          </w:p>
          <w:p>
            <w:pPr>
              <w:pStyle w:val="25"/>
              <w:bidi w:val="0"/>
              <w:rPr>
                <w:rFonts w:hint="eastAsia"/>
                <w:lang w:val="en-US" w:eastAsia="zh-CN"/>
              </w:rPr>
            </w:pPr>
            <w:r>
              <w:rPr>
                <w:rFonts w:hint="eastAsia"/>
                <w:lang w:val="en-US" w:eastAsia="zh-CN"/>
              </w:rPr>
              <w:t>项目拆解的报废汽车制冷系统所使用的制冷剂主要为R134a（1</w:t>
            </w:r>
            <w:r>
              <w:rPr>
                <w:rFonts w:hint="eastAsia" w:ascii="宋体" w:hAnsi="宋体" w:eastAsia="宋体" w:cs="宋体"/>
                <w:lang w:val="en-US" w:eastAsia="zh-CN"/>
              </w:rPr>
              <w:t>，</w:t>
            </w:r>
            <w:r>
              <w:rPr>
                <w:rFonts w:hint="eastAsia"/>
                <w:lang w:val="en-US" w:eastAsia="zh-CN"/>
              </w:rPr>
              <w:t>1</w:t>
            </w:r>
            <w:r>
              <w:rPr>
                <w:rFonts w:hint="eastAsia" w:ascii="宋体" w:hAnsi="宋体" w:eastAsia="宋体" w:cs="宋体"/>
                <w:lang w:val="en-US" w:eastAsia="zh-CN"/>
              </w:rPr>
              <w:t>，</w:t>
            </w:r>
            <w:r>
              <w:rPr>
                <w:rFonts w:hint="eastAsia"/>
                <w:lang w:val="en-US" w:eastAsia="zh-CN"/>
              </w:rPr>
              <w:t>1</w:t>
            </w:r>
            <w:r>
              <w:rPr>
                <w:rFonts w:hint="eastAsia" w:ascii="宋体" w:hAnsi="宋体" w:eastAsia="宋体" w:cs="宋体"/>
                <w:lang w:val="en-US" w:eastAsia="zh-CN"/>
              </w:rPr>
              <w:t>，</w:t>
            </w:r>
            <w:r>
              <w:rPr>
                <w:rFonts w:hint="eastAsia"/>
                <w:lang w:val="en-US" w:eastAsia="zh-CN"/>
              </w:rPr>
              <w:t>2-四氟乙烷）</w:t>
            </w:r>
            <w:r>
              <w:rPr>
                <w:rFonts w:hint="eastAsia" w:ascii="宋体" w:hAnsi="宋体" w:eastAsia="宋体" w:cs="宋体"/>
                <w:lang w:val="en-US" w:eastAsia="zh-CN"/>
              </w:rPr>
              <w:t>，</w:t>
            </w:r>
            <w:r>
              <w:rPr>
                <w:rFonts w:hint="eastAsia"/>
                <w:lang w:val="en-US" w:eastAsia="zh-CN"/>
              </w:rPr>
              <w:t>仅极少部分老旧车辆制冷剂为氟利昂（CF</w:t>
            </w:r>
            <w:r>
              <w:rPr>
                <w:rFonts w:hint="eastAsia"/>
                <w:vertAlign w:val="subscript"/>
                <w:lang w:val="en-US" w:eastAsia="zh-CN"/>
              </w:rPr>
              <w:t>2</w:t>
            </w:r>
            <w:r>
              <w:rPr>
                <w:rFonts w:hint="eastAsia"/>
                <w:lang w:val="en-US" w:eastAsia="zh-CN"/>
              </w:rPr>
              <w:t>Cl</w:t>
            </w:r>
            <w:r>
              <w:rPr>
                <w:rFonts w:hint="eastAsia"/>
                <w:vertAlign w:val="subscript"/>
                <w:lang w:val="en-US" w:eastAsia="zh-CN"/>
              </w:rPr>
              <w:t>2</w:t>
            </w:r>
            <w:r>
              <w:rPr>
                <w:rFonts w:hint="eastAsia"/>
                <w:lang w:val="en-US" w:eastAsia="zh-CN"/>
              </w:rPr>
              <w:t>）</w:t>
            </w:r>
            <w:r>
              <w:rPr>
                <w:rFonts w:hint="eastAsia" w:ascii="宋体" w:hAnsi="宋体" w:eastAsia="宋体" w:cs="宋体"/>
                <w:lang w:val="en-US" w:eastAsia="zh-CN"/>
              </w:rPr>
              <w:t>。</w:t>
            </w:r>
            <w:r>
              <w:rPr>
                <w:rFonts w:hint="eastAsia"/>
                <w:lang w:val="en-US" w:eastAsia="zh-CN"/>
              </w:rPr>
              <w:t>根据《蒙特利尔议定书》规定</w:t>
            </w:r>
            <w:r>
              <w:rPr>
                <w:rFonts w:hint="eastAsia" w:ascii="宋体" w:hAnsi="宋体" w:eastAsia="宋体" w:cs="宋体"/>
                <w:lang w:val="en-US" w:eastAsia="zh-CN"/>
              </w:rPr>
              <w:t>，</w:t>
            </w:r>
            <w:r>
              <w:rPr>
                <w:rFonts w:hint="eastAsia"/>
                <w:lang w:val="en-US" w:eastAsia="zh-CN"/>
              </w:rPr>
              <w:t>我国已全面禁用氟利昂物质</w:t>
            </w:r>
            <w:r>
              <w:rPr>
                <w:rFonts w:hint="eastAsia" w:ascii="宋体" w:hAnsi="宋体" w:eastAsia="宋体" w:cs="宋体"/>
                <w:lang w:val="en-US" w:eastAsia="zh-CN"/>
              </w:rPr>
              <w:t>，</w:t>
            </w:r>
            <w:r>
              <w:rPr>
                <w:rFonts w:hint="eastAsia"/>
                <w:lang w:val="en-US" w:eastAsia="zh-CN"/>
              </w:rPr>
              <w:t>在汽车生产、制造、维修行业中</w:t>
            </w:r>
            <w:r>
              <w:rPr>
                <w:rFonts w:hint="eastAsia" w:ascii="宋体" w:hAnsi="宋体" w:eastAsia="宋体" w:cs="宋体"/>
                <w:lang w:val="en-US" w:eastAsia="zh-CN"/>
              </w:rPr>
              <w:t>，</w:t>
            </w:r>
            <w:r>
              <w:rPr>
                <w:rFonts w:hint="eastAsia"/>
                <w:lang w:val="en-US" w:eastAsia="zh-CN"/>
              </w:rPr>
              <w:t>氟利昂将随着其更新换代而被淘汰</w:t>
            </w:r>
            <w:r>
              <w:rPr>
                <w:rFonts w:hint="eastAsia" w:ascii="宋体" w:hAnsi="宋体" w:eastAsia="宋体" w:cs="宋体"/>
                <w:lang w:val="en-US" w:eastAsia="zh-CN"/>
              </w:rPr>
              <w:t>，</w:t>
            </w:r>
            <w:r>
              <w:rPr>
                <w:rFonts w:hint="eastAsia"/>
                <w:lang w:val="en-US" w:eastAsia="zh-CN"/>
              </w:rPr>
              <w:t>因此</w:t>
            </w:r>
            <w:r>
              <w:rPr>
                <w:rFonts w:hint="eastAsia" w:ascii="宋体" w:hAnsi="宋体" w:eastAsia="宋体" w:cs="宋体"/>
                <w:lang w:val="en-US" w:eastAsia="zh-CN"/>
              </w:rPr>
              <w:t>，</w:t>
            </w:r>
            <w:r>
              <w:rPr>
                <w:rFonts w:hint="eastAsia"/>
                <w:lang w:val="en-US" w:eastAsia="zh-CN"/>
              </w:rPr>
              <w:t>本次不对氟利昂（CF</w:t>
            </w:r>
            <w:r>
              <w:rPr>
                <w:rFonts w:hint="eastAsia"/>
                <w:vertAlign w:val="subscript"/>
                <w:lang w:val="en-US" w:eastAsia="zh-CN"/>
              </w:rPr>
              <w:t>2</w:t>
            </w:r>
            <w:r>
              <w:rPr>
                <w:rFonts w:hint="eastAsia"/>
                <w:lang w:val="en-US" w:eastAsia="zh-CN"/>
              </w:rPr>
              <w:t>Cl</w:t>
            </w:r>
            <w:r>
              <w:rPr>
                <w:rFonts w:hint="eastAsia"/>
                <w:vertAlign w:val="subscript"/>
                <w:lang w:val="en-US" w:eastAsia="zh-CN"/>
              </w:rPr>
              <w:t>2</w:t>
            </w:r>
            <w:r>
              <w:rPr>
                <w:rFonts w:hint="eastAsia"/>
                <w:lang w:val="en-US" w:eastAsia="zh-CN"/>
              </w:rPr>
              <w:t>）进行定量分析</w:t>
            </w:r>
            <w:r>
              <w:rPr>
                <w:rFonts w:hint="eastAsia" w:ascii="宋体" w:hAnsi="宋体" w:eastAsia="宋体" w:cs="宋体"/>
                <w:lang w:val="en-US" w:eastAsia="zh-CN"/>
              </w:rPr>
              <w:t>。</w:t>
            </w:r>
          </w:p>
          <w:p>
            <w:pPr>
              <w:pStyle w:val="25"/>
              <w:bidi w:val="0"/>
              <w:rPr>
                <w:rFonts w:hint="eastAsia"/>
                <w:lang w:val="en-US" w:eastAsia="zh-CN"/>
              </w:rPr>
            </w:pPr>
            <w:r>
              <w:rPr>
                <w:rFonts w:hint="eastAsia"/>
                <w:lang w:val="en-US" w:eastAsia="zh-CN"/>
              </w:rPr>
              <w:t>根据报废机动车拆解产物详情（表2-3）可知</w:t>
            </w:r>
            <w:r>
              <w:rPr>
                <w:rFonts w:hint="eastAsia" w:ascii="宋体" w:hAnsi="宋体" w:eastAsia="宋体" w:cs="宋体"/>
                <w:lang w:val="en-US" w:eastAsia="zh-CN"/>
              </w:rPr>
              <w:t>，</w:t>
            </w:r>
            <w:r>
              <w:rPr>
                <w:rFonts w:hint="eastAsia"/>
                <w:lang w:val="en-US" w:eastAsia="zh-CN"/>
              </w:rPr>
              <w:t>项目</w:t>
            </w:r>
            <w:r>
              <w:rPr>
                <w:rFonts w:hint="default"/>
                <w:lang w:val="en-US" w:eastAsia="zh-CN"/>
              </w:rPr>
              <w:t>废空调制冷剂</w:t>
            </w:r>
            <w:r>
              <w:rPr>
                <w:rFonts w:hint="eastAsia"/>
                <w:lang w:val="en-US" w:eastAsia="zh-CN"/>
              </w:rPr>
              <w:t>收集量为10t/a</w:t>
            </w:r>
            <w:r>
              <w:rPr>
                <w:rFonts w:hint="eastAsia" w:ascii="宋体" w:hAnsi="宋体" w:eastAsia="宋体" w:cs="宋体"/>
                <w:lang w:val="en-US" w:eastAsia="zh-CN"/>
              </w:rPr>
              <w:t>。</w:t>
            </w:r>
            <w:r>
              <w:rPr>
                <w:rFonts w:hint="eastAsia"/>
                <w:lang w:val="en-US" w:eastAsia="zh-CN"/>
              </w:rPr>
              <w:t>根据建设单位提供资料</w:t>
            </w:r>
            <w:r>
              <w:rPr>
                <w:rFonts w:hint="eastAsia" w:ascii="宋体" w:hAnsi="宋体" w:eastAsia="宋体" w:cs="宋体"/>
                <w:lang w:val="en-US" w:eastAsia="zh-CN"/>
              </w:rPr>
              <w:t>，</w:t>
            </w:r>
            <w:r>
              <w:rPr>
                <w:rFonts w:hint="eastAsia"/>
                <w:lang w:val="en-US" w:eastAsia="zh-CN"/>
              </w:rPr>
              <w:t>制冷剂挥发损失量约占总量的0.01%</w:t>
            </w:r>
            <w:r>
              <w:rPr>
                <w:rFonts w:hint="eastAsia" w:ascii="宋体" w:hAnsi="宋体" w:eastAsia="宋体" w:cs="宋体"/>
                <w:lang w:val="en-US" w:eastAsia="zh-CN"/>
              </w:rPr>
              <w:t>，</w:t>
            </w:r>
            <w:r>
              <w:rPr>
                <w:rFonts w:hint="eastAsia"/>
                <w:lang w:val="en-US" w:eastAsia="zh-CN"/>
              </w:rPr>
              <w:t>则制冷剂回收过程VOCs产生量为0.001t/a</w:t>
            </w:r>
            <w:r>
              <w:rPr>
                <w:rFonts w:hint="eastAsia" w:ascii="宋体" w:hAnsi="宋体" w:eastAsia="宋体" w:cs="宋体"/>
                <w:lang w:val="en-US" w:eastAsia="zh-CN"/>
              </w:rPr>
              <w:t>。</w:t>
            </w:r>
          </w:p>
          <w:p>
            <w:pPr>
              <w:pStyle w:val="25"/>
              <w:bidi w:val="0"/>
              <w:rPr>
                <w:rFonts w:hint="default"/>
                <w:lang w:val="en-US" w:eastAsia="zh-CN"/>
              </w:rPr>
            </w:pPr>
            <w:r>
              <w:rPr>
                <w:rFonts w:hint="eastAsia"/>
                <w:lang w:val="en-US" w:eastAsia="zh-CN"/>
              </w:rPr>
              <w:t>因项目制冷剂收集过程排放的制冷剂废气主要为R134a</w:t>
            </w:r>
            <w:r>
              <w:rPr>
                <w:rFonts w:hint="eastAsia" w:ascii="宋体" w:hAnsi="宋体" w:eastAsia="宋体" w:cs="宋体"/>
                <w:lang w:val="en-US" w:eastAsia="zh-CN"/>
              </w:rPr>
              <w:t>，</w:t>
            </w:r>
            <w:r>
              <w:rPr>
                <w:rFonts w:hint="eastAsia"/>
                <w:lang w:val="en-US" w:eastAsia="zh-CN"/>
              </w:rPr>
              <w:t>排放量较少</w:t>
            </w:r>
            <w:r>
              <w:rPr>
                <w:rFonts w:hint="eastAsia" w:ascii="宋体" w:hAnsi="宋体" w:eastAsia="宋体" w:cs="宋体"/>
                <w:lang w:val="en-US" w:eastAsia="zh-CN"/>
              </w:rPr>
              <w:t>，</w:t>
            </w:r>
            <w:r>
              <w:rPr>
                <w:rFonts w:hint="eastAsia"/>
                <w:lang w:val="en-US" w:eastAsia="zh-CN"/>
              </w:rPr>
              <w:t>项目通过使用专用工具回收、密封储存管理、加强车间通风等措施进行控制</w:t>
            </w:r>
            <w:r>
              <w:rPr>
                <w:rFonts w:hint="eastAsia" w:ascii="宋体" w:hAnsi="宋体" w:eastAsia="宋体" w:cs="宋体"/>
                <w:lang w:val="en-US" w:eastAsia="zh-CN"/>
              </w:rPr>
              <w:t>。</w:t>
            </w:r>
          </w:p>
          <w:p>
            <w:pPr>
              <w:pStyle w:val="25"/>
              <w:bidi w:val="0"/>
              <w:rPr>
                <w:rFonts w:hint="eastAsia" w:ascii="宋体" w:hAnsi="宋体" w:eastAsia="宋体" w:cs="宋体"/>
                <w:lang w:val="en-US" w:eastAsia="zh-CN"/>
              </w:rPr>
            </w:pPr>
            <w:r>
              <w:rPr>
                <w:rFonts w:hint="eastAsia"/>
                <w:lang w:val="en-US" w:eastAsia="zh-CN"/>
              </w:rPr>
              <w:t>本项目制冷剂回收废气（VOCs）排放量为0.001t/a</w:t>
            </w:r>
            <w:r>
              <w:rPr>
                <w:rFonts w:hint="eastAsia" w:ascii="宋体" w:hAnsi="宋体" w:eastAsia="宋体" w:cs="宋体"/>
                <w:lang w:val="en-US" w:eastAsia="zh-CN"/>
              </w:rPr>
              <w:t>，</w:t>
            </w:r>
            <w:r>
              <w:rPr>
                <w:rFonts w:hint="eastAsia"/>
                <w:lang w:val="en-US" w:eastAsia="zh-CN"/>
              </w:rPr>
              <w:t>为无组织排放</w:t>
            </w:r>
            <w:r>
              <w:rPr>
                <w:rFonts w:hint="eastAsia" w:ascii="宋体" w:hAnsi="宋体" w:eastAsia="宋体" w:cs="宋体"/>
                <w:lang w:val="en-US" w:eastAsia="zh-CN"/>
              </w:rPr>
              <w:t>。</w:t>
            </w:r>
          </w:p>
          <w:p>
            <w:pPr>
              <w:pageBreakBefore w:val="0"/>
              <w:kinsoku/>
              <w:overflowPunct/>
              <w:bidi w:val="0"/>
              <w:spacing w:line="360" w:lineRule="auto"/>
              <w:ind w:firstLine="482" w:firstLineChars="200"/>
              <w:jc w:val="both"/>
              <w:rPr>
                <w:rFonts w:hint="eastAsia" w:cs="Times New Roman"/>
                <w:b/>
                <w:bCs/>
                <w:color w:val="auto"/>
                <w:sz w:val="24"/>
                <w:szCs w:val="24"/>
                <w:u w:val="none" w:color="auto"/>
                <w:lang w:val="en-US" w:eastAsia="zh-CN"/>
              </w:rPr>
            </w:pPr>
            <w:r>
              <w:rPr>
                <w:rFonts w:hint="eastAsia" w:cs="Times New Roman"/>
                <w:b/>
                <w:bCs/>
                <w:color w:val="auto"/>
                <w:sz w:val="24"/>
                <w:szCs w:val="24"/>
                <w:u w:val="none" w:color="auto"/>
                <w:lang w:val="en-US" w:eastAsia="zh-CN"/>
              </w:rPr>
              <w:t>（3）拆解粉尘</w:t>
            </w:r>
          </w:p>
          <w:p>
            <w:pPr>
              <w:pStyle w:val="25"/>
              <w:bidi w:val="0"/>
              <w:rPr>
                <w:rFonts w:hint="eastAsia"/>
                <w:lang w:val="en-US" w:eastAsia="zh-CN"/>
              </w:rPr>
            </w:pPr>
            <w:r>
              <w:rPr>
                <w:rFonts w:hint="eastAsia"/>
                <w:lang w:val="en-US" w:eastAsia="zh-CN"/>
              </w:rPr>
              <w:t>本项目拆解主要为人工拆解和机械拆卸</w:t>
            </w:r>
            <w:r>
              <w:rPr>
                <w:rFonts w:hint="eastAsia" w:ascii="宋体" w:hAnsi="宋体" w:eastAsia="宋体" w:cs="宋体"/>
                <w:lang w:val="en-US" w:eastAsia="zh-CN"/>
              </w:rPr>
              <w:t>，</w:t>
            </w:r>
            <w:r>
              <w:rPr>
                <w:rFonts w:hint="eastAsia"/>
                <w:lang w:val="en-US" w:eastAsia="zh-CN"/>
              </w:rPr>
              <w:t>作业过程中会使汽车或部件表面的灰尘、铁锈等脱离逸散到空气中形成粉尘</w:t>
            </w:r>
            <w:r>
              <w:rPr>
                <w:rFonts w:hint="eastAsia" w:ascii="宋体" w:hAnsi="宋体" w:eastAsia="宋体" w:cs="宋体"/>
                <w:lang w:val="en-US" w:eastAsia="zh-CN"/>
              </w:rPr>
              <w:t>。，</w:t>
            </w:r>
            <w:r>
              <w:rPr>
                <w:rFonts w:hint="eastAsia" w:ascii="宋体" w:hAnsi="宋体" w:cs="宋体"/>
                <w:lang w:val="en-US" w:eastAsia="zh-CN"/>
              </w:rPr>
              <w:t>根据建设单位提供资料，</w:t>
            </w:r>
            <w:r>
              <w:rPr>
                <w:rFonts w:hint="eastAsia"/>
                <w:lang w:val="en-US" w:eastAsia="zh-CN"/>
              </w:rPr>
              <w:t>拆解粉尘产生系数取 0.4g/t-原料</w:t>
            </w:r>
            <w:r>
              <w:rPr>
                <w:rFonts w:hint="eastAsia" w:ascii="宋体" w:hAnsi="宋体" w:eastAsia="宋体" w:cs="宋体"/>
                <w:lang w:val="en-US" w:eastAsia="zh-CN"/>
              </w:rPr>
              <w:t>。</w:t>
            </w:r>
          </w:p>
          <w:p>
            <w:pPr>
              <w:pStyle w:val="25"/>
              <w:bidi w:val="0"/>
              <w:rPr>
                <w:rFonts w:hint="eastAsia"/>
                <w:lang w:val="en-US" w:eastAsia="zh-CN"/>
              </w:rPr>
            </w:pPr>
            <w:r>
              <w:rPr>
                <w:rFonts w:hint="eastAsia"/>
                <w:lang w:val="en-US" w:eastAsia="zh-CN"/>
              </w:rPr>
              <w:t>本项目拟拆解汽车总重量为18700t/a</w:t>
            </w:r>
            <w:r>
              <w:rPr>
                <w:rFonts w:hint="eastAsia" w:ascii="宋体" w:hAnsi="宋体" w:eastAsia="宋体" w:cs="宋体"/>
                <w:lang w:val="en-US" w:eastAsia="zh-CN"/>
              </w:rPr>
              <w:t>，</w:t>
            </w:r>
            <w:r>
              <w:rPr>
                <w:rFonts w:hint="eastAsia"/>
                <w:lang w:val="en-US" w:eastAsia="zh-CN"/>
              </w:rPr>
              <w:t>故拆解粉尘产生量为0.0075t/a</w:t>
            </w:r>
            <w:r>
              <w:rPr>
                <w:rFonts w:hint="eastAsia" w:ascii="宋体" w:hAnsi="宋体" w:eastAsia="宋体" w:cs="宋体"/>
                <w:lang w:val="en-US" w:eastAsia="zh-CN"/>
              </w:rPr>
              <w:t>。</w:t>
            </w:r>
          </w:p>
          <w:p>
            <w:pPr>
              <w:pStyle w:val="25"/>
              <w:bidi w:val="0"/>
              <w:rPr>
                <w:rFonts w:hint="eastAsia" w:ascii="宋体" w:hAnsi="宋体" w:eastAsia="宋体" w:cs="宋体"/>
                <w:lang w:val="en-US" w:eastAsia="zh-CN"/>
              </w:rPr>
            </w:pPr>
            <w:r>
              <w:rPr>
                <w:rFonts w:hint="eastAsia"/>
                <w:lang w:val="en-US" w:eastAsia="zh-CN"/>
              </w:rPr>
              <w:t>本项目要求建设单位建设封闭式厂房</w:t>
            </w:r>
            <w:r>
              <w:rPr>
                <w:rFonts w:hint="eastAsia" w:ascii="宋体" w:hAnsi="宋体" w:eastAsia="宋体" w:cs="宋体"/>
                <w:lang w:val="en-US" w:eastAsia="zh-CN"/>
              </w:rPr>
              <w:t>，</w:t>
            </w:r>
            <w:r>
              <w:rPr>
                <w:rFonts w:hint="eastAsia"/>
                <w:lang w:val="en-US" w:eastAsia="zh-CN"/>
              </w:rPr>
              <w:t>拆解粉尘于厂房内沉降（沉降效率60%）后无组织排放</w:t>
            </w:r>
            <w:r>
              <w:rPr>
                <w:rFonts w:hint="eastAsia" w:ascii="宋体" w:hAnsi="宋体" w:eastAsia="宋体" w:cs="宋体"/>
                <w:lang w:val="en-US" w:eastAsia="zh-CN"/>
              </w:rPr>
              <w:t>，</w:t>
            </w:r>
            <w:r>
              <w:rPr>
                <w:rFonts w:hint="eastAsia"/>
                <w:lang w:val="en-US" w:eastAsia="zh-CN"/>
              </w:rPr>
              <w:t>排放量为0.003t/a</w:t>
            </w:r>
            <w:r>
              <w:rPr>
                <w:rFonts w:hint="eastAsia" w:ascii="宋体" w:hAnsi="宋体" w:eastAsia="宋体" w:cs="宋体"/>
                <w:lang w:val="en-US" w:eastAsia="zh-CN"/>
              </w:rPr>
              <w:t>。</w:t>
            </w:r>
          </w:p>
          <w:p>
            <w:pPr>
              <w:pageBreakBefore w:val="0"/>
              <w:kinsoku/>
              <w:overflowPunct/>
              <w:bidi w:val="0"/>
              <w:spacing w:line="360" w:lineRule="auto"/>
              <w:ind w:firstLine="482" w:firstLineChars="200"/>
              <w:jc w:val="both"/>
              <w:rPr>
                <w:rFonts w:hint="default" w:cs="Times New Roman"/>
                <w:b/>
                <w:bCs/>
                <w:color w:val="auto"/>
                <w:sz w:val="24"/>
                <w:szCs w:val="24"/>
                <w:u w:val="none" w:color="auto"/>
                <w:lang w:val="en-US" w:eastAsia="zh-CN"/>
              </w:rPr>
            </w:pPr>
            <w:r>
              <w:rPr>
                <w:rFonts w:hint="default" w:cs="Times New Roman"/>
                <w:b/>
                <w:bCs/>
                <w:color w:val="auto"/>
                <w:sz w:val="24"/>
                <w:szCs w:val="24"/>
                <w:u w:val="none" w:color="auto"/>
                <w:lang w:val="en-US" w:eastAsia="zh-CN"/>
              </w:rPr>
              <w:t>（</w:t>
            </w:r>
            <w:r>
              <w:rPr>
                <w:rFonts w:hint="eastAsia" w:cs="Times New Roman"/>
                <w:b/>
                <w:bCs/>
                <w:color w:val="auto"/>
                <w:sz w:val="24"/>
                <w:szCs w:val="24"/>
                <w:u w:val="none" w:color="auto"/>
                <w:lang w:val="en-US" w:eastAsia="zh-CN"/>
              </w:rPr>
              <w:t>4</w:t>
            </w:r>
            <w:r>
              <w:rPr>
                <w:rFonts w:hint="default" w:cs="Times New Roman"/>
                <w:b/>
                <w:bCs/>
                <w:color w:val="auto"/>
                <w:sz w:val="24"/>
                <w:szCs w:val="24"/>
                <w:u w:val="none" w:color="auto"/>
                <w:lang w:val="en-US" w:eastAsia="zh-CN"/>
              </w:rPr>
              <w:t>）切割粉尘</w:t>
            </w:r>
          </w:p>
          <w:p>
            <w:pPr>
              <w:keepNext w:val="0"/>
              <w:keepLines w:val="0"/>
              <w:pageBreakBefore w:val="0"/>
              <w:widowControl w:val="0"/>
              <w:kinsoku/>
              <w:wordWrap/>
              <w:overflowPunct/>
              <w:topLinePunct w:val="0"/>
              <w:autoSpaceDE/>
              <w:autoSpaceDN/>
              <w:bidi w:val="0"/>
              <w:adjustRightInd/>
              <w:snapToGrid/>
              <w:ind w:firstLine="480" w:firstLineChars="200"/>
              <w:jc w:val="both"/>
              <w:textAlignment w:val="auto"/>
              <w:rPr>
                <w:rFonts w:hint="default" w:ascii="Times New Roman" w:hAnsi="Times New Roman" w:eastAsia="宋体" w:cs="Times New Roman"/>
                <w:color w:val="auto"/>
                <w:sz w:val="24"/>
                <w:szCs w:val="24"/>
                <w:u w:val="none" w:color="auto"/>
              </w:rPr>
            </w:pPr>
            <w:r>
              <w:rPr>
                <w:rFonts w:hint="default" w:ascii="Times New Roman" w:hAnsi="Times New Roman" w:eastAsia="宋体" w:cs="Times New Roman"/>
                <w:color w:val="auto"/>
                <w:sz w:val="24"/>
                <w:szCs w:val="24"/>
                <w:u w:val="none" w:color="auto"/>
              </w:rPr>
              <w:t>项目</w:t>
            </w:r>
            <w:r>
              <w:rPr>
                <w:rFonts w:hint="eastAsia" w:cs="Times New Roman"/>
                <w:color w:val="auto"/>
                <w:sz w:val="24"/>
                <w:szCs w:val="24"/>
                <w:u w:val="none" w:color="auto"/>
                <w:lang w:val="en-US" w:eastAsia="zh-CN"/>
              </w:rPr>
              <w:t>打包</w:t>
            </w:r>
            <w:r>
              <w:rPr>
                <w:rFonts w:hint="default" w:ascii="Times New Roman" w:hAnsi="Times New Roman" w:eastAsia="宋体" w:cs="Times New Roman"/>
                <w:color w:val="auto"/>
                <w:sz w:val="24"/>
                <w:szCs w:val="24"/>
                <w:u w:val="none" w:color="auto"/>
              </w:rPr>
              <w:t>和切割均会产生少量的粉尘，项目把已经解体的车身和底盘吊至压实打包机上方，放入压实打包机进行压实打包，在大功率电机的驱动下，在压实打包机的压力作用下，被挤压成一定规格的钢块，压实过程位于密闭的压实打包机内，因此压实过程产生的粉尘不外溢，本报告不作具体的分析。</w:t>
            </w:r>
          </w:p>
          <w:p>
            <w:pPr>
              <w:keepNext w:val="0"/>
              <w:keepLines w:val="0"/>
              <w:pageBreakBefore w:val="0"/>
              <w:widowControl w:val="0"/>
              <w:kinsoku/>
              <w:wordWrap/>
              <w:overflowPunct/>
              <w:topLinePunct w:val="0"/>
              <w:autoSpaceDE/>
              <w:autoSpaceDN/>
              <w:bidi w:val="0"/>
              <w:adjustRightInd/>
              <w:snapToGrid/>
              <w:ind w:firstLine="480" w:firstLineChars="200"/>
              <w:jc w:val="both"/>
              <w:textAlignment w:val="auto"/>
              <w:rPr>
                <w:rFonts w:hint="default" w:cs="Times New Roman"/>
                <w:color w:val="auto"/>
                <w:sz w:val="24"/>
                <w:szCs w:val="24"/>
                <w:u w:val="none" w:color="auto"/>
                <w:lang w:val="en-US" w:eastAsia="zh-CN"/>
              </w:rPr>
            </w:pPr>
            <w:r>
              <w:rPr>
                <w:rFonts w:hint="eastAsia" w:cs="Times New Roman"/>
                <w:color w:val="auto"/>
                <w:sz w:val="24"/>
                <w:szCs w:val="24"/>
                <w:u w:val="none" w:color="auto"/>
                <w:lang w:val="en-US" w:eastAsia="zh-CN"/>
              </w:rPr>
              <w:t>本项目</w:t>
            </w:r>
            <w:r>
              <w:rPr>
                <w:rFonts w:hint="default" w:ascii="Times New Roman" w:hAnsi="Times New Roman" w:eastAsia="宋体" w:cs="Times New Roman"/>
                <w:color w:val="auto"/>
                <w:sz w:val="24"/>
                <w:szCs w:val="24"/>
                <w:u w:val="none" w:color="auto"/>
              </w:rPr>
              <w:t>产生的粉尘主要为切割粉尘</w:t>
            </w:r>
            <w:r>
              <w:rPr>
                <w:rFonts w:hint="eastAsia" w:cs="Times New Roman"/>
                <w:color w:val="auto"/>
                <w:sz w:val="24"/>
                <w:szCs w:val="24"/>
                <w:u w:val="none" w:color="auto"/>
                <w:lang w:eastAsia="zh-CN"/>
              </w:rPr>
              <w:t>，</w:t>
            </w:r>
            <w:r>
              <w:rPr>
                <w:rFonts w:hint="eastAsia" w:cs="Times New Roman"/>
                <w:color w:val="auto"/>
                <w:sz w:val="24"/>
                <w:szCs w:val="24"/>
                <w:u w:val="none" w:color="auto"/>
                <w:lang w:val="en-US" w:eastAsia="zh-CN"/>
              </w:rPr>
              <w:t>本项目车厢及部件拆除过程中，必要时进行切割，车身切割以等离子切割机或剪切机为主，不使用乙炔-氧割。由于本项目废钢不进行破碎，剪切直径较大，剪切机产尘量较小，因此只考虑使用等离子切割时的粉尘，等离子切割是以压缩空气为工作气体，以高温高速的等离子弧为热源，将被切割的金属局部熔化，熔化的金属由喷出的高压气流吹走，产生金属粉尘</w:t>
            </w:r>
            <w:r>
              <w:rPr>
                <w:rFonts w:hint="default" w:ascii="Times New Roman" w:hAnsi="Times New Roman" w:eastAsia="宋体" w:cs="Times New Roman"/>
                <w:color w:val="auto"/>
                <w:sz w:val="24"/>
                <w:szCs w:val="24"/>
                <w:u w:val="none" w:color="auto"/>
              </w:rPr>
              <w:t>。</w:t>
            </w:r>
            <w:r>
              <w:rPr>
                <w:rFonts w:hint="eastAsia" w:cs="Times New Roman"/>
                <w:color w:val="auto"/>
                <w:sz w:val="24"/>
                <w:szCs w:val="24"/>
                <w:u w:val="none" w:color="auto"/>
                <w:lang w:val="en-US" w:eastAsia="zh-CN"/>
              </w:rPr>
              <w:t>粉尘产生系数参照《排放源统计调查产排污核算方法和系数手册》中“C33-C37行业核算环节”-下料环节-等离子切割工艺的颗粒物产尘系数：1.10kg/t-原料，切割工序均在拆解区进行，拆解废钢总量为7519.6t/a，需等离子切割的钢铁约为总量的1%，75.196t/a，则废钢切割粉尘产生量合计约为0.083t/a。根据业主介绍，项目拆解车间每天切割时间总计不超过2h。</w:t>
            </w:r>
          </w:p>
          <w:p>
            <w:pPr>
              <w:keepNext w:val="0"/>
              <w:keepLines w:val="0"/>
              <w:pageBreakBefore w:val="0"/>
              <w:widowControl w:val="0"/>
              <w:kinsoku/>
              <w:wordWrap/>
              <w:overflowPunct/>
              <w:topLinePunct w:val="0"/>
              <w:autoSpaceDE/>
              <w:autoSpaceDN/>
              <w:bidi w:val="0"/>
              <w:adjustRightInd/>
              <w:snapToGrid/>
              <w:ind w:firstLine="480" w:firstLineChars="200"/>
              <w:jc w:val="both"/>
              <w:textAlignment w:val="auto"/>
              <w:rPr>
                <w:rFonts w:hint="default" w:cs="Times New Roman"/>
                <w:color w:val="auto"/>
                <w:sz w:val="24"/>
                <w:szCs w:val="24"/>
                <w:u w:val="none" w:color="auto"/>
                <w:lang w:val="en-US" w:eastAsia="zh-CN"/>
              </w:rPr>
            </w:pPr>
            <w:r>
              <w:rPr>
                <w:rFonts w:hint="eastAsia" w:cs="Times New Roman"/>
                <w:color w:val="auto"/>
                <w:sz w:val="24"/>
                <w:szCs w:val="24"/>
                <w:u w:val="none" w:color="auto"/>
                <w:lang w:val="en-US" w:eastAsia="zh-CN"/>
              </w:rPr>
              <w:t>建设单位拟配备移动式烟尘净化器进行收集处理，捕集效率不低于80%，烟尘净化器烟尘去除率不低于90%，处理后的废气于车间内无组织排放。则切割烟尘无组织排放量为0.02324t/a（0.0387kg/h）。</w:t>
            </w:r>
          </w:p>
          <w:p>
            <w:pPr>
              <w:pStyle w:val="25"/>
              <w:bidi w:val="0"/>
              <w:rPr>
                <w:rFonts w:hint="eastAsia"/>
                <w:b/>
                <w:bCs/>
                <w:lang w:val="en-US" w:eastAsia="zh-CN"/>
              </w:rPr>
            </w:pPr>
            <w:r>
              <w:rPr>
                <w:rFonts w:hint="eastAsia"/>
                <w:b/>
                <w:bCs/>
                <w:lang w:val="en-US" w:eastAsia="zh-CN"/>
              </w:rPr>
              <w:t>（5）安全气囊引爆粉尘</w:t>
            </w:r>
          </w:p>
          <w:p>
            <w:pPr>
              <w:pStyle w:val="25"/>
              <w:bidi w:val="0"/>
              <w:rPr>
                <w:rFonts w:hint="eastAsia"/>
                <w:lang w:val="en-US" w:eastAsia="zh-CN"/>
              </w:rPr>
            </w:pPr>
            <w:r>
              <w:rPr>
                <w:rFonts w:hint="eastAsia"/>
                <w:lang w:val="en-US" w:eastAsia="zh-CN"/>
              </w:rPr>
              <w:t>本项目安全气囊于</w:t>
            </w:r>
            <w:r>
              <w:rPr>
                <w:rFonts w:hint="default"/>
                <w:lang w:val="en-US" w:eastAsia="zh-CN"/>
              </w:rPr>
              <w:t>安全气囊引爆室</w:t>
            </w:r>
            <w:r>
              <w:rPr>
                <w:rFonts w:hint="eastAsia"/>
                <w:lang w:val="en-US" w:eastAsia="zh-CN"/>
              </w:rPr>
              <w:t>内用</w:t>
            </w:r>
            <w:r>
              <w:rPr>
                <w:rFonts w:hint="default"/>
                <w:lang w:val="en-US" w:eastAsia="zh-CN"/>
              </w:rPr>
              <w:t>安全气囊引爆</w:t>
            </w:r>
            <w:r>
              <w:rPr>
                <w:rFonts w:hint="eastAsia"/>
                <w:lang w:val="en-US" w:eastAsia="zh-CN"/>
              </w:rPr>
              <w:t>装置进行引爆</w:t>
            </w:r>
            <w:r>
              <w:rPr>
                <w:rFonts w:hint="eastAsia" w:ascii="宋体" w:hAnsi="宋体" w:eastAsia="宋体" w:cs="宋体"/>
                <w:lang w:val="en-US" w:eastAsia="zh-CN"/>
              </w:rPr>
              <w:t>，</w:t>
            </w:r>
            <w:r>
              <w:rPr>
                <w:rFonts w:hint="eastAsia"/>
                <w:lang w:val="en-US" w:eastAsia="zh-CN"/>
              </w:rPr>
              <w:t>引爆过程方程式为：</w:t>
            </w:r>
          </w:p>
          <w:p>
            <w:pPr>
              <w:pStyle w:val="25"/>
              <w:bidi w:val="0"/>
              <w:rPr>
                <w:rFonts w:hint="eastAsia"/>
                <w:lang w:val="en-US" w:eastAsia="zh-CN"/>
              </w:rPr>
            </w:pPr>
            <w:r>
              <w:rPr>
                <w:rFonts w:hint="eastAsia"/>
                <w:lang w:val="en-US" w:eastAsia="zh-CN"/>
              </w:rPr>
              <w:t>2NaN</w:t>
            </w:r>
            <w:r>
              <w:rPr>
                <w:rFonts w:hint="eastAsia"/>
                <w:vertAlign w:val="subscript"/>
                <w:lang w:val="en-US" w:eastAsia="zh-CN"/>
              </w:rPr>
              <w:t>3</w:t>
            </w:r>
            <w:r>
              <w:rPr>
                <w:rFonts w:hint="eastAsia"/>
                <w:lang w:val="en-US" w:eastAsia="zh-CN"/>
              </w:rPr>
              <w:t>＝2Na+3N</w:t>
            </w:r>
            <w:r>
              <w:rPr>
                <w:rFonts w:hint="eastAsia"/>
                <w:vertAlign w:val="subscript"/>
                <w:lang w:val="en-US" w:eastAsia="zh-CN"/>
              </w:rPr>
              <w:t>2</w:t>
            </w:r>
            <w:r>
              <w:rPr>
                <w:rFonts w:hint="eastAsia"/>
                <w:lang w:val="en-US" w:eastAsia="zh-CN"/>
              </w:rPr>
              <w:t>（↑）</w:t>
            </w:r>
          </w:p>
          <w:p>
            <w:pPr>
              <w:pStyle w:val="25"/>
              <w:bidi w:val="0"/>
              <w:rPr>
                <w:rFonts w:hint="default"/>
                <w:lang w:val="en-US" w:eastAsia="zh-CN"/>
              </w:rPr>
            </w:pPr>
            <w:r>
              <w:rPr>
                <w:rFonts w:hint="default"/>
                <w:lang w:val="en-US" w:eastAsia="zh-CN"/>
              </w:rPr>
              <w:t>10Na+2KNO</w:t>
            </w:r>
            <w:r>
              <w:rPr>
                <w:rFonts w:hint="default"/>
                <w:vertAlign w:val="subscript"/>
                <w:lang w:val="en-US" w:eastAsia="zh-CN"/>
              </w:rPr>
              <w:t>3</w:t>
            </w:r>
            <w:r>
              <w:rPr>
                <w:rFonts w:hint="default"/>
                <w:lang w:val="en-US" w:eastAsia="zh-CN"/>
              </w:rPr>
              <w:t>+6SiO</w:t>
            </w:r>
            <w:r>
              <w:rPr>
                <w:rFonts w:hint="default"/>
                <w:vertAlign w:val="subscript"/>
                <w:lang w:val="en-US" w:eastAsia="zh-CN"/>
              </w:rPr>
              <w:t>2</w:t>
            </w:r>
            <w:r>
              <w:rPr>
                <w:rFonts w:hint="default"/>
                <w:lang w:val="en-US" w:eastAsia="zh-CN"/>
              </w:rPr>
              <w:t>=5Na</w:t>
            </w:r>
            <w:r>
              <w:rPr>
                <w:rFonts w:hint="default"/>
                <w:vertAlign w:val="subscript"/>
                <w:lang w:val="en-US" w:eastAsia="zh-CN"/>
              </w:rPr>
              <w:t>2</w:t>
            </w:r>
            <w:r>
              <w:rPr>
                <w:rFonts w:hint="default"/>
                <w:lang w:val="en-US" w:eastAsia="zh-CN"/>
              </w:rPr>
              <w:t>SiO</w:t>
            </w:r>
            <w:r>
              <w:rPr>
                <w:rFonts w:hint="default"/>
                <w:vertAlign w:val="subscript"/>
                <w:lang w:val="en-US" w:eastAsia="zh-CN"/>
              </w:rPr>
              <w:t>3</w:t>
            </w:r>
            <w:r>
              <w:rPr>
                <w:rFonts w:hint="default"/>
                <w:lang w:val="en-US" w:eastAsia="zh-CN"/>
              </w:rPr>
              <w:t>+K</w:t>
            </w:r>
            <w:r>
              <w:rPr>
                <w:rFonts w:hint="default"/>
                <w:vertAlign w:val="subscript"/>
                <w:lang w:val="en-US" w:eastAsia="zh-CN"/>
              </w:rPr>
              <w:t>2</w:t>
            </w:r>
            <w:r>
              <w:rPr>
                <w:rFonts w:hint="default"/>
                <w:lang w:val="en-US" w:eastAsia="zh-CN"/>
              </w:rPr>
              <w:t>SiO</w:t>
            </w:r>
            <w:r>
              <w:rPr>
                <w:rFonts w:hint="default"/>
                <w:vertAlign w:val="subscript"/>
                <w:lang w:val="en-US" w:eastAsia="zh-CN"/>
              </w:rPr>
              <w:t>3</w:t>
            </w:r>
            <w:r>
              <w:rPr>
                <w:rFonts w:hint="default"/>
                <w:lang w:val="en-US" w:eastAsia="zh-CN"/>
              </w:rPr>
              <w:t>+N</w:t>
            </w:r>
            <w:r>
              <w:rPr>
                <w:rFonts w:hint="default"/>
                <w:vertAlign w:val="subscript"/>
                <w:lang w:val="en-US" w:eastAsia="zh-CN"/>
              </w:rPr>
              <w:t>2</w:t>
            </w:r>
            <w:r>
              <w:rPr>
                <w:rFonts w:hint="default"/>
                <w:lang w:val="en-US" w:eastAsia="zh-CN"/>
              </w:rPr>
              <w:t>（↑）</w:t>
            </w:r>
          </w:p>
          <w:p>
            <w:pPr>
              <w:pStyle w:val="25"/>
              <w:bidi w:val="0"/>
              <w:rPr>
                <w:rFonts w:hint="eastAsia"/>
                <w:lang w:val="en-US" w:eastAsia="zh-CN"/>
              </w:rPr>
            </w:pPr>
            <w:r>
              <w:rPr>
                <w:rFonts w:hint="eastAsia"/>
                <w:lang w:val="en-US" w:eastAsia="zh-CN"/>
              </w:rPr>
              <w:t>此外</w:t>
            </w:r>
            <w:r>
              <w:rPr>
                <w:rFonts w:hint="eastAsia" w:ascii="宋体" w:hAnsi="宋体" w:eastAsia="宋体" w:cs="宋体"/>
                <w:lang w:val="en-US" w:eastAsia="zh-CN"/>
              </w:rPr>
              <w:t>，</w:t>
            </w:r>
            <w:r>
              <w:rPr>
                <w:rFonts w:hint="eastAsia"/>
                <w:lang w:val="en-US" w:eastAsia="zh-CN"/>
              </w:rPr>
              <w:t>气囊引爆过程会释放出的少量粉状物质</w:t>
            </w:r>
            <w:r>
              <w:rPr>
                <w:rFonts w:hint="eastAsia" w:ascii="宋体" w:hAnsi="宋体" w:eastAsia="宋体" w:cs="宋体"/>
                <w:lang w:val="en-US" w:eastAsia="zh-CN"/>
              </w:rPr>
              <w:t>，</w:t>
            </w:r>
            <w:r>
              <w:rPr>
                <w:rFonts w:hint="eastAsia"/>
                <w:lang w:val="en-US" w:eastAsia="zh-CN"/>
              </w:rPr>
              <w:t>一般为普通的玉米淀粉或滑石粉</w:t>
            </w:r>
            <w:r>
              <w:rPr>
                <w:rFonts w:hint="eastAsia" w:ascii="宋体" w:hAnsi="宋体" w:eastAsia="宋体" w:cs="宋体"/>
                <w:lang w:val="en-US" w:eastAsia="zh-CN"/>
              </w:rPr>
              <w:t>，</w:t>
            </w:r>
            <w:r>
              <w:rPr>
                <w:rFonts w:hint="eastAsia"/>
                <w:lang w:val="en-US" w:eastAsia="zh-CN"/>
              </w:rPr>
              <w:t>用于保持安全气囊贮存时的柔韧性和润滑性</w:t>
            </w:r>
            <w:r>
              <w:rPr>
                <w:rFonts w:hint="eastAsia" w:ascii="宋体" w:hAnsi="宋体" w:eastAsia="宋体" w:cs="宋体"/>
                <w:lang w:val="en-US" w:eastAsia="zh-CN"/>
              </w:rPr>
              <w:t>。</w:t>
            </w:r>
            <w:r>
              <w:rPr>
                <w:rFonts w:hint="eastAsia"/>
                <w:lang w:val="en-US" w:eastAsia="zh-CN"/>
              </w:rPr>
              <w:t>该过程粉尘产生量较少</w:t>
            </w:r>
            <w:r>
              <w:rPr>
                <w:rFonts w:hint="eastAsia" w:ascii="宋体" w:hAnsi="宋体" w:eastAsia="宋体" w:cs="宋体"/>
                <w:lang w:val="en-US" w:eastAsia="zh-CN"/>
              </w:rPr>
              <w:t>，</w:t>
            </w:r>
            <w:r>
              <w:rPr>
                <w:rFonts w:hint="eastAsia"/>
                <w:lang w:val="en-US" w:eastAsia="zh-CN"/>
              </w:rPr>
              <w:t>且于</w:t>
            </w:r>
            <w:r>
              <w:rPr>
                <w:rFonts w:hint="default"/>
                <w:lang w:val="en-US" w:eastAsia="zh-CN"/>
              </w:rPr>
              <w:t>安全气囊引爆室</w:t>
            </w:r>
            <w:r>
              <w:rPr>
                <w:rFonts w:hint="eastAsia"/>
                <w:lang w:val="en-US" w:eastAsia="zh-CN"/>
              </w:rPr>
              <w:t>内进行</w:t>
            </w:r>
            <w:r>
              <w:rPr>
                <w:rFonts w:hint="eastAsia" w:ascii="宋体" w:hAnsi="宋体" w:eastAsia="宋体" w:cs="宋体"/>
                <w:lang w:val="en-US" w:eastAsia="zh-CN"/>
              </w:rPr>
              <w:t>，</w:t>
            </w:r>
            <w:r>
              <w:rPr>
                <w:rFonts w:hint="default"/>
                <w:lang w:val="en-US" w:eastAsia="zh-CN"/>
              </w:rPr>
              <w:t>安全气囊引爆室</w:t>
            </w:r>
            <w:r>
              <w:rPr>
                <w:rFonts w:hint="eastAsia"/>
                <w:lang w:val="en-US" w:eastAsia="zh-CN"/>
              </w:rPr>
              <w:t>所在厂房为密闭厂房</w:t>
            </w:r>
            <w:r>
              <w:rPr>
                <w:rFonts w:hint="eastAsia" w:ascii="宋体" w:hAnsi="宋体" w:eastAsia="宋体" w:cs="宋体"/>
                <w:lang w:val="en-US" w:eastAsia="zh-CN"/>
              </w:rPr>
              <w:t>，</w:t>
            </w:r>
            <w:r>
              <w:rPr>
                <w:rFonts w:hint="eastAsia"/>
                <w:lang w:val="en-US" w:eastAsia="zh-CN"/>
              </w:rPr>
              <w:t>故安全气囊引爆粉尘基本沉降于汽车拆解厂房</w:t>
            </w:r>
            <w:r>
              <w:rPr>
                <w:rFonts w:hint="eastAsia" w:ascii="宋体" w:hAnsi="宋体" w:eastAsia="宋体" w:cs="宋体"/>
                <w:lang w:val="en-US" w:eastAsia="zh-CN"/>
              </w:rPr>
              <w:t>。</w:t>
            </w:r>
          </w:p>
          <w:p>
            <w:pPr>
              <w:pStyle w:val="25"/>
              <w:bidi w:val="0"/>
              <w:rPr>
                <w:rFonts w:hint="default" w:ascii="宋体" w:hAnsi="宋体" w:eastAsia="宋体" w:cs="宋体"/>
                <w:lang w:val="en-US" w:eastAsia="zh-CN"/>
              </w:rPr>
            </w:pPr>
            <w:r>
              <w:rPr>
                <w:rFonts w:hint="eastAsia"/>
                <w:lang w:val="en-US" w:eastAsia="zh-CN"/>
              </w:rPr>
              <w:t>综上所述</w:t>
            </w:r>
            <w:r>
              <w:rPr>
                <w:rFonts w:hint="eastAsia" w:ascii="宋体" w:hAnsi="宋体" w:eastAsia="宋体" w:cs="宋体"/>
                <w:lang w:val="en-US" w:eastAsia="zh-CN"/>
              </w:rPr>
              <w:t>，</w:t>
            </w:r>
            <w:r>
              <w:rPr>
                <w:rFonts w:hint="eastAsia"/>
                <w:lang w:val="en-US" w:eastAsia="zh-CN"/>
              </w:rPr>
              <w:t>本环评不对安全气囊引爆粉尘进行源强核算</w:t>
            </w:r>
            <w:r>
              <w:rPr>
                <w:rFonts w:hint="eastAsia" w:ascii="宋体" w:hAnsi="宋体" w:eastAsia="宋体" w:cs="宋体"/>
                <w:lang w:val="en-US" w:eastAsia="zh-CN"/>
              </w:rPr>
              <w:t>。</w:t>
            </w:r>
          </w:p>
          <w:p>
            <w:pPr>
              <w:pageBreakBefore w:val="0"/>
              <w:kinsoku/>
              <w:overflowPunct/>
              <w:bidi w:val="0"/>
              <w:spacing w:line="360" w:lineRule="auto"/>
              <w:ind w:firstLine="482" w:firstLineChars="200"/>
              <w:jc w:val="both"/>
              <w:rPr>
                <w:rFonts w:hint="default" w:ascii="Times New Roman" w:hAnsi="Times New Roman" w:eastAsia="宋体" w:cs="Times New Roman"/>
                <w:b/>
                <w:bCs/>
                <w:color w:val="auto"/>
                <w:sz w:val="24"/>
                <w:szCs w:val="24"/>
                <w:u w:val="none" w:color="auto"/>
                <w:lang w:val="en-US" w:eastAsia="zh-CN"/>
              </w:rPr>
            </w:pPr>
            <w:r>
              <w:rPr>
                <w:rFonts w:hint="eastAsia" w:cs="Times New Roman"/>
                <w:b/>
                <w:bCs/>
                <w:color w:val="auto"/>
                <w:sz w:val="24"/>
                <w:szCs w:val="24"/>
                <w:u w:val="none" w:color="auto"/>
                <w:lang w:val="en-US" w:eastAsia="zh-CN"/>
              </w:rPr>
              <w:t>（6）食堂油烟</w:t>
            </w:r>
          </w:p>
          <w:p>
            <w:pPr>
              <w:pStyle w:val="39"/>
              <w:ind w:firstLine="420"/>
              <w:rPr>
                <w:rFonts w:hint="default" w:ascii="Times New Roman" w:hAnsi="Times New Roman" w:eastAsia="宋体" w:cs="Times New Roman"/>
                <w:color w:val="auto"/>
                <w:sz w:val="24"/>
                <w:szCs w:val="24"/>
              </w:rPr>
            </w:pPr>
            <w:r>
              <w:rPr>
                <w:rFonts w:hint="eastAsia" w:ascii="Calibri" w:hAnsi="Calibri"/>
                <w:color w:val="auto"/>
                <w:sz w:val="24"/>
                <w:szCs w:val="24"/>
                <w:lang w:val="de-DE"/>
              </w:rPr>
              <w:t>本项目就餐人数约</w:t>
            </w:r>
            <w:r>
              <w:rPr>
                <w:rFonts w:hint="eastAsia" w:ascii="Calibri" w:hAnsi="Calibri"/>
                <w:color w:val="auto"/>
                <w:sz w:val="24"/>
                <w:szCs w:val="24"/>
                <w:lang w:val="en-US" w:eastAsia="zh-CN"/>
              </w:rPr>
              <w:t>35</w:t>
            </w:r>
            <w:r>
              <w:rPr>
                <w:rFonts w:hint="eastAsia" w:ascii="Calibri" w:hAnsi="Calibri"/>
                <w:color w:val="auto"/>
                <w:sz w:val="24"/>
                <w:szCs w:val="24"/>
              </w:rPr>
              <w:t>人</w:t>
            </w:r>
            <w:r>
              <w:rPr>
                <w:rFonts w:hint="eastAsia" w:ascii="Calibri" w:hAnsi="Calibri"/>
                <w:color w:val="auto"/>
                <w:sz w:val="24"/>
                <w:szCs w:val="24"/>
                <w:lang w:val="de-DE"/>
              </w:rPr>
              <w:t>，食堂使用清洁能源液化气为燃料，基准灶头数为1个，</w:t>
            </w:r>
            <w:r>
              <w:rPr>
                <w:rFonts w:hint="default" w:ascii="Times New Roman" w:hAnsi="Times New Roman" w:eastAsia="宋体" w:cs="Times New Roman"/>
                <w:color w:val="auto"/>
                <w:sz w:val="24"/>
                <w:szCs w:val="24"/>
              </w:rPr>
              <w:t>为员工提供一日三餐（按3h/d计算），就餐人数为</w:t>
            </w:r>
            <w:r>
              <w:rPr>
                <w:rFonts w:hint="eastAsia" w:cs="Times New Roman"/>
                <w:color w:val="auto"/>
                <w:sz w:val="24"/>
                <w:szCs w:val="24"/>
                <w:lang w:val="en-US" w:eastAsia="zh-CN"/>
              </w:rPr>
              <w:t>35</w:t>
            </w:r>
            <w:r>
              <w:rPr>
                <w:rFonts w:hint="default" w:ascii="Times New Roman" w:hAnsi="Times New Roman" w:eastAsia="宋体" w:cs="Times New Roman"/>
                <w:color w:val="auto"/>
                <w:sz w:val="24"/>
                <w:szCs w:val="24"/>
              </w:rPr>
              <w:t>人/餐，每人每天食用油消耗量以</w:t>
            </w:r>
            <w:r>
              <w:rPr>
                <w:rFonts w:hint="eastAsia" w:ascii="Times New Roman" w:hAnsi="Times New Roman" w:eastAsia="宋体" w:cs="Times New Roman"/>
                <w:color w:val="auto"/>
                <w:sz w:val="24"/>
                <w:szCs w:val="24"/>
                <w:lang w:val="en-US" w:eastAsia="zh-CN"/>
              </w:rPr>
              <w:t>2</w:t>
            </w:r>
            <w:r>
              <w:rPr>
                <w:rFonts w:hint="default" w:ascii="Times New Roman" w:hAnsi="Times New Roman" w:eastAsia="宋体" w:cs="Times New Roman"/>
                <w:color w:val="auto"/>
                <w:sz w:val="24"/>
                <w:szCs w:val="24"/>
              </w:rPr>
              <w:t>0g计算，每天消耗食用油0.</w:t>
            </w:r>
            <w:r>
              <w:rPr>
                <w:rFonts w:hint="eastAsia" w:cs="Times New Roman"/>
                <w:color w:val="auto"/>
                <w:sz w:val="24"/>
                <w:szCs w:val="24"/>
                <w:lang w:val="en-US" w:eastAsia="zh-CN"/>
              </w:rPr>
              <w:t>7</w:t>
            </w:r>
            <w:r>
              <w:rPr>
                <w:rFonts w:hint="eastAsia" w:ascii="Times New Roman" w:hAnsi="Times New Roman" w:eastAsia="宋体" w:cs="Times New Roman"/>
                <w:color w:val="auto"/>
                <w:sz w:val="24"/>
                <w:szCs w:val="24"/>
                <w:lang w:val="en-US" w:eastAsia="zh-CN"/>
              </w:rPr>
              <w:t>0</w:t>
            </w:r>
            <w:r>
              <w:rPr>
                <w:rFonts w:hint="default" w:ascii="Times New Roman" w:hAnsi="Times New Roman" w:eastAsia="宋体" w:cs="Times New Roman"/>
                <w:color w:val="auto"/>
                <w:sz w:val="24"/>
                <w:szCs w:val="24"/>
              </w:rPr>
              <w:t>kg，油烟产生量按使用量的3%计算，食堂油烟产生量0.0</w:t>
            </w:r>
            <w:r>
              <w:rPr>
                <w:rFonts w:hint="eastAsia" w:cs="Times New Roman"/>
                <w:color w:val="auto"/>
                <w:sz w:val="24"/>
                <w:szCs w:val="24"/>
                <w:lang w:val="en-US" w:eastAsia="zh-CN"/>
              </w:rPr>
              <w:t>21</w:t>
            </w:r>
            <w:r>
              <w:rPr>
                <w:rFonts w:hint="default" w:ascii="Times New Roman" w:hAnsi="Times New Roman" w:eastAsia="宋体" w:cs="Times New Roman"/>
                <w:color w:val="auto"/>
                <w:sz w:val="24"/>
                <w:szCs w:val="24"/>
              </w:rPr>
              <w:t>kg/d，</w:t>
            </w:r>
            <w:r>
              <w:rPr>
                <w:rFonts w:hint="eastAsia" w:cs="Times New Roman"/>
                <w:color w:val="auto"/>
                <w:sz w:val="24"/>
                <w:szCs w:val="24"/>
                <w:lang w:val="en-US" w:eastAsia="zh-CN"/>
              </w:rPr>
              <w:t>6.3</w:t>
            </w:r>
            <w:r>
              <w:rPr>
                <w:rFonts w:hint="default" w:ascii="Times New Roman" w:hAnsi="Times New Roman" w:eastAsia="宋体" w:cs="Times New Roman"/>
                <w:color w:val="auto"/>
                <w:sz w:val="24"/>
                <w:szCs w:val="24"/>
              </w:rPr>
              <w:t>kg/a。项目就餐人数较少，食堂油烟经油烟机机收集后排放至屋顶，收集风量为</w:t>
            </w:r>
            <w:r>
              <w:rPr>
                <w:rFonts w:hint="eastAsia" w:cs="Times New Roman"/>
                <w:color w:val="auto"/>
                <w:sz w:val="24"/>
                <w:szCs w:val="24"/>
                <w:lang w:val="en-US" w:eastAsia="zh-CN"/>
              </w:rPr>
              <w:t>5</w:t>
            </w:r>
            <w:r>
              <w:rPr>
                <w:rFonts w:hint="default" w:ascii="Times New Roman" w:hAnsi="Times New Roman" w:eastAsia="宋体" w:cs="Times New Roman"/>
                <w:color w:val="auto"/>
                <w:sz w:val="24"/>
                <w:szCs w:val="24"/>
              </w:rPr>
              <w:t>000m</w:t>
            </w:r>
            <w:r>
              <w:rPr>
                <w:rFonts w:hint="default" w:ascii="Times New Roman" w:hAnsi="Times New Roman" w:eastAsia="宋体" w:cs="Times New Roman"/>
                <w:color w:val="auto"/>
                <w:sz w:val="24"/>
                <w:szCs w:val="24"/>
                <w:vertAlign w:val="superscript"/>
              </w:rPr>
              <w:t>3</w:t>
            </w:r>
            <w:r>
              <w:rPr>
                <w:rFonts w:hint="default" w:ascii="Times New Roman" w:hAnsi="Times New Roman" w:eastAsia="宋体" w:cs="Times New Roman"/>
                <w:color w:val="auto"/>
                <w:sz w:val="24"/>
                <w:szCs w:val="24"/>
              </w:rPr>
              <w:t>/h，平均一天按3小时计，本项目食堂油烟产生和排放浓度为1</w:t>
            </w:r>
            <w:r>
              <w:rPr>
                <w:rFonts w:hint="eastAsia" w:cs="Times New Roman"/>
                <w:color w:val="auto"/>
                <w:sz w:val="24"/>
                <w:szCs w:val="24"/>
                <w:lang w:val="en-US" w:eastAsia="zh-CN"/>
              </w:rPr>
              <w:t>.4</w:t>
            </w:r>
            <w:r>
              <w:rPr>
                <w:rFonts w:hint="default" w:ascii="Times New Roman" w:hAnsi="Times New Roman" w:eastAsia="宋体" w:cs="Times New Roman"/>
                <w:color w:val="auto"/>
                <w:sz w:val="24"/>
                <w:szCs w:val="24"/>
              </w:rPr>
              <w:t>mg/m</w:t>
            </w:r>
            <w:r>
              <w:rPr>
                <w:rFonts w:hint="default" w:ascii="Times New Roman" w:hAnsi="Times New Roman" w:eastAsia="宋体" w:cs="Times New Roman"/>
                <w:color w:val="auto"/>
                <w:sz w:val="24"/>
                <w:szCs w:val="24"/>
                <w:vertAlign w:val="superscript"/>
              </w:rPr>
              <w:t>3</w:t>
            </w:r>
            <w:r>
              <w:rPr>
                <w:rFonts w:hint="default" w:ascii="Times New Roman" w:hAnsi="Times New Roman" w:eastAsia="宋体" w:cs="Times New Roman"/>
                <w:color w:val="auto"/>
                <w:sz w:val="24"/>
                <w:szCs w:val="24"/>
              </w:rPr>
              <w:t>，可以满足《饮食业油烟排放标准（试行）》（GB18483-2001）表2中的要求</w:t>
            </w:r>
            <w:r>
              <w:rPr>
                <w:rFonts w:hint="eastAsia" w:cs="Times New Roman"/>
                <w:color w:val="auto"/>
                <w:sz w:val="24"/>
                <w:szCs w:val="24"/>
                <w:lang w:eastAsia="zh-CN"/>
              </w:rPr>
              <w:t>（</w:t>
            </w:r>
            <w:r>
              <w:rPr>
                <w:rFonts w:hint="eastAsia" w:cs="Times New Roman"/>
                <w:color w:val="auto"/>
                <w:sz w:val="24"/>
                <w:szCs w:val="24"/>
                <w:lang w:val="en-US" w:eastAsia="zh-CN"/>
              </w:rPr>
              <w:t>最高允许排放浓度：2.0</w:t>
            </w:r>
            <w:r>
              <w:rPr>
                <w:rFonts w:hint="default" w:ascii="Times New Roman" w:hAnsi="Times New Roman" w:eastAsia="宋体" w:cs="Times New Roman"/>
                <w:color w:val="auto"/>
                <w:sz w:val="24"/>
                <w:szCs w:val="24"/>
              </w:rPr>
              <w:t>mg/m</w:t>
            </w:r>
            <w:r>
              <w:rPr>
                <w:rFonts w:hint="default" w:ascii="Times New Roman" w:hAnsi="Times New Roman" w:eastAsia="宋体" w:cs="Times New Roman"/>
                <w:color w:val="auto"/>
                <w:sz w:val="24"/>
                <w:szCs w:val="24"/>
                <w:vertAlign w:val="superscript"/>
              </w:rPr>
              <w:t>3</w:t>
            </w:r>
            <w:r>
              <w:rPr>
                <w:rFonts w:hint="eastAsia" w:cs="Times New Roman"/>
                <w:color w:val="auto"/>
                <w:sz w:val="24"/>
                <w:szCs w:val="24"/>
                <w:vertAlign w:val="superscript"/>
                <w:lang w:eastAsia="zh-CN"/>
              </w:rPr>
              <w:t>）</w:t>
            </w:r>
            <w:r>
              <w:rPr>
                <w:rFonts w:hint="default" w:ascii="Times New Roman" w:hAnsi="Times New Roman" w:eastAsia="宋体" w:cs="Times New Roman"/>
                <w:color w:val="auto"/>
                <w:sz w:val="24"/>
                <w:szCs w:val="24"/>
              </w:rPr>
              <w:t>。</w:t>
            </w:r>
          </w:p>
          <w:p>
            <w:pPr>
              <w:pageBreakBefore w:val="0"/>
              <w:numPr>
                <w:ilvl w:val="0"/>
                <w:numId w:val="8"/>
              </w:numPr>
              <w:kinsoku/>
              <w:overflowPunct/>
              <w:bidi w:val="0"/>
              <w:spacing w:line="360" w:lineRule="auto"/>
              <w:ind w:firstLine="482" w:firstLineChars="200"/>
              <w:rPr>
                <w:rFonts w:hint="eastAsia" w:ascii="Times New Roman" w:hAnsi="Times New Roman" w:eastAsia="宋体" w:cs="Times New Roman"/>
                <w:b/>
                <w:bCs/>
                <w:color w:val="auto"/>
                <w:sz w:val="24"/>
                <w:szCs w:val="24"/>
                <w:u w:val="none" w:color="auto"/>
                <w:lang w:val="en-US" w:eastAsia="zh-CN"/>
              </w:rPr>
            </w:pPr>
            <w:r>
              <w:rPr>
                <w:rFonts w:hint="eastAsia" w:ascii="Times New Roman" w:hAnsi="Times New Roman" w:eastAsia="宋体" w:cs="Times New Roman"/>
                <w:b/>
                <w:bCs/>
                <w:color w:val="auto"/>
                <w:sz w:val="24"/>
                <w:szCs w:val="24"/>
                <w:u w:val="none" w:color="auto"/>
                <w:lang w:val="en-US" w:eastAsia="zh-CN"/>
              </w:rPr>
              <w:t>废气产排情况</w:t>
            </w:r>
          </w:p>
          <w:p>
            <w:pPr>
              <w:pageBreakBefore w:val="0"/>
              <w:numPr>
                <w:ilvl w:val="0"/>
                <w:numId w:val="0"/>
              </w:numPr>
              <w:kinsoku/>
              <w:overflowPunct/>
              <w:bidi w:val="0"/>
              <w:spacing w:line="360" w:lineRule="auto"/>
              <w:ind w:firstLine="480" w:firstLineChars="200"/>
              <w:rPr>
                <w:rFonts w:hint="eastAsia"/>
                <w:highlight w:val="none"/>
                <w:lang w:eastAsia="zh-CN"/>
              </w:rPr>
            </w:pPr>
            <w:r>
              <w:rPr>
                <w:rFonts w:hint="eastAsia" w:cs="Times New Roman"/>
                <w:b w:val="0"/>
                <w:bCs w:val="0"/>
                <w:color w:val="auto"/>
                <w:sz w:val="24"/>
                <w:szCs w:val="24"/>
                <w:u w:val="none" w:color="auto"/>
                <w:lang w:val="en-US" w:eastAsia="zh-CN"/>
              </w:rPr>
              <w:t>项目</w:t>
            </w:r>
            <w:r>
              <w:rPr>
                <w:rFonts w:hint="default" w:ascii="Times New Roman" w:hAnsi="Times New Roman" w:eastAsia="宋体" w:cs="Times New Roman"/>
                <w:b w:val="0"/>
                <w:bCs w:val="0"/>
                <w:color w:val="auto"/>
                <w:sz w:val="24"/>
                <w:szCs w:val="24"/>
                <w:u w:val="none" w:color="auto"/>
                <w:lang w:val="en-US" w:eastAsia="zh-CN"/>
              </w:rPr>
              <w:t>运营期厂区废气污染物排放情况见表4-1</w:t>
            </w:r>
            <w:r>
              <w:rPr>
                <w:rFonts w:hint="eastAsia" w:cs="Times New Roman"/>
                <w:b w:val="0"/>
                <w:bCs w:val="0"/>
                <w:color w:val="auto"/>
                <w:sz w:val="24"/>
                <w:szCs w:val="24"/>
                <w:u w:val="none" w:color="auto"/>
                <w:lang w:val="en-US" w:eastAsia="zh-CN"/>
              </w:rPr>
              <w:t>。</w:t>
            </w:r>
          </w:p>
        </w:tc>
      </w:tr>
    </w:tbl>
    <w:p>
      <w:pPr>
        <w:pStyle w:val="15"/>
        <w:keepNext w:val="0"/>
        <w:keepLines w:val="0"/>
        <w:pageBreakBefore w:val="0"/>
        <w:widowControl/>
        <w:kinsoku/>
        <w:wordWrap/>
        <w:overflowPunct/>
        <w:topLinePunct w:val="0"/>
        <w:autoSpaceDE/>
        <w:autoSpaceDN/>
        <w:bidi w:val="0"/>
        <w:adjustRightInd/>
        <w:snapToGrid/>
        <w:spacing w:before="0" w:beforeAutospacing="0" w:after="0" w:afterAutospacing="0" w:line="240" w:lineRule="auto"/>
        <w:jc w:val="center"/>
        <w:textAlignment w:val="auto"/>
        <w:outlineLvl w:val="0"/>
        <w:rPr>
          <w:rFonts w:hint="eastAsia" w:ascii="Times New Roman" w:hAnsi="Times New Roman" w:eastAsia="宋体" w:cs="Times New Roman"/>
          <w:b/>
          <w:bCs/>
          <w:snapToGrid w:val="0"/>
          <w:color w:val="auto"/>
          <w:sz w:val="28"/>
          <w:szCs w:val="28"/>
          <w:u w:val="none" w:color="auto"/>
        </w:rPr>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27"/>
        <w:bidi w:val="0"/>
        <w:spacing w:line="240" w:lineRule="auto"/>
        <w:jc w:val="center"/>
        <w:rPr>
          <w:rFonts w:hint="default" w:ascii="Times New Roman" w:hAnsi="Times New Roman" w:eastAsia="宋体" w:cs="Times New Roman"/>
          <w:lang w:val="en-US" w:eastAsia="zh-CN"/>
        </w:rPr>
      </w:pPr>
      <w:r>
        <w:rPr>
          <w:rFonts w:hint="default" w:ascii="Times New Roman" w:hAnsi="Times New Roman" w:eastAsia="宋体" w:cs="Times New Roman"/>
          <w:lang w:val="en-US" w:eastAsia="zh-CN"/>
        </w:rPr>
        <w:t>表4-1项目运营期废气产生与排放情况</w:t>
      </w:r>
    </w:p>
    <w:tbl>
      <w:tblPr>
        <w:tblStyle w:val="18"/>
        <w:tblW w:w="14174"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784"/>
        <w:gridCol w:w="784"/>
        <w:gridCol w:w="567"/>
        <w:gridCol w:w="891"/>
        <w:gridCol w:w="569"/>
        <w:gridCol w:w="891"/>
        <w:gridCol w:w="886"/>
        <w:gridCol w:w="1075"/>
        <w:gridCol w:w="952"/>
        <w:gridCol w:w="786"/>
        <w:gridCol w:w="732"/>
        <w:gridCol w:w="569"/>
        <w:gridCol w:w="891"/>
        <w:gridCol w:w="1011"/>
        <w:gridCol w:w="1055"/>
        <w:gridCol w:w="954"/>
        <w:gridCol w:w="77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784" w:type="dxa"/>
            <w:vMerge w:val="restart"/>
            <w:tcBorders>
              <w:tl2br w:val="nil"/>
              <w:tr2bl w:val="nil"/>
            </w:tcBorders>
            <w:vAlign w:val="center"/>
          </w:tcPr>
          <w:p>
            <w:pPr>
              <w:pStyle w:val="28"/>
              <w:pageBreakBefore w:val="0"/>
              <w:kinsoku/>
              <w:overflowPunct/>
              <w:bidi w:val="0"/>
              <w:spacing w:line="240" w:lineRule="auto"/>
              <w:rPr>
                <w:b w:val="0"/>
                <w:bCs/>
                <w:color w:val="auto"/>
                <w:sz w:val="21"/>
                <w:szCs w:val="21"/>
              </w:rPr>
            </w:pPr>
            <w:r>
              <w:rPr>
                <w:b w:val="0"/>
                <w:bCs/>
                <w:color w:val="auto"/>
                <w:sz w:val="21"/>
                <w:szCs w:val="21"/>
              </w:rPr>
              <w:t>工序</w:t>
            </w:r>
          </w:p>
        </w:tc>
        <w:tc>
          <w:tcPr>
            <w:tcW w:w="784" w:type="dxa"/>
            <w:vMerge w:val="restart"/>
            <w:tcBorders>
              <w:tl2br w:val="nil"/>
              <w:tr2bl w:val="nil"/>
            </w:tcBorders>
            <w:vAlign w:val="center"/>
          </w:tcPr>
          <w:p>
            <w:pPr>
              <w:pStyle w:val="28"/>
              <w:pageBreakBefore w:val="0"/>
              <w:kinsoku/>
              <w:overflowPunct/>
              <w:bidi w:val="0"/>
              <w:spacing w:line="240" w:lineRule="auto"/>
              <w:rPr>
                <w:b w:val="0"/>
                <w:bCs/>
                <w:color w:val="auto"/>
                <w:sz w:val="21"/>
                <w:szCs w:val="21"/>
              </w:rPr>
            </w:pPr>
            <w:r>
              <w:rPr>
                <w:b w:val="0"/>
                <w:bCs/>
                <w:color w:val="auto"/>
                <w:sz w:val="21"/>
                <w:szCs w:val="21"/>
              </w:rPr>
              <w:t>装置</w:t>
            </w:r>
          </w:p>
        </w:tc>
        <w:tc>
          <w:tcPr>
            <w:tcW w:w="567" w:type="dxa"/>
            <w:vMerge w:val="restart"/>
            <w:tcBorders>
              <w:tl2br w:val="nil"/>
              <w:tr2bl w:val="nil"/>
            </w:tcBorders>
            <w:vAlign w:val="center"/>
          </w:tcPr>
          <w:p>
            <w:pPr>
              <w:pStyle w:val="28"/>
              <w:pageBreakBefore w:val="0"/>
              <w:kinsoku/>
              <w:overflowPunct/>
              <w:bidi w:val="0"/>
              <w:spacing w:line="240" w:lineRule="auto"/>
              <w:rPr>
                <w:b w:val="0"/>
                <w:bCs/>
                <w:color w:val="auto"/>
                <w:sz w:val="21"/>
                <w:szCs w:val="21"/>
              </w:rPr>
            </w:pPr>
            <w:r>
              <w:rPr>
                <w:b w:val="0"/>
                <w:bCs/>
                <w:color w:val="auto"/>
                <w:sz w:val="21"/>
                <w:szCs w:val="21"/>
              </w:rPr>
              <w:t>污染源</w:t>
            </w:r>
          </w:p>
        </w:tc>
        <w:tc>
          <w:tcPr>
            <w:tcW w:w="891" w:type="dxa"/>
            <w:vMerge w:val="restart"/>
            <w:tcBorders>
              <w:tl2br w:val="nil"/>
              <w:tr2bl w:val="nil"/>
            </w:tcBorders>
            <w:vAlign w:val="center"/>
          </w:tcPr>
          <w:p>
            <w:pPr>
              <w:pStyle w:val="28"/>
              <w:pageBreakBefore w:val="0"/>
              <w:kinsoku/>
              <w:overflowPunct/>
              <w:bidi w:val="0"/>
              <w:spacing w:line="240" w:lineRule="auto"/>
              <w:rPr>
                <w:b w:val="0"/>
                <w:bCs/>
                <w:color w:val="auto"/>
                <w:sz w:val="21"/>
                <w:szCs w:val="21"/>
              </w:rPr>
            </w:pPr>
            <w:r>
              <w:rPr>
                <w:b w:val="0"/>
                <w:bCs/>
                <w:color w:val="auto"/>
                <w:sz w:val="21"/>
                <w:szCs w:val="21"/>
              </w:rPr>
              <w:t>污染物</w:t>
            </w:r>
          </w:p>
        </w:tc>
        <w:tc>
          <w:tcPr>
            <w:tcW w:w="4373" w:type="dxa"/>
            <w:gridSpan w:val="5"/>
            <w:tcBorders>
              <w:tl2br w:val="nil"/>
              <w:tr2bl w:val="nil"/>
            </w:tcBorders>
            <w:vAlign w:val="center"/>
          </w:tcPr>
          <w:p>
            <w:pPr>
              <w:pStyle w:val="28"/>
              <w:pageBreakBefore w:val="0"/>
              <w:kinsoku/>
              <w:overflowPunct/>
              <w:bidi w:val="0"/>
              <w:spacing w:line="240" w:lineRule="auto"/>
              <w:rPr>
                <w:b w:val="0"/>
                <w:bCs/>
                <w:color w:val="auto"/>
                <w:sz w:val="21"/>
                <w:szCs w:val="21"/>
              </w:rPr>
            </w:pPr>
            <w:r>
              <w:rPr>
                <w:b w:val="0"/>
                <w:bCs/>
                <w:color w:val="auto"/>
                <w:sz w:val="21"/>
                <w:szCs w:val="21"/>
              </w:rPr>
              <w:t>污染物产生</w:t>
            </w:r>
          </w:p>
        </w:tc>
        <w:tc>
          <w:tcPr>
            <w:tcW w:w="1518" w:type="dxa"/>
            <w:gridSpan w:val="2"/>
            <w:tcBorders>
              <w:tl2br w:val="nil"/>
              <w:tr2bl w:val="nil"/>
            </w:tcBorders>
            <w:vAlign w:val="center"/>
          </w:tcPr>
          <w:p>
            <w:pPr>
              <w:pStyle w:val="28"/>
              <w:pageBreakBefore w:val="0"/>
              <w:kinsoku/>
              <w:overflowPunct/>
              <w:bidi w:val="0"/>
              <w:spacing w:line="240" w:lineRule="auto"/>
              <w:rPr>
                <w:b w:val="0"/>
                <w:bCs/>
                <w:color w:val="auto"/>
                <w:sz w:val="21"/>
                <w:szCs w:val="21"/>
              </w:rPr>
            </w:pPr>
            <w:r>
              <w:rPr>
                <w:b w:val="0"/>
                <w:bCs/>
                <w:color w:val="auto"/>
                <w:sz w:val="21"/>
                <w:szCs w:val="21"/>
              </w:rPr>
              <w:t>治理措施</w:t>
            </w:r>
          </w:p>
        </w:tc>
        <w:tc>
          <w:tcPr>
            <w:tcW w:w="4480" w:type="dxa"/>
            <w:gridSpan w:val="5"/>
            <w:tcBorders>
              <w:tl2br w:val="nil"/>
              <w:tr2bl w:val="nil"/>
            </w:tcBorders>
            <w:vAlign w:val="center"/>
          </w:tcPr>
          <w:p>
            <w:pPr>
              <w:pStyle w:val="28"/>
              <w:pageBreakBefore w:val="0"/>
              <w:kinsoku/>
              <w:overflowPunct/>
              <w:bidi w:val="0"/>
              <w:spacing w:line="240" w:lineRule="auto"/>
              <w:rPr>
                <w:b w:val="0"/>
                <w:bCs/>
                <w:color w:val="auto"/>
                <w:sz w:val="21"/>
                <w:szCs w:val="21"/>
              </w:rPr>
            </w:pPr>
            <w:r>
              <w:rPr>
                <w:b w:val="0"/>
                <w:bCs/>
                <w:color w:val="auto"/>
                <w:sz w:val="21"/>
                <w:szCs w:val="21"/>
              </w:rPr>
              <w:t>污染物排放</w:t>
            </w:r>
          </w:p>
        </w:tc>
        <w:tc>
          <w:tcPr>
            <w:tcW w:w="777" w:type="dxa"/>
            <w:vMerge w:val="restart"/>
            <w:tcBorders>
              <w:tl2br w:val="nil"/>
              <w:tr2bl w:val="nil"/>
            </w:tcBorders>
            <w:vAlign w:val="center"/>
          </w:tcPr>
          <w:p>
            <w:pPr>
              <w:pStyle w:val="28"/>
              <w:pageBreakBefore w:val="0"/>
              <w:kinsoku/>
              <w:overflowPunct/>
              <w:bidi w:val="0"/>
              <w:spacing w:line="240" w:lineRule="auto"/>
              <w:rPr>
                <w:b w:val="0"/>
                <w:bCs/>
                <w:color w:val="auto"/>
                <w:sz w:val="21"/>
                <w:szCs w:val="21"/>
              </w:rPr>
            </w:pPr>
            <w:r>
              <w:rPr>
                <w:b w:val="0"/>
                <w:bCs/>
                <w:color w:val="auto"/>
                <w:sz w:val="21"/>
                <w:szCs w:val="21"/>
              </w:rPr>
              <w:t>排放时间/h</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784" w:type="dxa"/>
            <w:vMerge w:val="continue"/>
            <w:tcBorders>
              <w:tl2br w:val="nil"/>
              <w:tr2bl w:val="nil"/>
            </w:tcBorders>
            <w:vAlign w:val="center"/>
          </w:tcPr>
          <w:p>
            <w:pPr>
              <w:pStyle w:val="28"/>
              <w:pageBreakBefore w:val="0"/>
              <w:kinsoku/>
              <w:overflowPunct/>
              <w:bidi w:val="0"/>
              <w:spacing w:line="240" w:lineRule="auto"/>
              <w:rPr>
                <w:b w:val="0"/>
                <w:bCs/>
                <w:color w:val="auto"/>
                <w:sz w:val="21"/>
                <w:szCs w:val="21"/>
              </w:rPr>
            </w:pPr>
          </w:p>
        </w:tc>
        <w:tc>
          <w:tcPr>
            <w:tcW w:w="784" w:type="dxa"/>
            <w:vMerge w:val="continue"/>
            <w:tcBorders>
              <w:tl2br w:val="nil"/>
              <w:tr2bl w:val="nil"/>
            </w:tcBorders>
            <w:vAlign w:val="center"/>
          </w:tcPr>
          <w:p>
            <w:pPr>
              <w:pStyle w:val="28"/>
              <w:pageBreakBefore w:val="0"/>
              <w:kinsoku/>
              <w:overflowPunct/>
              <w:bidi w:val="0"/>
              <w:spacing w:line="240" w:lineRule="auto"/>
              <w:rPr>
                <w:b w:val="0"/>
                <w:bCs/>
                <w:color w:val="auto"/>
                <w:sz w:val="21"/>
                <w:szCs w:val="21"/>
              </w:rPr>
            </w:pPr>
          </w:p>
        </w:tc>
        <w:tc>
          <w:tcPr>
            <w:tcW w:w="567" w:type="dxa"/>
            <w:vMerge w:val="continue"/>
            <w:tcBorders>
              <w:tl2br w:val="nil"/>
              <w:tr2bl w:val="nil"/>
            </w:tcBorders>
            <w:vAlign w:val="center"/>
          </w:tcPr>
          <w:p>
            <w:pPr>
              <w:pStyle w:val="28"/>
              <w:pageBreakBefore w:val="0"/>
              <w:kinsoku/>
              <w:overflowPunct/>
              <w:bidi w:val="0"/>
              <w:spacing w:line="240" w:lineRule="auto"/>
              <w:rPr>
                <w:b w:val="0"/>
                <w:bCs/>
                <w:color w:val="auto"/>
                <w:sz w:val="21"/>
                <w:szCs w:val="21"/>
              </w:rPr>
            </w:pPr>
          </w:p>
        </w:tc>
        <w:tc>
          <w:tcPr>
            <w:tcW w:w="891" w:type="dxa"/>
            <w:vMerge w:val="continue"/>
            <w:tcBorders>
              <w:tl2br w:val="nil"/>
              <w:tr2bl w:val="nil"/>
            </w:tcBorders>
            <w:vAlign w:val="center"/>
          </w:tcPr>
          <w:p>
            <w:pPr>
              <w:pStyle w:val="28"/>
              <w:pageBreakBefore w:val="0"/>
              <w:kinsoku/>
              <w:overflowPunct/>
              <w:bidi w:val="0"/>
              <w:spacing w:line="240" w:lineRule="auto"/>
              <w:rPr>
                <w:b w:val="0"/>
                <w:bCs/>
                <w:color w:val="auto"/>
                <w:sz w:val="21"/>
                <w:szCs w:val="21"/>
              </w:rPr>
            </w:pPr>
          </w:p>
        </w:tc>
        <w:tc>
          <w:tcPr>
            <w:tcW w:w="569" w:type="dxa"/>
            <w:tcBorders>
              <w:tl2br w:val="nil"/>
              <w:tr2bl w:val="nil"/>
            </w:tcBorders>
            <w:vAlign w:val="center"/>
          </w:tcPr>
          <w:p>
            <w:pPr>
              <w:pStyle w:val="28"/>
              <w:pageBreakBefore w:val="0"/>
              <w:kinsoku/>
              <w:overflowPunct/>
              <w:bidi w:val="0"/>
              <w:spacing w:line="240" w:lineRule="auto"/>
              <w:rPr>
                <w:b w:val="0"/>
                <w:bCs/>
                <w:color w:val="auto"/>
                <w:sz w:val="21"/>
                <w:szCs w:val="21"/>
              </w:rPr>
            </w:pPr>
            <w:r>
              <w:rPr>
                <w:b w:val="0"/>
                <w:bCs/>
                <w:color w:val="auto"/>
                <w:sz w:val="21"/>
                <w:szCs w:val="21"/>
              </w:rPr>
              <w:t>核算方法</w:t>
            </w:r>
          </w:p>
        </w:tc>
        <w:tc>
          <w:tcPr>
            <w:tcW w:w="891" w:type="dxa"/>
            <w:tcBorders>
              <w:tl2br w:val="nil"/>
              <w:tr2bl w:val="nil"/>
            </w:tcBorders>
            <w:vAlign w:val="center"/>
          </w:tcPr>
          <w:p>
            <w:pPr>
              <w:pStyle w:val="28"/>
              <w:pageBreakBefore w:val="0"/>
              <w:kinsoku/>
              <w:overflowPunct/>
              <w:bidi w:val="0"/>
              <w:spacing w:line="240" w:lineRule="auto"/>
              <w:rPr>
                <w:b w:val="0"/>
                <w:bCs/>
                <w:color w:val="auto"/>
                <w:sz w:val="21"/>
                <w:szCs w:val="21"/>
              </w:rPr>
            </w:pPr>
            <w:r>
              <w:rPr>
                <w:b w:val="0"/>
                <w:bCs/>
                <w:color w:val="auto"/>
                <w:sz w:val="21"/>
                <w:szCs w:val="21"/>
              </w:rPr>
              <w:t>废气产生量/m</w:t>
            </w:r>
            <w:r>
              <w:rPr>
                <w:b w:val="0"/>
                <w:bCs/>
                <w:color w:val="auto"/>
                <w:sz w:val="21"/>
                <w:szCs w:val="21"/>
                <w:vertAlign w:val="superscript"/>
              </w:rPr>
              <w:t>3</w:t>
            </w:r>
            <w:r>
              <w:rPr>
                <w:b w:val="0"/>
                <w:bCs/>
                <w:color w:val="auto"/>
                <w:sz w:val="21"/>
                <w:szCs w:val="21"/>
              </w:rPr>
              <w:t>/h</w:t>
            </w:r>
          </w:p>
        </w:tc>
        <w:tc>
          <w:tcPr>
            <w:tcW w:w="886" w:type="dxa"/>
            <w:tcBorders>
              <w:tl2br w:val="nil"/>
              <w:tr2bl w:val="nil"/>
            </w:tcBorders>
            <w:vAlign w:val="center"/>
          </w:tcPr>
          <w:p>
            <w:pPr>
              <w:pStyle w:val="28"/>
              <w:pageBreakBefore w:val="0"/>
              <w:kinsoku/>
              <w:overflowPunct/>
              <w:bidi w:val="0"/>
              <w:spacing w:line="240" w:lineRule="auto"/>
              <w:rPr>
                <w:b w:val="0"/>
                <w:bCs/>
                <w:color w:val="auto"/>
                <w:sz w:val="21"/>
                <w:szCs w:val="21"/>
              </w:rPr>
            </w:pPr>
            <w:r>
              <w:rPr>
                <w:b w:val="0"/>
                <w:bCs/>
                <w:color w:val="auto"/>
                <w:sz w:val="21"/>
                <w:szCs w:val="21"/>
              </w:rPr>
              <w:t>产生浓度/mg/m</w:t>
            </w:r>
            <w:r>
              <w:rPr>
                <w:b w:val="0"/>
                <w:bCs/>
                <w:color w:val="auto"/>
                <w:sz w:val="21"/>
                <w:szCs w:val="21"/>
                <w:vertAlign w:val="superscript"/>
              </w:rPr>
              <w:t>3</w:t>
            </w:r>
          </w:p>
        </w:tc>
        <w:tc>
          <w:tcPr>
            <w:tcW w:w="1075" w:type="dxa"/>
            <w:tcBorders>
              <w:tl2br w:val="nil"/>
              <w:tr2bl w:val="nil"/>
            </w:tcBorders>
            <w:vAlign w:val="center"/>
          </w:tcPr>
          <w:p>
            <w:pPr>
              <w:pStyle w:val="28"/>
              <w:pageBreakBefore w:val="0"/>
              <w:kinsoku/>
              <w:overflowPunct/>
              <w:bidi w:val="0"/>
              <w:spacing w:line="240" w:lineRule="auto"/>
              <w:rPr>
                <w:b w:val="0"/>
                <w:bCs/>
                <w:color w:val="auto"/>
                <w:sz w:val="21"/>
                <w:szCs w:val="21"/>
              </w:rPr>
            </w:pPr>
            <w:r>
              <w:rPr>
                <w:b w:val="0"/>
                <w:bCs/>
                <w:color w:val="auto"/>
                <w:sz w:val="21"/>
                <w:szCs w:val="21"/>
              </w:rPr>
              <w:t>产生速率/kg/h</w:t>
            </w:r>
          </w:p>
        </w:tc>
        <w:tc>
          <w:tcPr>
            <w:tcW w:w="952" w:type="dxa"/>
            <w:tcBorders>
              <w:tl2br w:val="nil"/>
              <w:tr2bl w:val="nil"/>
            </w:tcBorders>
            <w:vAlign w:val="center"/>
          </w:tcPr>
          <w:p>
            <w:pPr>
              <w:pStyle w:val="28"/>
              <w:pageBreakBefore w:val="0"/>
              <w:kinsoku/>
              <w:overflowPunct/>
              <w:bidi w:val="0"/>
              <w:spacing w:line="240" w:lineRule="auto"/>
              <w:rPr>
                <w:b w:val="0"/>
                <w:bCs/>
                <w:color w:val="auto"/>
                <w:sz w:val="21"/>
                <w:szCs w:val="21"/>
              </w:rPr>
            </w:pPr>
            <w:r>
              <w:rPr>
                <w:b w:val="0"/>
                <w:bCs/>
                <w:color w:val="auto"/>
                <w:sz w:val="21"/>
                <w:szCs w:val="21"/>
              </w:rPr>
              <w:t>产生量/t/a</w:t>
            </w:r>
          </w:p>
        </w:tc>
        <w:tc>
          <w:tcPr>
            <w:tcW w:w="786" w:type="dxa"/>
            <w:tcBorders>
              <w:tl2br w:val="nil"/>
              <w:tr2bl w:val="nil"/>
            </w:tcBorders>
            <w:vAlign w:val="center"/>
          </w:tcPr>
          <w:p>
            <w:pPr>
              <w:pStyle w:val="28"/>
              <w:pageBreakBefore w:val="0"/>
              <w:kinsoku/>
              <w:overflowPunct/>
              <w:bidi w:val="0"/>
              <w:spacing w:line="240" w:lineRule="auto"/>
              <w:rPr>
                <w:b w:val="0"/>
                <w:bCs/>
                <w:color w:val="auto"/>
                <w:sz w:val="21"/>
                <w:szCs w:val="21"/>
              </w:rPr>
            </w:pPr>
            <w:r>
              <w:rPr>
                <w:b w:val="0"/>
                <w:bCs/>
                <w:color w:val="auto"/>
                <w:sz w:val="21"/>
                <w:szCs w:val="21"/>
              </w:rPr>
              <w:t>工艺</w:t>
            </w:r>
          </w:p>
        </w:tc>
        <w:tc>
          <w:tcPr>
            <w:tcW w:w="732" w:type="dxa"/>
            <w:tcBorders>
              <w:tl2br w:val="nil"/>
              <w:tr2bl w:val="nil"/>
            </w:tcBorders>
            <w:vAlign w:val="center"/>
          </w:tcPr>
          <w:p>
            <w:pPr>
              <w:pStyle w:val="28"/>
              <w:pageBreakBefore w:val="0"/>
              <w:kinsoku/>
              <w:overflowPunct/>
              <w:bidi w:val="0"/>
              <w:spacing w:line="240" w:lineRule="auto"/>
              <w:rPr>
                <w:b w:val="0"/>
                <w:bCs/>
                <w:color w:val="auto"/>
                <w:sz w:val="21"/>
                <w:szCs w:val="21"/>
              </w:rPr>
            </w:pPr>
            <w:r>
              <w:rPr>
                <w:b w:val="0"/>
                <w:bCs/>
                <w:color w:val="auto"/>
                <w:sz w:val="21"/>
                <w:szCs w:val="21"/>
              </w:rPr>
              <w:t>效率/%</w:t>
            </w:r>
          </w:p>
        </w:tc>
        <w:tc>
          <w:tcPr>
            <w:tcW w:w="569" w:type="dxa"/>
            <w:tcBorders>
              <w:tl2br w:val="nil"/>
              <w:tr2bl w:val="nil"/>
            </w:tcBorders>
            <w:vAlign w:val="center"/>
          </w:tcPr>
          <w:p>
            <w:pPr>
              <w:pStyle w:val="28"/>
              <w:pageBreakBefore w:val="0"/>
              <w:kinsoku/>
              <w:overflowPunct/>
              <w:bidi w:val="0"/>
              <w:spacing w:line="240" w:lineRule="auto"/>
              <w:rPr>
                <w:b w:val="0"/>
                <w:bCs/>
                <w:color w:val="auto"/>
                <w:sz w:val="21"/>
                <w:szCs w:val="21"/>
              </w:rPr>
            </w:pPr>
            <w:r>
              <w:rPr>
                <w:b w:val="0"/>
                <w:bCs/>
                <w:color w:val="auto"/>
                <w:sz w:val="21"/>
                <w:szCs w:val="21"/>
              </w:rPr>
              <w:t>核算方法</w:t>
            </w:r>
          </w:p>
        </w:tc>
        <w:tc>
          <w:tcPr>
            <w:tcW w:w="891" w:type="dxa"/>
            <w:tcBorders>
              <w:tl2br w:val="nil"/>
              <w:tr2bl w:val="nil"/>
            </w:tcBorders>
            <w:vAlign w:val="center"/>
          </w:tcPr>
          <w:p>
            <w:pPr>
              <w:pStyle w:val="28"/>
              <w:pageBreakBefore w:val="0"/>
              <w:kinsoku/>
              <w:overflowPunct/>
              <w:bidi w:val="0"/>
              <w:spacing w:line="240" w:lineRule="auto"/>
              <w:rPr>
                <w:b w:val="0"/>
                <w:bCs/>
                <w:color w:val="auto"/>
                <w:sz w:val="21"/>
                <w:szCs w:val="21"/>
              </w:rPr>
            </w:pPr>
            <w:r>
              <w:rPr>
                <w:b w:val="0"/>
                <w:bCs/>
                <w:color w:val="auto"/>
                <w:sz w:val="21"/>
                <w:szCs w:val="21"/>
              </w:rPr>
              <w:t>废气排放量/m</w:t>
            </w:r>
            <w:r>
              <w:rPr>
                <w:b w:val="0"/>
                <w:bCs/>
                <w:color w:val="auto"/>
                <w:sz w:val="21"/>
                <w:szCs w:val="21"/>
                <w:vertAlign w:val="superscript"/>
              </w:rPr>
              <w:t>3</w:t>
            </w:r>
            <w:r>
              <w:rPr>
                <w:b w:val="0"/>
                <w:bCs/>
                <w:color w:val="auto"/>
                <w:sz w:val="21"/>
                <w:szCs w:val="21"/>
              </w:rPr>
              <w:t>/h</w:t>
            </w:r>
          </w:p>
        </w:tc>
        <w:tc>
          <w:tcPr>
            <w:tcW w:w="1011" w:type="dxa"/>
            <w:tcBorders>
              <w:tl2br w:val="nil"/>
              <w:tr2bl w:val="nil"/>
            </w:tcBorders>
            <w:vAlign w:val="center"/>
          </w:tcPr>
          <w:p>
            <w:pPr>
              <w:pStyle w:val="28"/>
              <w:pageBreakBefore w:val="0"/>
              <w:kinsoku/>
              <w:overflowPunct/>
              <w:bidi w:val="0"/>
              <w:spacing w:line="240" w:lineRule="auto"/>
              <w:rPr>
                <w:b w:val="0"/>
                <w:bCs/>
                <w:color w:val="auto"/>
                <w:sz w:val="21"/>
                <w:szCs w:val="21"/>
              </w:rPr>
            </w:pPr>
            <w:r>
              <w:rPr>
                <w:b w:val="0"/>
                <w:bCs/>
                <w:color w:val="auto"/>
                <w:sz w:val="21"/>
                <w:szCs w:val="21"/>
              </w:rPr>
              <w:t>排放浓度/mg/m</w:t>
            </w:r>
            <w:r>
              <w:rPr>
                <w:b w:val="0"/>
                <w:bCs/>
                <w:color w:val="auto"/>
                <w:sz w:val="21"/>
                <w:szCs w:val="21"/>
                <w:vertAlign w:val="superscript"/>
              </w:rPr>
              <w:t>3</w:t>
            </w:r>
          </w:p>
        </w:tc>
        <w:tc>
          <w:tcPr>
            <w:tcW w:w="1055" w:type="dxa"/>
            <w:tcBorders>
              <w:tl2br w:val="nil"/>
              <w:tr2bl w:val="nil"/>
            </w:tcBorders>
            <w:vAlign w:val="center"/>
          </w:tcPr>
          <w:p>
            <w:pPr>
              <w:pStyle w:val="28"/>
              <w:pageBreakBefore w:val="0"/>
              <w:kinsoku/>
              <w:overflowPunct/>
              <w:bidi w:val="0"/>
              <w:spacing w:line="240" w:lineRule="auto"/>
              <w:rPr>
                <w:b w:val="0"/>
                <w:bCs/>
                <w:color w:val="auto"/>
                <w:sz w:val="21"/>
                <w:szCs w:val="21"/>
              </w:rPr>
            </w:pPr>
            <w:r>
              <w:rPr>
                <w:b w:val="0"/>
                <w:bCs/>
                <w:color w:val="auto"/>
                <w:sz w:val="21"/>
                <w:szCs w:val="21"/>
              </w:rPr>
              <w:t>排放速率/kg/h</w:t>
            </w:r>
          </w:p>
        </w:tc>
        <w:tc>
          <w:tcPr>
            <w:tcW w:w="954" w:type="dxa"/>
            <w:tcBorders>
              <w:tl2br w:val="nil"/>
              <w:tr2bl w:val="nil"/>
            </w:tcBorders>
            <w:vAlign w:val="center"/>
          </w:tcPr>
          <w:p>
            <w:pPr>
              <w:pStyle w:val="28"/>
              <w:pageBreakBefore w:val="0"/>
              <w:kinsoku/>
              <w:overflowPunct/>
              <w:bidi w:val="0"/>
              <w:spacing w:line="240" w:lineRule="auto"/>
              <w:rPr>
                <w:b w:val="0"/>
                <w:bCs/>
                <w:color w:val="auto"/>
                <w:sz w:val="21"/>
                <w:szCs w:val="21"/>
              </w:rPr>
            </w:pPr>
            <w:r>
              <w:rPr>
                <w:b w:val="0"/>
                <w:bCs/>
                <w:color w:val="auto"/>
                <w:sz w:val="21"/>
                <w:szCs w:val="21"/>
              </w:rPr>
              <w:t>排放量/t/a</w:t>
            </w:r>
          </w:p>
        </w:tc>
        <w:tc>
          <w:tcPr>
            <w:tcW w:w="777" w:type="dxa"/>
            <w:vMerge w:val="continue"/>
            <w:tcBorders>
              <w:tl2br w:val="nil"/>
              <w:tr2bl w:val="nil"/>
            </w:tcBorders>
            <w:vAlign w:val="center"/>
          </w:tcPr>
          <w:p>
            <w:pPr>
              <w:pStyle w:val="28"/>
              <w:pageBreakBefore w:val="0"/>
              <w:kinsoku/>
              <w:overflowPunct/>
              <w:bidi w:val="0"/>
              <w:spacing w:line="240" w:lineRule="auto"/>
              <w:rPr>
                <w:b w:val="0"/>
                <w:bCs/>
                <w:color w:val="auto"/>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784" w:type="dxa"/>
            <w:tcBorders>
              <w:tl2br w:val="nil"/>
              <w:tr2bl w:val="nil"/>
            </w:tcBorders>
            <w:vAlign w:val="center"/>
          </w:tcPr>
          <w:p>
            <w:pPr>
              <w:pStyle w:val="28"/>
              <w:pageBreakBefore w:val="0"/>
              <w:kinsoku/>
              <w:overflowPunct/>
              <w:bidi w:val="0"/>
              <w:spacing w:line="240" w:lineRule="auto"/>
              <w:rPr>
                <w:b w:val="0"/>
                <w:bCs/>
                <w:color w:val="auto"/>
                <w:sz w:val="21"/>
                <w:szCs w:val="21"/>
              </w:rPr>
            </w:pPr>
            <w:r>
              <w:rPr>
                <w:rFonts w:hint="eastAsia"/>
                <w:b w:val="0"/>
                <w:bCs/>
                <w:color w:val="auto"/>
                <w:sz w:val="21"/>
                <w:szCs w:val="21"/>
                <w:lang w:val="en-US" w:eastAsia="zh-CN"/>
              </w:rPr>
              <w:t>废油液抽取挥发</w:t>
            </w:r>
          </w:p>
        </w:tc>
        <w:tc>
          <w:tcPr>
            <w:tcW w:w="784" w:type="dxa"/>
            <w:tcBorders>
              <w:tl2br w:val="nil"/>
              <w:tr2bl w:val="nil"/>
            </w:tcBorders>
            <w:vAlign w:val="center"/>
          </w:tcPr>
          <w:p>
            <w:pPr>
              <w:pStyle w:val="28"/>
              <w:pageBreakBefore w:val="0"/>
              <w:kinsoku/>
              <w:overflowPunct/>
              <w:bidi w:val="0"/>
              <w:spacing w:line="240" w:lineRule="auto"/>
              <w:rPr>
                <w:b w:val="0"/>
                <w:bCs/>
                <w:color w:val="auto"/>
                <w:sz w:val="21"/>
                <w:szCs w:val="21"/>
              </w:rPr>
            </w:pPr>
            <w:r>
              <w:rPr>
                <w:rFonts w:hint="eastAsia"/>
                <w:b w:val="0"/>
                <w:bCs/>
                <w:color w:val="auto"/>
                <w:sz w:val="21"/>
                <w:szCs w:val="21"/>
                <w:lang w:val="en-US" w:eastAsia="zh-CN"/>
              </w:rPr>
              <w:t>抽油机</w:t>
            </w:r>
          </w:p>
        </w:tc>
        <w:tc>
          <w:tcPr>
            <w:tcW w:w="567" w:type="dxa"/>
            <w:tcBorders>
              <w:tl2br w:val="nil"/>
              <w:tr2bl w:val="nil"/>
            </w:tcBorders>
            <w:vAlign w:val="center"/>
          </w:tcPr>
          <w:p>
            <w:pPr>
              <w:pStyle w:val="28"/>
              <w:pageBreakBefore w:val="0"/>
              <w:kinsoku/>
              <w:overflowPunct/>
              <w:bidi w:val="0"/>
              <w:spacing w:line="240" w:lineRule="auto"/>
              <w:rPr>
                <w:b w:val="0"/>
                <w:bCs/>
                <w:color w:val="auto"/>
                <w:sz w:val="21"/>
                <w:szCs w:val="21"/>
              </w:rPr>
            </w:pPr>
            <w:r>
              <w:rPr>
                <w:b w:val="0"/>
                <w:bCs/>
                <w:color w:val="auto"/>
                <w:sz w:val="21"/>
                <w:szCs w:val="21"/>
              </w:rPr>
              <w:t>无组织</w:t>
            </w:r>
          </w:p>
        </w:tc>
        <w:tc>
          <w:tcPr>
            <w:tcW w:w="891" w:type="dxa"/>
            <w:tcBorders>
              <w:tl2br w:val="nil"/>
              <w:tr2bl w:val="nil"/>
            </w:tcBorders>
            <w:vAlign w:val="center"/>
          </w:tcPr>
          <w:p>
            <w:pPr>
              <w:pStyle w:val="28"/>
              <w:pageBreakBefore w:val="0"/>
              <w:kinsoku/>
              <w:overflowPunct/>
              <w:bidi w:val="0"/>
              <w:spacing w:line="240" w:lineRule="auto"/>
              <w:rPr>
                <w:rFonts w:hint="default" w:eastAsia="宋体"/>
                <w:b w:val="0"/>
                <w:bCs/>
                <w:color w:val="auto"/>
                <w:sz w:val="21"/>
                <w:szCs w:val="21"/>
                <w:lang w:val="en-US" w:eastAsia="zh-CN"/>
              </w:rPr>
            </w:pPr>
            <w:r>
              <w:rPr>
                <w:rFonts w:hint="eastAsia"/>
                <w:b w:val="0"/>
                <w:bCs/>
                <w:color w:val="auto"/>
                <w:sz w:val="21"/>
                <w:szCs w:val="21"/>
                <w:lang w:val="en-US" w:eastAsia="zh-CN"/>
              </w:rPr>
              <w:t>NMHC</w:t>
            </w:r>
          </w:p>
        </w:tc>
        <w:tc>
          <w:tcPr>
            <w:tcW w:w="569" w:type="dxa"/>
            <w:tcBorders>
              <w:tl2br w:val="nil"/>
              <w:tr2bl w:val="nil"/>
            </w:tcBorders>
            <w:vAlign w:val="center"/>
          </w:tcPr>
          <w:p>
            <w:pPr>
              <w:pStyle w:val="28"/>
              <w:pageBreakBefore w:val="0"/>
              <w:kinsoku/>
              <w:overflowPunct/>
              <w:bidi w:val="0"/>
              <w:spacing w:line="240" w:lineRule="auto"/>
              <w:rPr>
                <w:b w:val="0"/>
                <w:bCs/>
                <w:color w:val="auto"/>
                <w:sz w:val="21"/>
                <w:szCs w:val="21"/>
              </w:rPr>
            </w:pPr>
            <w:r>
              <w:rPr>
                <w:b w:val="0"/>
                <w:bCs/>
                <w:color w:val="auto"/>
                <w:sz w:val="21"/>
                <w:szCs w:val="21"/>
              </w:rPr>
              <w:t>产污系数法</w:t>
            </w:r>
          </w:p>
        </w:tc>
        <w:tc>
          <w:tcPr>
            <w:tcW w:w="891" w:type="dxa"/>
            <w:tcBorders>
              <w:tl2br w:val="nil"/>
              <w:tr2bl w:val="nil"/>
            </w:tcBorders>
            <w:vAlign w:val="center"/>
          </w:tcPr>
          <w:p>
            <w:pPr>
              <w:pStyle w:val="28"/>
              <w:pageBreakBefore w:val="0"/>
              <w:kinsoku/>
              <w:overflowPunct/>
              <w:bidi w:val="0"/>
              <w:spacing w:line="240" w:lineRule="auto"/>
              <w:rPr>
                <w:b w:val="0"/>
                <w:bCs/>
                <w:color w:val="auto"/>
                <w:sz w:val="21"/>
                <w:szCs w:val="21"/>
              </w:rPr>
            </w:pPr>
            <w:r>
              <w:rPr>
                <w:b w:val="0"/>
                <w:bCs/>
                <w:color w:val="auto"/>
                <w:sz w:val="21"/>
                <w:szCs w:val="21"/>
              </w:rPr>
              <w:t>/</w:t>
            </w:r>
          </w:p>
        </w:tc>
        <w:tc>
          <w:tcPr>
            <w:tcW w:w="886" w:type="dxa"/>
            <w:tcBorders>
              <w:tl2br w:val="nil"/>
              <w:tr2bl w:val="nil"/>
            </w:tcBorders>
            <w:vAlign w:val="center"/>
          </w:tcPr>
          <w:p>
            <w:pPr>
              <w:pStyle w:val="28"/>
              <w:pageBreakBefore w:val="0"/>
              <w:kinsoku/>
              <w:overflowPunct/>
              <w:bidi w:val="0"/>
              <w:spacing w:line="240" w:lineRule="auto"/>
              <w:rPr>
                <w:b w:val="0"/>
                <w:bCs/>
                <w:color w:val="auto"/>
                <w:sz w:val="21"/>
                <w:szCs w:val="21"/>
              </w:rPr>
            </w:pPr>
            <w:r>
              <w:rPr>
                <w:b w:val="0"/>
                <w:bCs/>
                <w:color w:val="auto"/>
                <w:sz w:val="21"/>
                <w:szCs w:val="21"/>
              </w:rPr>
              <w:t>/</w:t>
            </w:r>
          </w:p>
        </w:tc>
        <w:tc>
          <w:tcPr>
            <w:tcW w:w="1075" w:type="dxa"/>
            <w:tcBorders>
              <w:tl2br w:val="nil"/>
              <w:tr2bl w:val="nil"/>
            </w:tcBorders>
            <w:vAlign w:val="center"/>
          </w:tcPr>
          <w:p>
            <w:pPr>
              <w:pStyle w:val="28"/>
              <w:pageBreakBefore w:val="0"/>
              <w:kinsoku/>
              <w:overflowPunct/>
              <w:bidi w:val="0"/>
              <w:spacing w:line="240" w:lineRule="auto"/>
              <w:rPr>
                <w:rFonts w:hint="default" w:eastAsia="宋体"/>
                <w:b w:val="0"/>
                <w:bCs/>
                <w:color w:val="auto"/>
                <w:sz w:val="21"/>
                <w:szCs w:val="21"/>
                <w:lang w:val="en-US" w:eastAsia="zh-CN"/>
              </w:rPr>
            </w:pPr>
            <w:r>
              <w:rPr>
                <w:rFonts w:hint="eastAsia"/>
                <w:b w:val="0"/>
                <w:bCs/>
                <w:color w:val="auto"/>
                <w:sz w:val="21"/>
                <w:szCs w:val="21"/>
                <w:lang w:val="en-US" w:eastAsia="zh-CN"/>
              </w:rPr>
              <w:t>0.098</w:t>
            </w:r>
          </w:p>
        </w:tc>
        <w:tc>
          <w:tcPr>
            <w:tcW w:w="952" w:type="dxa"/>
            <w:tcBorders>
              <w:tl2br w:val="nil"/>
              <w:tr2bl w:val="nil"/>
            </w:tcBorders>
            <w:vAlign w:val="center"/>
          </w:tcPr>
          <w:p>
            <w:pPr>
              <w:pStyle w:val="28"/>
              <w:pageBreakBefore w:val="0"/>
              <w:kinsoku/>
              <w:overflowPunct/>
              <w:bidi w:val="0"/>
              <w:spacing w:line="240" w:lineRule="auto"/>
              <w:rPr>
                <w:rFonts w:hint="default" w:eastAsia="宋体"/>
                <w:b w:val="0"/>
                <w:bCs/>
                <w:color w:val="auto"/>
                <w:sz w:val="21"/>
                <w:szCs w:val="21"/>
                <w:lang w:val="en-US" w:eastAsia="zh-CN"/>
              </w:rPr>
            </w:pPr>
            <w:r>
              <w:rPr>
                <w:rFonts w:hint="eastAsia"/>
                <w:b w:val="0"/>
                <w:bCs/>
                <w:color w:val="auto"/>
                <w:sz w:val="21"/>
                <w:szCs w:val="21"/>
                <w:lang w:val="en-US" w:eastAsia="zh-CN"/>
              </w:rPr>
              <w:t>0.235</w:t>
            </w:r>
          </w:p>
        </w:tc>
        <w:tc>
          <w:tcPr>
            <w:tcW w:w="786" w:type="dxa"/>
            <w:tcBorders>
              <w:tl2br w:val="nil"/>
              <w:tr2bl w:val="nil"/>
            </w:tcBorders>
            <w:vAlign w:val="center"/>
          </w:tcPr>
          <w:p>
            <w:pPr>
              <w:pStyle w:val="28"/>
              <w:pageBreakBefore w:val="0"/>
              <w:kinsoku/>
              <w:overflowPunct/>
              <w:bidi w:val="0"/>
              <w:spacing w:line="240" w:lineRule="auto"/>
              <w:rPr>
                <w:b w:val="0"/>
                <w:bCs/>
                <w:color w:val="auto"/>
                <w:sz w:val="21"/>
                <w:szCs w:val="21"/>
              </w:rPr>
            </w:pPr>
            <w:r>
              <w:rPr>
                <w:b w:val="0"/>
                <w:bCs/>
                <w:color w:val="auto"/>
                <w:sz w:val="21"/>
                <w:szCs w:val="21"/>
              </w:rPr>
              <w:t>/</w:t>
            </w:r>
          </w:p>
        </w:tc>
        <w:tc>
          <w:tcPr>
            <w:tcW w:w="732" w:type="dxa"/>
            <w:tcBorders>
              <w:tl2br w:val="nil"/>
              <w:tr2bl w:val="nil"/>
            </w:tcBorders>
            <w:vAlign w:val="center"/>
          </w:tcPr>
          <w:p>
            <w:pPr>
              <w:pStyle w:val="28"/>
              <w:pageBreakBefore w:val="0"/>
              <w:kinsoku/>
              <w:overflowPunct/>
              <w:bidi w:val="0"/>
              <w:spacing w:line="240" w:lineRule="auto"/>
              <w:rPr>
                <w:b w:val="0"/>
                <w:bCs/>
                <w:color w:val="auto"/>
                <w:sz w:val="21"/>
                <w:szCs w:val="21"/>
              </w:rPr>
            </w:pPr>
            <w:r>
              <w:rPr>
                <w:b w:val="0"/>
                <w:bCs/>
                <w:color w:val="auto"/>
                <w:sz w:val="21"/>
                <w:szCs w:val="21"/>
              </w:rPr>
              <w:t>/</w:t>
            </w:r>
          </w:p>
        </w:tc>
        <w:tc>
          <w:tcPr>
            <w:tcW w:w="569" w:type="dxa"/>
            <w:tcBorders>
              <w:tl2br w:val="nil"/>
              <w:tr2bl w:val="nil"/>
            </w:tcBorders>
            <w:vAlign w:val="center"/>
          </w:tcPr>
          <w:p>
            <w:pPr>
              <w:pStyle w:val="28"/>
              <w:pageBreakBefore w:val="0"/>
              <w:kinsoku/>
              <w:overflowPunct/>
              <w:bidi w:val="0"/>
              <w:spacing w:line="240" w:lineRule="auto"/>
              <w:rPr>
                <w:b w:val="0"/>
                <w:bCs/>
                <w:color w:val="auto"/>
                <w:sz w:val="21"/>
                <w:szCs w:val="21"/>
              </w:rPr>
            </w:pPr>
            <w:r>
              <w:rPr>
                <w:b w:val="0"/>
                <w:bCs/>
                <w:color w:val="auto"/>
                <w:sz w:val="21"/>
                <w:szCs w:val="21"/>
              </w:rPr>
              <w:t>排污系数法</w:t>
            </w:r>
          </w:p>
        </w:tc>
        <w:tc>
          <w:tcPr>
            <w:tcW w:w="891" w:type="dxa"/>
            <w:tcBorders>
              <w:tl2br w:val="nil"/>
              <w:tr2bl w:val="nil"/>
            </w:tcBorders>
            <w:vAlign w:val="center"/>
          </w:tcPr>
          <w:p>
            <w:pPr>
              <w:pStyle w:val="28"/>
              <w:pageBreakBefore w:val="0"/>
              <w:kinsoku/>
              <w:overflowPunct/>
              <w:bidi w:val="0"/>
              <w:spacing w:line="240" w:lineRule="auto"/>
              <w:rPr>
                <w:b w:val="0"/>
                <w:bCs/>
                <w:color w:val="auto"/>
                <w:sz w:val="21"/>
                <w:szCs w:val="21"/>
              </w:rPr>
            </w:pPr>
            <w:r>
              <w:rPr>
                <w:b w:val="0"/>
                <w:bCs/>
                <w:color w:val="auto"/>
                <w:sz w:val="21"/>
                <w:szCs w:val="21"/>
              </w:rPr>
              <w:t>/</w:t>
            </w:r>
          </w:p>
        </w:tc>
        <w:tc>
          <w:tcPr>
            <w:tcW w:w="1011" w:type="dxa"/>
            <w:tcBorders>
              <w:tl2br w:val="nil"/>
              <w:tr2bl w:val="nil"/>
            </w:tcBorders>
            <w:vAlign w:val="center"/>
          </w:tcPr>
          <w:p>
            <w:pPr>
              <w:pStyle w:val="28"/>
              <w:pageBreakBefore w:val="0"/>
              <w:kinsoku/>
              <w:overflowPunct/>
              <w:bidi w:val="0"/>
              <w:spacing w:line="240" w:lineRule="auto"/>
              <w:rPr>
                <w:rFonts w:hint="eastAsia" w:eastAsia="宋体"/>
                <w:b w:val="0"/>
                <w:bCs/>
                <w:color w:val="auto"/>
                <w:sz w:val="21"/>
                <w:szCs w:val="21"/>
                <w:lang w:val="en-US" w:eastAsia="zh-CN"/>
              </w:rPr>
            </w:pPr>
            <w:r>
              <w:rPr>
                <w:rFonts w:hint="eastAsia"/>
                <w:b w:val="0"/>
                <w:bCs/>
                <w:color w:val="auto"/>
                <w:sz w:val="21"/>
                <w:szCs w:val="21"/>
                <w:lang w:val="en-US" w:eastAsia="zh-CN"/>
              </w:rPr>
              <w:t>/</w:t>
            </w:r>
          </w:p>
        </w:tc>
        <w:tc>
          <w:tcPr>
            <w:tcW w:w="1055" w:type="dxa"/>
            <w:tcBorders>
              <w:tl2br w:val="nil"/>
              <w:tr2bl w:val="nil"/>
            </w:tcBorders>
            <w:vAlign w:val="center"/>
          </w:tcPr>
          <w:p>
            <w:pPr>
              <w:pStyle w:val="28"/>
              <w:pageBreakBefore w:val="0"/>
              <w:kinsoku/>
              <w:overflowPunct/>
              <w:bidi w:val="0"/>
              <w:spacing w:line="240" w:lineRule="auto"/>
              <w:rPr>
                <w:rFonts w:hint="default" w:ascii="Times New Roman" w:hAnsi="Times New Roman" w:eastAsia="宋体" w:cs="Times New Roman"/>
                <w:b w:val="0"/>
                <w:bCs/>
                <w:color w:val="auto"/>
                <w:kern w:val="2"/>
                <w:sz w:val="21"/>
                <w:szCs w:val="21"/>
                <w:lang w:val="en-US" w:eastAsia="zh-CN" w:bidi="ar-SA"/>
              </w:rPr>
            </w:pPr>
            <w:r>
              <w:rPr>
                <w:rFonts w:hint="eastAsia"/>
                <w:b w:val="0"/>
                <w:bCs/>
                <w:color w:val="auto"/>
                <w:sz w:val="21"/>
                <w:szCs w:val="21"/>
                <w:lang w:val="en-US" w:eastAsia="zh-CN"/>
              </w:rPr>
              <w:t>0.098</w:t>
            </w:r>
          </w:p>
        </w:tc>
        <w:tc>
          <w:tcPr>
            <w:tcW w:w="954" w:type="dxa"/>
            <w:tcBorders>
              <w:tl2br w:val="nil"/>
              <w:tr2bl w:val="nil"/>
            </w:tcBorders>
            <w:vAlign w:val="center"/>
          </w:tcPr>
          <w:p>
            <w:pPr>
              <w:pStyle w:val="28"/>
              <w:pageBreakBefore w:val="0"/>
              <w:kinsoku/>
              <w:overflowPunct/>
              <w:bidi w:val="0"/>
              <w:spacing w:line="240" w:lineRule="auto"/>
              <w:rPr>
                <w:rFonts w:hint="default" w:ascii="Times New Roman" w:hAnsi="Times New Roman" w:eastAsia="宋体" w:cs="Times New Roman"/>
                <w:b w:val="0"/>
                <w:bCs/>
                <w:color w:val="auto"/>
                <w:kern w:val="2"/>
                <w:sz w:val="21"/>
                <w:szCs w:val="21"/>
                <w:lang w:val="en-US" w:eastAsia="zh-CN" w:bidi="ar-SA"/>
              </w:rPr>
            </w:pPr>
            <w:r>
              <w:rPr>
                <w:rFonts w:hint="eastAsia"/>
                <w:b w:val="0"/>
                <w:bCs/>
                <w:color w:val="auto"/>
                <w:sz w:val="21"/>
                <w:szCs w:val="21"/>
                <w:lang w:val="en-US" w:eastAsia="zh-CN"/>
              </w:rPr>
              <w:t>0.235</w:t>
            </w:r>
          </w:p>
        </w:tc>
        <w:tc>
          <w:tcPr>
            <w:tcW w:w="777" w:type="dxa"/>
            <w:tcBorders>
              <w:tl2br w:val="nil"/>
              <w:tr2bl w:val="nil"/>
            </w:tcBorders>
            <w:vAlign w:val="center"/>
          </w:tcPr>
          <w:p>
            <w:pPr>
              <w:pStyle w:val="28"/>
              <w:pageBreakBefore w:val="0"/>
              <w:kinsoku/>
              <w:overflowPunct/>
              <w:bidi w:val="0"/>
              <w:spacing w:line="240" w:lineRule="auto"/>
              <w:rPr>
                <w:rFonts w:hint="default" w:eastAsia="宋体"/>
                <w:b w:val="0"/>
                <w:bCs/>
                <w:color w:val="auto"/>
                <w:sz w:val="21"/>
                <w:szCs w:val="21"/>
                <w:lang w:val="en-US" w:eastAsia="zh-CN"/>
              </w:rPr>
            </w:pPr>
            <w:r>
              <w:rPr>
                <w:rFonts w:hint="eastAsia"/>
                <w:b w:val="0"/>
                <w:bCs/>
                <w:color w:val="auto"/>
                <w:sz w:val="21"/>
                <w:szCs w:val="21"/>
                <w:lang w:val="en-US" w:eastAsia="zh-CN"/>
              </w:rPr>
              <w:t>2400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784" w:type="dxa"/>
            <w:tcBorders>
              <w:tl2br w:val="nil"/>
              <w:tr2bl w:val="nil"/>
            </w:tcBorders>
            <w:vAlign w:val="center"/>
          </w:tcPr>
          <w:p>
            <w:pPr>
              <w:pStyle w:val="28"/>
              <w:pageBreakBefore w:val="0"/>
              <w:kinsoku/>
              <w:overflowPunct/>
              <w:bidi w:val="0"/>
              <w:spacing w:line="240" w:lineRule="auto"/>
              <w:rPr>
                <w:rFonts w:hint="default" w:eastAsia="宋体"/>
                <w:b w:val="0"/>
                <w:bCs/>
                <w:color w:val="auto"/>
                <w:sz w:val="21"/>
                <w:szCs w:val="21"/>
                <w:lang w:val="en-US" w:eastAsia="zh-CN"/>
              </w:rPr>
            </w:pPr>
            <w:r>
              <w:rPr>
                <w:rFonts w:hint="eastAsia"/>
                <w:b w:val="0"/>
                <w:bCs/>
                <w:color w:val="auto"/>
                <w:sz w:val="21"/>
                <w:szCs w:val="21"/>
                <w:lang w:val="en-US" w:eastAsia="zh-CN"/>
              </w:rPr>
              <w:t>制冷剂废气</w:t>
            </w:r>
          </w:p>
        </w:tc>
        <w:tc>
          <w:tcPr>
            <w:tcW w:w="784" w:type="dxa"/>
            <w:tcBorders>
              <w:tl2br w:val="nil"/>
              <w:tr2bl w:val="nil"/>
            </w:tcBorders>
            <w:vAlign w:val="center"/>
          </w:tcPr>
          <w:p>
            <w:pPr>
              <w:pStyle w:val="28"/>
              <w:pageBreakBefore w:val="0"/>
              <w:kinsoku/>
              <w:overflowPunct/>
              <w:bidi w:val="0"/>
              <w:spacing w:line="240" w:lineRule="auto"/>
              <w:rPr>
                <w:rFonts w:hint="eastAsia"/>
                <w:b w:val="0"/>
                <w:bCs/>
                <w:color w:val="auto"/>
                <w:sz w:val="21"/>
                <w:szCs w:val="21"/>
                <w:lang w:val="en-US" w:eastAsia="zh-CN"/>
              </w:rPr>
            </w:pPr>
            <w:r>
              <w:rPr>
                <w:b w:val="0"/>
                <w:bCs/>
                <w:color w:val="auto"/>
                <w:sz w:val="21"/>
                <w:szCs w:val="21"/>
              </w:rPr>
              <w:t>/</w:t>
            </w:r>
          </w:p>
        </w:tc>
        <w:tc>
          <w:tcPr>
            <w:tcW w:w="567" w:type="dxa"/>
            <w:tcBorders>
              <w:tl2br w:val="nil"/>
              <w:tr2bl w:val="nil"/>
            </w:tcBorders>
            <w:vAlign w:val="center"/>
          </w:tcPr>
          <w:p>
            <w:pPr>
              <w:pStyle w:val="28"/>
              <w:pageBreakBefore w:val="0"/>
              <w:kinsoku/>
              <w:overflowPunct/>
              <w:bidi w:val="0"/>
              <w:spacing w:line="240" w:lineRule="auto"/>
              <w:rPr>
                <w:rFonts w:hint="eastAsia"/>
                <w:b w:val="0"/>
                <w:bCs/>
                <w:color w:val="auto"/>
                <w:sz w:val="21"/>
                <w:szCs w:val="21"/>
              </w:rPr>
            </w:pPr>
            <w:r>
              <w:rPr>
                <w:b w:val="0"/>
                <w:bCs/>
                <w:color w:val="auto"/>
                <w:sz w:val="21"/>
                <w:szCs w:val="21"/>
              </w:rPr>
              <w:t>无组织</w:t>
            </w:r>
          </w:p>
        </w:tc>
        <w:tc>
          <w:tcPr>
            <w:tcW w:w="891" w:type="dxa"/>
            <w:tcBorders>
              <w:tl2br w:val="nil"/>
              <w:tr2bl w:val="nil"/>
            </w:tcBorders>
            <w:vAlign w:val="center"/>
          </w:tcPr>
          <w:p>
            <w:pPr>
              <w:pStyle w:val="28"/>
              <w:pageBreakBefore w:val="0"/>
              <w:kinsoku/>
              <w:overflowPunct/>
              <w:bidi w:val="0"/>
              <w:spacing w:line="240" w:lineRule="auto"/>
              <w:rPr>
                <w:b w:val="0"/>
                <w:bCs/>
                <w:color w:val="auto"/>
                <w:sz w:val="21"/>
                <w:szCs w:val="21"/>
              </w:rPr>
            </w:pPr>
            <w:r>
              <w:rPr>
                <w:rFonts w:hint="eastAsia"/>
                <w:b w:val="0"/>
                <w:bCs/>
                <w:color w:val="auto"/>
                <w:sz w:val="21"/>
                <w:szCs w:val="21"/>
                <w:lang w:val="en-US" w:eastAsia="zh-CN"/>
              </w:rPr>
              <w:t>NMHC</w:t>
            </w:r>
          </w:p>
        </w:tc>
        <w:tc>
          <w:tcPr>
            <w:tcW w:w="569" w:type="dxa"/>
            <w:tcBorders>
              <w:tl2br w:val="nil"/>
              <w:tr2bl w:val="nil"/>
            </w:tcBorders>
            <w:vAlign w:val="center"/>
          </w:tcPr>
          <w:p>
            <w:pPr>
              <w:pStyle w:val="28"/>
              <w:pageBreakBefore w:val="0"/>
              <w:kinsoku/>
              <w:overflowPunct/>
              <w:bidi w:val="0"/>
              <w:spacing w:line="240" w:lineRule="auto"/>
              <w:rPr>
                <w:rFonts w:hint="default" w:eastAsia="宋体"/>
                <w:b w:val="0"/>
                <w:bCs/>
                <w:color w:val="auto"/>
                <w:sz w:val="21"/>
                <w:szCs w:val="21"/>
                <w:lang w:val="en-US" w:eastAsia="zh-CN"/>
              </w:rPr>
            </w:pPr>
            <w:r>
              <w:rPr>
                <w:rFonts w:hint="eastAsia"/>
                <w:b w:val="0"/>
                <w:bCs/>
                <w:color w:val="auto"/>
                <w:sz w:val="21"/>
                <w:szCs w:val="21"/>
                <w:lang w:val="en-US" w:eastAsia="zh-CN"/>
              </w:rPr>
              <w:t>类比法</w:t>
            </w:r>
          </w:p>
        </w:tc>
        <w:tc>
          <w:tcPr>
            <w:tcW w:w="891" w:type="dxa"/>
            <w:tcBorders>
              <w:tl2br w:val="nil"/>
              <w:tr2bl w:val="nil"/>
            </w:tcBorders>
            <w:vAlign w:val="center"/>
          </w:tcPr>
          <w:p>
            <w:pPr>
              <w:pStyle w:val="28"/>
              <w:pageBreakBefore w:val="0"/>
              <w:kinsoku/>
              <w:overflowPunct/>
              <w:bidi w:val="0"/>
              <w:spacing w:line="240" w:lineRule="auto"/>
              <w:rPr>
                <w:b w:val="0"/>
                <w:bCs/>
                <w:color w:val="auto"/>
                <w:sz w:val="21"/>
                <w:szCs w:val="21"/>
              </w:rPr>
            </w:pPr>
            <w:r>
              <w:rPr>
                <w:b w:val="0"/>
                <w:bCs/>
                <w:color w:val="auto"/>
                <w:sz w:val="21"/>
                <w:szCs w:val="21"/>
              </w:rPr>
              <w:t>/</w:t>
            </w:r>
          </w:p>
        </w:tc>
        <w:tc>
          <w:tcPr>
            <w:tcW w:w="886" w:type="dxa"/>
            <w:tcBorders>
              <w:tl2br w:val="nil"/>
              <w:tr2bl w:val="nil"/>
            </w:tcBorders>
            <w:vAlign w:val="center"/>
          </w:tcPr>
          <w:p>
            <w:pPr>
              <w:pStyle w:val="28"/>
              <w:pageBreakBefore w:val="0"/>
              <w:kinsoku/>
              <w:overflowPunct/>
              <w:bidi w:val="0"/>
              <w:spacing w:line="240" w:lineRule="auto"/>
              <w:rPr>
                <w:b w:val="0"/>
                <w:bCs/>
                <w:color w:val="auto"/>
                <w:sz w:val="21"/>
                <w:szCs w:val="21"/>
              </w:rPr>
            </w:pPr>
            <w:r>
              <w:rPr>
                <w:b w:val="0"/>
                <w:bCs/>
                <w:color w:val="auto"/>
                <w:sz w:val="21"/>
                <w:szCs w:val="21"/>
              </w:rPr>
              <w:t>/</w:t>
            </w:r>
          </w:p>
        </w:tc>
        <w:tc>
          <w:tcPr>
            <w:tcW w:w="1075" w:type="dxa"/>
            <w:tcBorders>
              <w:tl2br w:val="nil"/>
              <w:tr2bl w:val="nil"/>
            </w:tcBorders>
            <w:vAlign w:val="center"/>
          </w:tcPr>
          <w:p>
            <w:pPr>
              <w:pStyle w:val="28"/>
              <w:pageBreakBefore w:val="0"/>
              <w:kinsoku/>
              <w:overflowPunct/>
              <w:bidi w:val="0"/>
              <w:spacing w:line="240" w:lineRule="auto"/>
              <w:rPr>
                <w:rFonts w:hint="default"/>
                <w:b w:val="0"/>
                <w:bCs/>
                <w:color w:val="auto"/>
                <w:sz w:val="21"/>
                <w:szCs w:val="21"/>
                <w:lang w:val="en-US" w:eastAsia="zh-CN"/>
              </w:rPr>
            </w:pPr>
            <w:r>
              <w:rPr>
                <w:rFonts w:hint="eastAsia"/>
                <w:b w:val="0"/>
                <w:bCs/>
                <w:color w:val="auto"/>
                <w:sz w:val="21"/>
                <w:szCs w:val="21"/>
                <w:lang w:val="en-US" w:eastAsia="zh-CN"/>
              </w:rPr>
              <w:t>0.00042</w:t>
            </w:r>
          </w:p>
        </w:tc>
        <w:tc>
          <w:tcPr>
            <w:tcW w:w="952" w:type="dxa"/>
            <w:tcBorders>
              <w:tl2br w:val="nil"/>
              <w:tr2bl w:val="nil"/>
            </w:tcBorders>
            <w:vAlign w:val="center"/>
          </w:tcPr>
          <w:p>
            <w:pPr>
              <w:pStyle w:val="28"/>
              <w:pageBreakBefore w:val="0"/>
              <w:kinsoku/>
              <w:overflowPunct/>
              <w:bidi w:val="0"/>
              <w:spacing w:line="240" w:lineRule="auto"/>
              <w:rPr>
                <w:rFonts w:hint="default" w:eastAsia="宋体"/>
                <w:b w:val="0"/>
                <w:bCs/>
                <w:color w:val="auto"/>
                <w:sz w:val="21"/>
                <w:szCs w:val="21"/>
                <w:lang w:val="en-US" w:eastAsia="zh-CN"/>
              </w:rPr>
            </w:pPr>
            <w:r>
              <w:rPr>
                <w:rFonts w:hint="eastAsia"/>
                <w:b w:val="0"/>
                <w:bCs/>
                <w:color w:val="auto"/>
                <w:sz w:val="21"/>
                <w:szCs w:val="21"/>
                <w:lang w:val="en-US" w:eastAsia="zh-CN"/>
              </w:rPr>
              <w:t>0.001</w:t>
            </w:r>
          </w:p>
        </w:tc>
        <w:tc>
          <w:tcPr>
            <w:tcW w:w="786" w:type="dxa"/>
            <w:tcBorders>
              <w:tl2br w:val="nil"/>
              <w:tr2bl w:val="nil"/>
            </w:tcBorders>
            <w:vAlign w:val="center"/>
          </w:tcPr>
          <w:p>
            <w:pPr>
              <w:pStyle w:val="28"/>
              <w:pageBreakBefore w:val="0"/>
              <w:kinsoku/>
              <w:overflowPunct/>
              <w:bidi w:val="0"/>
              <w:spacing w:line="240" w:lineRule="auto"/>
              <w:rPr>
                <w:rFonts w:hint="eastAsia"/>
                <w:b w:val="0"/>
                <w:bCs/>
                <w:color w:val="auto"/>
                <w:sz w:val="21"/>
                <w:szCs w:val="21"/>
              </w:rPr>
            </w:pPr>
            <w:r>
              <w:rPr>
                <w:b w:val="0"/>
                <w:bCs/>
                <w:color w:val="auto"/>
                <w:sz w:val="21"/>
                <w:szCs w:val="21"/>
              </w:rPr>
              <w:t>/</w:t>
            </w:r>
          </w:p>
        </w:tc>
        <w:tc>
          <w:tcPr>
            <w:tcW w:w="732" w:type="dxa"/>
            <w:tcBorders>
              <w:tl2br w:val="nil"/>
              <w:tr2bl w:val="nil"/>
            </w:tcBorders>
            <w:vAlign w:val="center"/>
          </w:tcPr>
          <w:p>
            <w:pPr>
              <w:pStyle w:val="28"/>
              <w:pageBreakBefore w:val="0"/>
              <w:kinsoku/>
              <w:overflowPunct/>
              <w:bidi w:val="0"/>
              <w:spacing w:line="240" w:lineRule="auto"/>
              <w:rPr>
                <w:rFonts w:hint="eastAsia"/>
                <w:b w:val="0"/>
                <w:bCs/>
                <w:color w:val="auto"/>
                <w:sz w:val="21"/>
                <w:szCs w:val="21"/>
                <w:lang w:val="en-US" w:eastAsia="zh-CN"/>
              </w:rPr>
            </w:pPr>
            <w:r>
              <w:rPr>
                <w:b w:val="0"/>
                <w:bCs/>
                <w:color w:val="auto"/>
                <w:sz w:val="21"/>
                <w:szCs w:val="21"/>
              </w:rPr>
              <w:t>/</w:t>
            </w:r>
          </w:p>
        </w:tc>
        <w:tc>
          <w:tcPr>
            <w:tcW w:w="569" w:type="dxa"/>
            <w:tcBorders>
              <w:tl2br w:val="nil"/>
              <w:tr2bl w:val="nil"/>
            </w:tcBorders>
            <w:vAlign w:val="center"/>
          </w:tcPr>
          <w:p>
            <w:pPr>
              <w:pStyle w:val="28"/>
              <w:pageBreakBefore w:val="0"/>
              <w:kinsoku/>
              <w:overflowPunct/>
              <w:bidi w:val="0"/>
              <w:spacing w:line="240" w:lineRule="auto"/>
              <w:rPr>
                <w:b w:val="0"/>
                <w:bCs/>
                <w:color w:val="auto"/>
                <w:sz w:val="21"/>
                <w:szCs w:val="21"/>
              </w:rPr>
            </w:pPr>
            <w:r>
              <w:rPr>
                <w:b w:val="0"/>
                <w:bCs/>
                <w:color w:val="auto"/>
                <w:sz w:val="21"/>
                <w:szCs w:val="21"/>
              </w:rPr>
              <w:t>/</w:t>
            </w:r>
          </w:p>
        </w:tc>
        <w:tc>
          <w:tcPr>
            <w:tcW w:w="891" w:type="dxa"/>
            <w:tcBorders>
              <w:tl2br w:val="nil"/>
              <w:tr2bl w:val="nil"/>
            </w:tcBorders>
            <w:vAlign w:val="center"/>
          </w:tcPr>
          <w:p>
            <w:pPr>
              <w:pStyle w:val="28"/>
              <w:pageBreakBefore w:val="0"/>
              <w:kinsoku/>
              <w:overflowPunct/>
              <w:bidi w:val="0"/>
              <w:spacing w:line="240" w:lineRule="auto"/>
              <w:rPr>
                <w:rFonts w:hint="eastAsia"/>
                <w:b w:val="0"/>
                <w:bCs/>
                <w:color w:val="auto"/>
                <w:sz w:val="21"/>
                <w:szCs w:val="21"/>
              </w:rPr>
            </w:pPr>
            <w:r>
              <w:rPr>
                <w:b w:val="0"/>
                <w:bCs/>
                <w:color w:val="auto"/>
                <w:sz w:val="21"/>
                <w:szCs w:val="21"/>
              </w:rPr>
              <w:t>/</w:t>
            </w:r>
          </w:p>
        </w:tc>
        <w:tc>
          <w:tcPr>
            <w:tcW w:w="1011" w:type="dxa"/>
            <w:tcBorders>
              <w:tl2br w:val="nil"/>
              <w:tr2bl w:val="nil"/>
            </w:tcBorders>
            <w:vAlign w:val="center"/>
          </w:tcPr>
          <w:p>
            <w:pPr>
              <w:pStyle w:val="28"/>
              <w:pageBreakBefore w:val="0"/>
              <w:kinsoku/>
              <w:overflowPunct/>
              <w:bidi w:val="0"/>
              <w:spacing w:line="240" w:lineRule="auto"/>
              <w:rPr>
                <w:rFonts w:hint="eastAsia"/>
                <w:b w:val="0"/>
                <w:bCs/>
                <w:color w:val="auto"/>
                <w:sz w:val="21"/>
                <w:szCs w:val="21"/>
                <w:lang w:val="en-US" w:eastAsia="zh-CN"/>
              </w:rPr>
            </w:pPr>
            <w:r>
              <w:rPr>
                <w:b w:val="0"/>
                <w:bCs/>
                <w:color w:val="auto"/>
                <w:sz w:val="21"/>
                <w:szCs w:val="21"/>
              </w:rPr>
              <w:t>/</w:t>
            </w:r>
          </w:p>
        </w:tc>
        <w:tc>
          <w:tcPr>
            <w:tcW w:w="1055" w:type="dxa"/>
            <w:tcBorders>
              <w:tl2br w:val="nil"/>
              <w:tr2bl w:val="nil"/>
            </w:tcBorders>
            <w:vAlign w:val="center"/>
          </w:tcPr>
          <w:p>
            <w:pPr>
              <w:pStyle w:val="28"/>
              <w:pageBreakBefore w:val="0"/>
              <w:kinsoku/>
              <w:overflowPunct/>
              <w:bidi w:val="0"/>
              <w:spacing w:line="240" w:lineRule="auto"/>
              <w:rPr>
                <w:rFonts w:hint="eastAsia"/>
                <w:b w:val="0"/>
                <w:bCs/>
                <w:color w:val="auto"/>
                <w:sz w:val="21"/>
                <w:szCs w:val="21"/>
                <w:lang w:val="en-US" w:eastAsia="zh-CN"/>
              </w:rPr>
            </w:pPr>
            <w:r>
              <w:rPr>
                <w:rFonts w:hint="eastAsia"/>
                <w:b w:val="0"/>
                <w:bCs/>
                <w:color w:val="auto"/>
                <w:sz w:val="21"/>
                <w:szCs w:val="21"/>
                <w:lang w:val="en-US" w:eastAsia="zh-CN"/>
              </w:rPr>
              <w:t>0.00042</w:t>
            </w:r>
          </w:p>
        </w:tc>
        <w:tc>
          <w:tcPr>
            <w:tcW w:w="954" w:type="dxa"/>
            <w:tcBorders>
              <w:tl2br w:val="nil"/>
              <w:tr2bl w:val="nil"/>
            </w:tcBorders>
            <w:vAlign w:val="center"/>
          </w:tcPr>
          <w:p>
            <w:pPr>
              <w:pStyle w:val="28"/>
              <w:pageBreakBefore w:val="0"/>
              <w:kinsoku/>
              <w:overflowPunct/>
              <w:bidi w:val="0"/>
              <w:spacing w:line="240" w:lineRule="auto"/>
              <w:rPr>
                <w:rFonts w:hint="eastAsia"/>
                <w:b w:val="0"/>
                <w:bCs/>
                <w:color w:val="auto"/>
                <w:sz w:val="21"/>
                <w:szCs w:val="21"/>
                <w:lang w:val="en-US" w:eastAsia="zh-CN"/>
              </w:rPr>
            </w:pPr>
            <w:r>
              <w:rPr>
                <w:rFonts w:hint="eastAsia"/>
                <w:b w:val="0"/>
                <w:bCs/>
                <w:color w:val="auto"/>
                <w:sz w:val="21"/>
                <w:szCs w:val="21"/>
                <w:lang w:val="en-US" w:eastAsia="zh-CN"/>
              </w:rPr>
              <w:t>0.001</w:t>
            </w:r>
          </w:p>
        </w:tc>
        <w:tc>
          <w:tcPr>
            <w:tcW w:w="777" w:type="dxa"/>
            <w:tcBorders>
              <w:tl2br w:val="nil"/>
              <w:tr2bl w:val="nil"/>
            </w:tcBorders>
            <w:vAlign w:val="center"/>
          </w:tcPr>
          <w:p>
            <w:pPr>
              <w:pStyle w:val="28"/>
              <w:pageBreakBefore w:val="0"/>
              <w:kinsoku/>
              <w:overflowPunct/>
              <w:bidi w:val="0"/>
              <w:spacing w:line="240" w:lineRule="auto"/>
              <w:rPr>
                <w:rFonts w:hint="eastAsia"/>
                <w:b w:val="0"/>
                <w:bCs/>
                <w:color w:val="auto"/>
                <w:sz w:val="21"/>
                <w:szCs w:val="21"/>
                <w:lang w:val="en-US" w:eastAsia="zh-CN"/>
              </w:rPr>
            </w:pPr>
            <w:r>
              <w:rPr>
                <w:rFonts w:hint="eastAsia"/>
                <w:b w:val="0"/>
                <w:bCs/>
                <w:color w:val="auto"/>
                <w:sz w:val="21"/>
                <w:szCs w:val="21"/>
                <w:lang w:val="en-US" w:eastAsia="zh-CN"/>
              </w:rPr>
              <w:t>2400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784" w:type="dxa"/>
            <w:tcBorders>
              <w:tl2br w:val="nil"/>
              <w:tr2bl w:val="nil"/>
            </w:tcBorders>
            <w:vAlign w:val="center"/>
          </w:tcPr>
          <w:p>
            <w:pPr>
              <w:pStyle w:val="28"/>
              <w:pageBreakBefore w:val="0"/>
              <w:kinsoku/>
              <w:overflowPunct/>
              <w:bidi w:val="0"/>
              <w:spacing w:line="240" w:lineRule="auto"/>
              <w:rPr>
                <w:rFonts w:hint="default"/>
                <w:b w:val="0"/>
                <w:bCs/>
                <w:color w:val="auto"/>
                <w:sz w:val="21"/>
                <w:szCs w:val="21"/>
                <w:lang w:val="en-US" w:eastAsia="zh-CN"/>
              </w:rPr>
            </w:pPr>
            <w:r>
              <w:rPr>
                <w:rFonts w:hint="eastAsia"/>
                <w:b w:val="0"/>
                <w:bCs/>
                <w:color w:val="auto"/>
                <w:sz w:val="21"/>
                <w:szCs w:val="21"/>
                <w:lang w:val="en-US" w:eastAsia="zh-CN"/>
              </w:rPr>
              <w:t>拆解粉尘</w:t>
            </w:r>
          </w:p>
        </w:tc>
        <w:tc>
          <w:tcPr>
            <w:tcW w:w="784" w:type="dxa"/>
            <w:tcBorders>
              <w:tl2br w:val="nil"/>
              <w:tr2bl w:val="nil"/>
            </w:tcBorders>
            <w:vAlign w:val="center"/>
          </w:tcPr>
          <w:p>
            <w:pPr>
              <w:pStyle w:val="28"/>
              <w:pageBreakBefore w:val="0"/>
              <w:kinsoku/>
              <w:overflowPunct/>
              <w:bidi w:val="0"/>
              <w:spacing w:line="240" w:lineRule="auto"/>
              <w:rPr>
                <w:rFonts w:hint="eastAsia"/>
                <w:b w:val="0"/>
                <w:bCs/>
                <w:color w:val="auto"/>
                <w:sz w:val="21"/>
                <w:szCs w:val="21"/>
                <w:lang w:val="en-US" w:eastAsia="zh-CN"/>
              </w:rPr>
            </w:pPr>
            <w:r>
              <w:rPr>
                <w:b w:val="0"/>
                <w:bCs/>
                <w:color w:val="auto"/>
                <w:sz w:val="21"/>
                <w:szCs w:val="21"/>
              </w:rPr>
              <w:t>/</w:t>
            </w:r>
          </w:p>
        </w:tc>
        <w:tc>
          <w:tcPr>
            <w:tcW w:w="567" w:type="dxa"/>
            <w:tcBorders>
              <w:tl2br w:val="nil"/>
              <w:tr2bl w:val="nil"/>
            </w:tcBorders>
            <w:vAlign w:val="center"/>
          </w:tcPr>
          <w:p>
            <w:pPr>
              <w:pStyle w:val="28"/>
              <w:pageBreakBefore w:val="0"/>
              <w:kinsoku/>
              <w:overflowPunct/>
              <w:bidi w:val="0"/>
              <w:spacing w:line="240" w:lineRule="auto"/>
              <w:rPr>
                <w:rFonts w:hint="eastAsia"/>
                <w:b w:val="0"/>
                <w:bCs/>
                <w:color w:val="auto"/>
                <w:sz w:val="21"/>
                <w:szCs w:val="21"/>
              </w:rPr>
            </w:pPr>
            <w:r>
              <w:rPr>
                <w:b w:val="0"/>
                <w:bCs/>
                <w:color w:val="auto"/>
                <w:sz w:val="21"/>
                <w:szCs w:val="21"/>
              </w:rPr>
              <w:t>无组织</w:t>
            </w:r>
          </w:p>
        </w:tc>
        <w:tc>
          <w:tcPr>
            <w:tcW w:w="891" w:type="dxa"/>
            <w:tcBorders>
              <w:tl2br w:val="nil"/>
              <w:tr2bl w:val="nil"/>
            </w:tcBorders>
            <w:vAlign w:val="center"/>
          </w:tcPr>
          <w:p>
            <w:pPr>
              <w:pStyle w:val="28"/>
              <w:pageBreakBefore w:val="0"/>
              <w:kinsoku/>
              <w:overflowPunct/>
              <w:bidi w:val="0"/>
              <w:spacing w:line="240" w:lineRule="auto"/>
              <w:rPr>
                <w:b w:val="0"/>
                <w:bCs/>
                <w:color w:val="auto"/>
                <w:sz w:val="21"/>
                <w:szCs w:val="21"/>
              </w:rPr>
            </w:pPr>
            <w:r>
              <w:rPr>
                <w:b w:val="0"/>
                <w:bCs/>
                <w:color w:val="auto"/>
                <w:sz w:val="21"/>
                <w:szCs w:val="21"/>
              </w:rPr>
              <w:t>颗粒物</w:t>
            </w:r>
          </w:p>
        </w:tc>
        <w:tc>
          <w:tcPr>
            <w:tcW w:w="569" w:type="dxa"/>
            <w:tcBorders>
              <w:tl2br w:val="nil"/>
              <w:tr2bl w:val="nil"/>
            </w:tcBorders>
            <w:vAlign w:val="center"/>
          </w:tcPr>
          <w:p>
            <w:pPr>
              <w:pStyle w:val="28"/>
              <w:pageBreakBefore w:val="0"/>
              <w:kinsoku/>
              <w:overflowPunct/>
              <w:bidi w:val="0"/>
              <w:spacing w:line="240" w:lineRule="auto"/>
              <w:rPr>
                <w:b w:val="0"/>
                <w:bCs/>
                <w:color w:val="auto"/>
                <w:sz w:val="21"/>
                <w:szCs w:val="21"/>
              </w:rPr>
            </w:pPr>
            <w:r>
              <w:rPr>
                <w:rFonts w:hint="eastAsia"/>
                <w:b w:val="0"/>
                <w:bCs/>
                <w:color w:val="auto"/>
                <w:sz w:val="21"/>
                <w:szCs w:val="21"/>
                <w:lang w:val="en-US" w:eastAsia="zh-CN"/>
              </w:rPr>
              <w:t>类比法</w:t>
            </w:r>
          </w:p>
        </w:tc>
        <w:tc>
          <w:tcPr>
            <w:tcW w:w="891" w:type="dxa"/>
            <w:tcBorders>
              <w:tl2br w:val="nil"/>
              <w:tr2bl w:val="nil"/>
            </w:tcBorders>
            <w:vAlign w:val="center"/>
          </w:tcPr>
          <w:p>
            <w:pPr>
              <w:pStyle w:val="28"/>
              <w:pageBreakBefore w:val="0"/>
              <w:kinsoku/>
              <w:overflowPunct/>
              <w:bidi w:val="0"/>
              <w:spacing w:line="240" w:lineRule="auto"/>
              <w:rPr>
                <w:b w:val="0"/>
                <w:bCs/>
                <w:color w:val="auto"/>
                <w:sz w:val="21"/>
                <w:szCs w:val="21"/>
              </w:rPr>
            </w:pPr>
            <w:r>
              <w:rPr>
                <w:b w:val="0"/>
                <w:bCs/>
                <w:color w:val="auto"/>
                <w:sz w:val="21"/>
                <w:szCs w:val="21"/>
              </w:rPr>
              <w:t>/</w:t>
            </w:r>
          </w:p>
        </w:tc>
        <w:tc>
          <w:tcPr>
            <w:tcW w:w="886" w:type="dxa"/>
            <w:tcBorders>
              <w:tl2br w:val="nil"/>
              <w:tr2bl w:val="nil"/>
            </w:tcBorders>
            <w:vAlign w:val="center"/>
          </w:tcPr>
          <w:p>
            <w:pPr>
              <w:pStyle w:val="28"/>
              <w:pageBreakBefore w:val="0"/>
              <w:kinsoku/>
              <w:overflowPunct/>
              <w:bidi w:val="0"/>
              <w:spacing w:line="240" w:lineRule="auto"/>
              <w:rPr>
                <w:b w:val="0"/>
                <w:bCs/>
                <w:color w:val="auto"/>
                <w:sz w:val="21"/>
                <w:szCs w:val="21"/>
              </w:rPr>
            </w:pPr>
            <w:r>
              <w:rPr>
                <w:b w:val="0"/>
                <w:bCs/>
                <w:color w:val="auto"/>
                <w:sz w:val="21"/>
                <w:szCs w:val="21"/>
              </w:rPr>
              <w:t>/</w:t>
            </w:r>
          </w:p>
        </w:tc>
        <w:tc>
          <w:tcPr>
            <w:tcW w:w="1075" w:type="dxa"/>
            <w:tcBorders>
              <w:tl2br w:val="nil"/>
              <w:tr2bl w:val="nil"/>
            </w:tcBorders>
            <w:vAlign w:val="center"/>
          </w:tcPr>
          <w:p>
            <w:pPr>
              <w:pStyle w:val="28"/>
              <w:pageBreakBefore w:val="0"/>
              <w:kinsoku/>
              <w:overflowPunct/>
              <w:bidi w:val="0"/>
              <w:spacing w:line="240" w:lineRule="auto"/>
              <w:rPr>
                <w:rFonts w:hint="default"/>
                <w:b w:val="0"/>
                <w:bCs/>
                <w:color w:val="auto"/>
                <w:sz w:val="21"/>
                <w:szCs w:val="21"/>
                <w:lang w:val="en-US" w:eastAsia="zh-CN"/>
              </w:rPr>
            </w:pPr>
            <w:r>
              <w:rPr>
                <w:rFonts w:hint="eastAsia"/>
                <w:b w:val="0"/>
                <w:bCs/>
                <w:color w:val="auto"/>
                <w:sz w:val="21"/>
                <w:szCs w:val="21"/>
                <w:lang w:val="en-US" w:eastAsia="zh-CN"/>
              </w:rPr>
              <w:t>0.00125</w:t>
            </w:r>
          </w:p>
        </w:tc>
        <w:tc>
          <w:tcPr>
            <w:tcW w:w="952" w:type="dxa"/>
            <w:tcBorders>
              <w:tl2br w:val="nil"/>
              <w:tr2bl w:val="nil"/>
            </w:tcBorders>
            <w:vAlign w:val="center"/>
          </w:tcPr>
          <w:p>
            <w:pPr>
              <w:pStyle w:val="28"/>
              <w:pageBreakBefore w:val="0"/>
              <w:kinsoku/>
              <w:overflowPunct/>
              <w:bidi w:val="0"/>
              <w:spacing w:line="240" w:lineRule="auto"/>
              <w:rPr>
                <w:rFonts w:hint="eastAsia"/>
                <w:b w:val="0"/>
                <w:bCs/>
                <w:color w:val="auto"/>
                <w:sz w:val="21"/>
                <w:szCs w:val="21"/>
              </w:rPr>
            </w:pPr>
            <w:r>
              <w:rPr>
                <w:rFonts w:hint="eastAsia"/>
                <w:b w:val="0"/>
                <w:bCs/>
                <w:color w:val="auto"/>
                <w:sz w:val="21"/>
                <w:szCs w:val="21"/>
                <w:lang w:val="en-US" w:eastAsia="zh-CN"/>
              </w:rPr>
              <w:t>0.003</w:t>
            </w:r>
          </w:p>
        </w:tc>
        <w:tc>
          <w:tcPr>
            <w:tcW w:w="786" w:type="dxa"/>
            <w:tcBorders>
              <w:tl2br w:val="nil"/>
              <w:tr2bl w:val="nil"/>
            </w:tcBorders>
            <w:vAlign w:val="center"/>
          </w:tcPr>
          <w:p>
            <w:pPr>
              <w:pStyle w:val="28"/>
              <w:pageBreakBefore w:val="0"/>
              <w:kinsoku/>
              <w:overflowPunct/>
              <w:bidi w:val="0"/>
              <w:spacing w:line="240" w:lineRule="auto"/>
              <w:rPr>
                <w:rFonts w:hint="eastAsia"/>
                <w:b w:val="0"/>
                <w:bCs/>
                <w:color w:val="auto"/>
                <w:sz w:val="21"/>
                <w:szCs w:val="21"/>
              </w:rPr>
            </w:pPr>
            <w:r>
              <w:rPr>
                <w:b w:val="0"/>
                <w:bCs/>
                <w:color w:val="auto"/>
                <w:sz w:val="21"/>
                <w:szCs w:val="21"/>
              </w:rPr>
              <w:t>/</w:t>
            </w:r>
          </w:p>
        </w:tc>
        <w:tc>
          <w:tcPr>
            <w:tcW w:w="732" w:type="dxa"/>
            <w:tcBorders>
              <w:tl2br w:val="nil"/>
              <w:tr2bl w:val="nil"/>
            </w:tcBorders>
            <w:vAlign w:val="center"/>
          </w:tcPr>
          <w:p>
            <w:pPr>
              <w:pStyle w:val="28"/>
              <w:pageBreakBefore w:val="0"/>
              <w:kinsoku/>
              <w:overflowPunct/>
              <w:bidi w:val="0"/>
              <w:spacing w:line="240" w:lineRule="auto"/>
              <w:rPr>
                <w:rFonts w:hint="eastAsia"/>
                <w:b w:val="0"/>
                <w:bCs/>
                <w:color w:val="auto"/>
                <w:sz w:val="21"/>
                <w:szCs w:val="21"/>
                <w:lang w:val="en-US" w:eastAsia="zh-CN"/>
              </w:rPr>
            </w:pPr>
            <w:r>
              <w:rPr>
                <w:b w:val="0"/>
                <w:bCs/>
                <w:color w:val="auto"/>
                <w:sz w:val="21"/>
                <w:szCs w:val="21"/>
              </w:rPr>
              <w:t>/</w:t>
            </w:r>
          </w:p>
        </w:tc>
        <w:tc>
          <w:tcPr>
            <w:tcW w:w="569" w:type="dxa"/>
            <w:tcBorders>
              <w:tl2br w:val="nil"/>
              <w:tr2bl w:val="nil"/>
            </w:tcBorders>
            <w:vAlign w:val="center"/>
          </w:tcPr>
          <w:p>
            <w:pPr>
              <w:pStyle w:val="28"/>
              <w:pageBreakBefore w:val="0"/>
              <w:kinsoku/>
              <w:overflowPunct/>
              <w:bidi w:val="0"/>
              <w:spacing w:line="240" w:lineRule="auto"/>
              <w:rPr>
                <w:b w:val="0"/>
                <w:bCs/>
                <w:color w:val="auto"/>
                <w:sz w:val="21"/>
                <w:szCs w:val="21"/>
              </w:rPr>
            </w:pPr>
            <w:r>
              <w:rPr>
                <w:b w:val="0"/>
                <w:bCs/>
                <w:color w:val="auto"/>
                <w:sz w:val="21"/>
                <w:szCs w:val="21"/>
              </w:rPr>
              <w:t>/</w:t>
            </w:r>
          </w:p>
        </w:tc>
        <w:tc>
          <w:tcPr>
            <w:tcW w:w="891" w:type="dxa"/>
            <w:tcBorders>
              <w:tl2br w:val="nil"/>
              <w:tr2bl w:val="nil"/>
            </w:tcBorders>
            <w:vAlign w:val="center"/>
          </w:tcPr>
          <w:p>
            <w:pPr>
              <w:pStyle w:val="28"/>
              <w:pageBreakBefore w:val="0"/>
              <w:kinsoku/>
              <w:overflowPunct/>
              <w:bidi w:val="0"/>
              <w:spacing w:line="240" w:lineRule="auto"/>
              <w:rPr>
                <w:rFonts w:hint="eastAsia"/>
                <w:b w:val="0"/>
                <w:bCs/>
                <w:color w:val="auto"/>
                <w:sz w:val="21"/>
                <w:szCs w:val="21"/>
              </w:rPr>
            </w:pPr>
            <w:r>
              <w:rPr>
                <w:b w:val="0"/>
                <w:bCs/>
                <w:color w:val="auto"/>
                <w:sz w:val="21"/>
                <w:szCs w:val="21"/>
              </w:rPr>
              <w:t>/</w:t>
            </w:r>
          </w:p>
        </w:tc>
        <w:tc>
          <w:tcPr>
            <w:tcW w:w="1011" w:type="dxa"/>
            <w:tcBorders>
              <w:tl2br w:val="nil"/>
              <w:tr2bl w:val="nil"/>
            </w:tcBorders>
            <w:vAlign w:val="center"/>
          </w:tcPr>
          <w:p>
            <w:pPr>
              <w:pStyle w:val="28"/>
              <w:pageBreakBefore w:val="0"/>
              <w:kinsoku/>
              <w:overflowPunct/>
              <w:bidi w:val="0"/>
              <w:spacing w:line="240" w:lineRule="auto"/>
              <w:rPr>
                <w:rFonts w:hint="eastAsia"/>
                <w:b w:val="0"/>
                <w:bCs/>
                <w:color w:val="auto"/>
                <w:sz w:val="21"/>
                <w:szCs w:val="21"/>
                <w:lang w:val="en-US" w:eastAsia="zh-CN"/>
              </w:rPr>
            </w:pPr>
            <w:r>
              <w:rPr>
                <w:b w:val="0"/>
                <w:bCs/>
                <w:color w:val="auto"/>
                <w:sz w:val="21"/>
                <w:szCs w:val="21"/>
              </w:rPr>
              <w:t>/</w:t>
            </w:r>
          </w:p>
        </w:tc>
        <w:tc>
          <w:tcPr>
            <w:tcW w:w="1055" w:type="dxa"/>
            <w:tcBorders>
              <w:tl2br w:val="nil"/>
              <w:tr2bl w:val="nil"/>
            </w:tcBorders>
            <w:vAlign w:val="center"/>
          </w:tcPr>
          <w:p>
            <w:pPr>
              <w:pStyle w:val="28"/>
              <w:pageBreakBefore w:val="0"/>
              <w:kinsoku/>
              <w:overflowPunct/>
              <w:bidi w:val="0"/>
              <w:spacing w:line="240" w:lineRule="auto"/>
              <w:rPr>
                <w:rFonts w:hint="eastAsia"/>
                <w:b w:val="0"/>
                <w:bCs/>
                <w:color w:val="auto"/>
                <w:sz w:val="21"/>
                <w:szCs w:val="21"/>
                <w:lang w:val="en-US" w:eastAsia="zh-CN"/>
              </w:rPr>
            </w:pPr>
            <w:r>
              <w:rPr>
                <w:rFonts w:hint="eastAsia"/>
                <w:b w:val="0"/>
                <w:bCs/>
                <w:color w:val="auto"/>
                <w:sz w:val="21"/>
                <w:szCs w:val="21"/>
                <w:lang w:val="en-US" w:eastAsia="zh-CN"/>
              </w:rPr>
              <w:t>0.00125</w:t>
            </w:r>
          </w:p>
        </w:tc>
        <w:tc>
          <w:tcPr>
            <w:tcW w:w="954" w:type="dxa"/>
            <w:tcBorders>
              <w:tl2br w:val="nil"/>
              <w:tr2bl w:val="nil"/>
            </w:tcBorders>
            <w:vAlign w:val="center"/>
          </w:tcPr>
          <w:p>
            <w:pPr>
              <w:pStyle w:val="28"/>
              <w:pageBreakBefore w:val="0"/>
              <w:kinsoku/>
              <w:overflowPunct/>
              <w:bidi w:val="0"/>
              <w:spacing w:line="240" w:lineRule="auto"/>
              <w:rPr>
                <w:rFonts w:hint="eastAsia"/>
                <w:b w:val="0"/>
                <w:bCs/>
                <w:color w:val="auto"/>
                <w:sz w:val="21"/>
                <w:szCs w:val="21"/>
                <w:lang w:val="en-US" w:eastAsia="zh-CN"/>
              </w:rPr>
            </w:pPr>
            <w:r>
              <w:rPr>
                <w:rFonts w:hint="eastAsia"/>
                <w:b w:val="0"/>
                <w:bCs/>
                <w:color w:val="auto"/>
                <w:sz w:val="21"/>
                <w:szCs w:val="21"/>
                <w:lang w:val="en-US" w:eastAsia="zh-CN"/>
              </w:rPr>
              <w:t>0.003</w:t>
            </w:r>
          </w:p>
        </w:tc>
        <w:tc>
          <w:tcPr>
            <w:tcW w:w="777" w:type="dxa"/>
            <w:tcBorders>
              <w:tl2br w:val="nil"/>
              <w:tr2bl w:val="nil"/>
            </w:tcBorders>
            <w:vAlign w:val="center"/>
          </w:tcPr>
          <w:p>
            <w:pPr>
              <w:pStyle w:val="28"/>
              <w:pageBreakBefore w:val="0"/>
              <w:kinsoku/>
              <w:overflowPunct/>
              <w:bidi w:val="0"/>
              <w:spacing w:line="240" w:lineRule="auto"/>
              <w:rPr>
                <w:rFonts w:hint="eastAsia"/>
                <w:b w:val="0"/>
                <w:bCs/>
                <w:color w:val="auto"/>
                <w:sz w:val="21"/>
                <w:szCs w:val="21"/>
                <w:lang w:val="en-US" w:eastAsia="zh-CN"/>
              </w:rPr>
            </w:pPr>
            <w:r>
              <w:rPr>
                <w:rFonts w:hint="eastAsia"/>
                <w:b w:val="0"/>
                <w:bCs/>
                <w:color w:val="auto"/>
                <w:sz w:val="21"/>
                <w:szCs w:val="21"/>
                <w:lang w:val="en-US" w:eastAsia="zh-CN"/>
              </w:rPr>
              <w:t>2400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784" w:type="dxa"/>
            <w:tcBorders>
              <w:tl2br w:val="nil"/>
              <w:tr2bl w:val="nil"/>
            </w:tcBorders>
            <w:vAlign w:val="center"/>
          </w:tcPr>
          <w:p>
            <w:pPr>
              <w:pStyle w:val="28"/>
              <w:pageBreakBefore w:val="0"/>
              <w:kinsoku/>
              <w:overflowPunct/>
              <w:bidi w:val="0"/>
              <w:spacing w:line="240" w:lineRule="auto"/>
              <w:rPr>
                <w:b w:val="0"/>
                <w:bCs/>
                <w:color w:val="auto"/>
                <w:sz w:val="21"/>
                <w:szCs w:val="21"/>
              </w:rPr>
            </w:pPr>
            <w:r>
              <w:rPr>
                <w:rFonts w:hint="eastAsia"/>
                <w:b w:val="0"/>
                <w:bCs/>
                <w:color w:val="auto"/>
                <w:sz w:val="21"/>
                <w:szCs w:val="21"/>
              </w:rPr>
              <w:t>切割废气</w:t>
            </w:r>
          </w:p>
        </w:tc>
        <w:tc>
          <w:tcPr>
            <w:tcW w:w="784" w:type="dxa"/>
            <w:tcBorders>
              <w:tl2br w:val="nil"/>
              <w:tr2bl w:val="nil"/>
            </w:tcBorders>
            <w:vAlign w:val="center"/>
          </w:tcPr>
          <w:p>
            <w:pPr>
              <w:pStyle w:val="28"/>
              <w:pageBreakBefore w:val="0"/>
              <w:kinsoku/>
              <w:overflowPunct/>
              <w:bidi w:val="0"/>
              <w:spacing w:line="240" w:lineRule="auto"/>
              <w:rPr>
                <w:b w:val="0"/>
                <w:bCs/>
                <w:color w:val="auto"/>
                <w:sz w:val="21"/>
                <w:szCs w:val="21"/>
              </w:rPr>
            </w:pPr>
            <w:r>
              <w:rPr>
                <w:rFonts w:hint="eastAsia"/>
                <w:b w:val="0"/>
                <w:bCs/>
                <w:color w:val="auto"/>
                <w:sz w:val="21"/>
                <w:szCs w:val="21"/>
                <w:lang w:val="en-US" w:eastAsia="zh-CN"/>
              </w:rPr>
              <w:t>等离子</w:t>
            </w:r>
            <w:r>
              <w:rPr>
                <w:rFonts w:hint="eastAsia"/>
                <w:b w:val="0"/>
                <w:bCs/>
                <w:color w:val="auto"/>
                <w:sz w:val="21"/>
                <w:szCs w:val="21"/>
              </w:rPr>
              <w:t>切割机</w:t>
            </w:r>
          </w:p>
        </w:tc>
        <w:tc>
          <w:tcPr>
            <w:tcW w:w="567" w:type="dxa"/>
            <w:tcBorders>
              <w:tl2br w:val="nil"/>
              <w:tr2bl w:val="nil"/>
            </w:tcBorders>
            <w:vAlign w:val="center"/>
          </w:tcPr>
          <w:p>
            <w:pPr>
              <w:pStyle w:val="28"/>
              <w:pageBreakBefore w:val="0"/>
              <w:kinsoku/>
              <w:overflowPunct/>
              <w:bidi w:val="0"/>
              <w:spacing w:line="240" w:lineRule="auto"/>
              <w:rPr>
                <w:b w:val="0"/>
                <w:bCs/>
                <w:color w:val="auto"/>
                <w:sz w:val="21"/>
                <w:szCs w:val="21"/>
              </w:rPr>
            </w:pPr>
            <w:r>
              <w:rPr>
                <w:rFonts w:hint="eastAsia"/>
                <w:b w:val="0"/>
                <w:bCs/>
                <w:color w:val="auto"/>
                <w:sz w:val="21"/>
                <w:szCs w:val="21"/>
              </w:rPr>
              <w:t>无组织</w:t>
            </w:r>
          </w:p>
        </w:tc>
        <w:tc>
          <w:tcPr>
            <w:tcW w:w="891" w:type="dxa"/>
            <w:tcBorders>
              <w:tl2br w:val="nil"/>
              <w:tr2bl w:val="nil"/>
            </w:tcBorders>
            <w:vAlign w:val="center"/>
          </w:tcPr>
          <w:p>
            <w:pPr>
              <w:pStyle w:val="28"/>
              <w:pageBreakBefore w:val="0"/>
              <w:kinsoku/>
              <w:overflowPunct/>
              <w:bidi w:val="0"/>
              <w:spacing w:line="240" w:lineRule="auto"/>
              <w:rPr>
                <w:b w:val="0"/>
                <w:bCs/>
                <w:color w:val="auto"/>
                <w:sz w:val="21"/>
                <w:szCs w:val="21"/>
              </w:rPr>
            </w:pPr>
            <w:r>
              <w:rPr>
                <w:b w:val="0"/>
                <w:bCs/>
                <w:color w:val="auto"/>
                <w:sz w:val="21"/>
                <w:szCs w:val="21"/>
              </w:rPr>
              <w:t>颗粒物</w:t>
            </w:r>
          </w:p>
        </w:tc>
        <w:tc>
          <w:tcPr>
            <w:tcW w:w="569" w:type="dxa"/>
            <w:tcBorders>
              <w:tl2br w:val="nil"/>
              <w:tr2bl w:val="nil"/>
            </w:tcBorders>
            <w:vAlign w:val="center"/>
          </w:tcPr>
          <w:p>
            <w:pPr>
              <w:pStyle w:val="28"/>
              <w:pageBreakBefore w:val="0"/>
              <w:kinsoku/>
              <w:overflowPunct/>
              <w:bidi w:val="0"/>
              <w:spacing w:line="240" w:lineRule="auto"/>
              <w:rPr>
                <w:b w:val="0"/>
                <w:bCs/>
                <w:color w:val="auto"/>
                <w:sz w:val="21"/>
                <w:szCs w:val="21"/>
              </w:rPr>
            </w:pPr>
            <w:r>
              <w:rPr>
                <w:b w:val="0"/>
                <w:bCs/>
                <w:color w:val="auto"/>
                <w:sz w:val="21"/>
                <w:szCs w:val="21"/>
              </w:rPr>
              <w:t>产污系数法</w:t>
            </w:r>
          </w:p>
        </w:tc>
        <w:tc>
          <w:tcPr>
            <w:tcW w:w="891" w:type="dxa"/>
            <w:tcBorders>
              <w:tl2br w:val="nil"/>
              <w:tr2bl w:val="nil"/>
            </w:tcBorders>
            <w:vAlign w:val="center"/>
          </w:tcPr>
          <w:p>
            <w:pPr>
              <w:pStyle w:val="28"/>
              <w:pageBreakBefore w:val="0"/>
              <w:kinsoku/>
              <w:overflowPunct/>
              <w:bidi w:val="0"/>
              <w:spacing w:line="240" w:lineRule="auto"/>
              <w:rPr>
                <w:b w:val="0"/>
                <w:bCs/>
                <w:color w:val="auto"/>
                <w:sz w:val="21"/>
                <w:szCs w:val="21"/>
              </w:rPr>
            </w:pPr>
            <w:r>
              <w:rPr>
                <w:b w:val="0"/>
                <w:bCs/>
                <w:color w:val="auto"/>
                <w:sz w:val="21"/>
                <w:szCs w:val="21"/>
              </w:rPr>
              <w:t>/</w:t>
            </w:r>
          </w:p>
        </w:tc>
        <w:tc>
          <w:tcPr>
            <w:tcW w:w="886" w:type="dxa"/>
            <w:tcBorders>
              <w:tl2br w:val="nil"/>
              <w:tr2bl w:val="nil"/>
            </w:tcBorders>
            <w:vAlign w:val="center"/>
          </w:tcPr>
          <w:p>
            <w:pPr>
              <w:pStyle w:val="28"/>
              <w:pageBreakBefore w:val="0"/>
              <w:kinsoku/>
              <w:overflowPunct/>
              <w:bidi w:val="0"/>
              <w:spacing w:line="240" w:lineRule="auto"/>
              <w:rPr>
                <w:b w:val="0"/>
                <w:bCs/>
                <w:color w:val="auto"/>
                <w:sz w:val="21"/>
                <w:szCs w:val="21"/>
              </w:rPr>
            </w:pPr>
            <w:r>
              <w:rPr>
                <w:b w:val="0"/>
                <w:bCs/>
                <w:color w:val="auto"/>
                <w:sz w:val="21"/>
                <w:szCs w:val="21"/>
              </w:rPr>
              <w:t>/</w:t>
            </w:r>
          </w:p>
        </w:tc>
        <w:tc>
          <w:tcPr>
            <w:tcW w:w="1075" w:type="dxa"/>
            <w:tcBorders>
              <w:tl2br w:val="nil"/>
              <w:tr2bl w:val="nil"/>
            </w:tcBorders>
            <w:vAlign w:val="center"/>
          </w:tcPr>
          <w:p>
            <w:pPr>
              <w:pStyle w:val="28"/>
              <w:pageBreakBefore w:val="0"/>
              <w:kinsoku/>
              <w:overflowPunct/>
              <w:bidi w:val="0"/>
              <w:spacing w:line="240" w:lineRule="auto"/>
              <w:rPr>
                <w:rFonts w:hint="default" w:eastAsia="宋体"/>
                <w:b w:val="0"/>
                <w:bCs/>
                <w:color w:val="auto"/>
                <w:sz w:val="21"/>
                <w:szCs w:val="21"/>
                <w:lang w:val="en-US" w:eastAsia="zh-CN"/>
              </w:rPr>
            </w:pPr>
            <w:r>
              <w:rPr>
                <w:rFonts w:hint="eastAsia"/>
                <w:b w:val="0"/>
                <w:bCs/>
                <w:color w:val="auto"/>
                <w:sz w:val="21"/>
                <w:szCs w:val="21"/>
                <w:lang w:val="en-US" w:eastAsia="zh-CN"/>
              </w:rPr>
              <w:t>0.066</w:t>
            </w:r>
          </w:p>
        </w:tc>
        <w:tc>
          <w:tcPr>
            <w:tcW w:w="952" w:type="dxa"/>
            <w:tcBorders>
              <w:tl2br w:val="nil"/>
              <w:tr2bl w:val="nil"/>
            </w:tcBorders>
            <w:vAlign w:val="center"/>
          </w:tcPr>
          <w:p>
            <w:pPr>
              <w:pStyle w:val="28"/>
              <w:pageBreakBefore w:val="0"/>
              <w:kinsoku/>
              <w:overflowPunct/>
              <w:bidi w:val="0"/>
              <w:spacing w:line="240" w:lineRule="auto"/>
              <w:rPr>
                <w:b w:val="0"/>
                <w:bCs/>
                <w:color w:val="auto"/>
                <w:sz w:val="21"/>
                <w:szCs w:val="21"/>
              </w:rPr>
            </w:pPr>
            <w:r>
              <w:rPr>
                <w:rFonts w:hint="eastAsia"/>
                <w:b w:val="0"/>
                <w:bCs/>
                <w:color w:val="auto"/>
                <w:sz w:val="21"/>
                <w:szCs w:val="21"/>
              </w:rPr>
              <w:t>0.0395</w:t>
            </w:r>
          </w:p>
        </w:tc>
        <w:tc>
          <w:tcPr>
            <w:tcW w:w="786" w:type="dxa"/>
            <w:tcBorders>
              <w:tl2br w:val="nil"/>
              <w:tr2bl w:val="nil"/>
            </w:tcBorders>
            <w:vAlign w:val="center"/>
          </w:tcPr>
          <w:p>
            <w:pPr>
              <w:pStyle w:val="28"/>
              <w:pageBreakBefore w:val="0"/>
              <w:kinsoku/>
              <w:overflowPunct/>
              <w:bidi w:val="0"/>
              <w:spacing w:line="240" w:lineRule="auto"/>
              <w:rPr>
                <w:b w:val="0"/>
                <w:bCs/>
                <w:color w:val="auto"/>
                <w:sz w:val="21"/>
                <w:szCs w:val="21"/>
              </w:rPr>
            </w:pPr>
            <w:r>
              <w:rPr>
                <w:rFonts w:hint="eastAsia"/>
                <w:b w:val="0"/>
                <w:bCs/>
                <w:color w:val="auto"/>
                <w:sz w:val="21"/>
                <w:szCs w:val="21"/>
              </w:rPr>
              <w:t>移动式烟尘净化器</w:t>
            </w:r>
          </w:p>
        </w:tc>
        <w:tc>
          <w:tcPr>
            <w:tcW w:w="732" w:type="dxa"/>
            <w:tcBorders>
              <w:tl2br w:val="nil"/>
              <w:tr2bl w:val="nil"/>
            </w:tcBorders>
            <w:vAlign w:val="center"/>
          </w:tcPr>
          <w:p>
            <w:pPr>
              <w:pStyle w:val="28"/>
              <w:pageBreakBefore w:val="0"/>
              <w:kinsoku/>
              <w:overflowPunct/>
              <w:bidi w:val="0"/>
              <w:spacing w:line="240" w:lineRule="auto"/>
              <w:rPr>
                <w:rFonts w:hint="default" w:eastAsia="宋体"/>
                <w:b w:val="0"/>
                <w:bCs/>
                <w:color w:val="auto"/>
                <w:sz w:val="21"/>
                <w:szCs w:val="21"/>
                <w:lang w:val="en-US" w:eastAsia="zh-CN"/>
              </w:rPr>
            </w:pPr>
            <w:r>
              <w:rPr>
                <w:rFonts w:hint="eastAsia"/>
                <w:b w:val="0"/>
                <w:bCs/>
                <w:color w:val="auto"/>
                <w:sz w:val="21"/>
                <w:szCs w:val="21"/>
                <w:lang w:val="en-US" w:eastAsia="zh-CN"/>
              </w:rPr>
              <w:t>90</w:t>
            </w:r>
          </w:p>
        </w:tc>
        <w:tc>
          <w:tcPr>
            <w:tcW w:w="569" w:type="dxa"/>
            <w:tcBorders>
              <w:tl2br w:val="nil"/>
              <w:tr2bl w:val="nil"/>
            </w:tcBorders>
            <w:vAlign w:val="center"/>
          </w:tcPr>
          <w:p>
            <w:pPr>
              <w:pStyle w:val="28"/>
              <w:pageBreakBefore w:val="0"/>
              <w:kinsoku/>
              <w:overflowPunct/>
              <w:bidi w:val="0"/>
              <w:spacing w:line="240" w:lineRule="auto"/>
              <w:rPr>
                <w:b w:val="0"/>
                <w:bCs/>
                <w:color w:val="auto"/>
                <w:sz w:val="21"/>
                <w:szCs w:val="21"/>
              </w:rPr>
            </w:pPr>
            <w:r>
              <w:rPr>
                <w:b w:val="0"/>
                <w:bCs/>
                <w:color w:val="auto"/>
                <w:sz w:val="21"/>
                <w:szCs w:val="21"/>
              </w:rPr>
              <w:t>排污系数法</w:t>
            </w:r>
          </w:p>
        </w:tc>
        <w:tc>
          <w:tcPr>
            <w:tcW w:w="891" w:type="dxa"/>
            <w:tcBorders>
              <w:tl2br w:val="nil"/>
              <w:tr2bl w:val="nil"/>
            </w:tcBorders>
            <w:vAlign w:val="center"/>
          </w:tcPr>
          <w:p>
            <w:pPr>
              <w:pStyle w:val="28"/>
              <w:pageBreakBefore w:val="0"/>
              <w:kinsoku/>
              <w:overflowPunct/>
              <w:bidi w:val="0"/>
              <w:spacing w:line="240" w:lineRule="auto"/>
              <w:rPr>
                <w:b w:val="0"/>
                <w:bCs/>
                <w:color w:val="auto"/>
                <w:sz w:val="21"/>
                <w:szCs w:val="21"/>
              </w:rPr>
            </w:pPr>
            <w:r>
              <w:rPr>
                <w:rFonts w:hint="eastAsia"/>
                <w:b w:val="0"/>
                <w:bCs/>
                <w:color w:val="auto"/>
                <w:sz w:val="21"/>
                <w:szCs w:val="21"/>
              </w:rPr>
              <w:t>/</w:t>
            </w:r>
          </w:p>
        </w:tc>
        <w:tc>
          <w:tcPr>
            <w:tcW w:w="1011" w:type="dxa"/>
            <w:tcBorders>
              <w:tl2br w:val="nil"/>
              <w:tr2bl w:val="nil"/>
            </w:tcBorders>
            <w:vAlign w:val="center"/>
          </w:tcPr>
          <w:p>
            <w:pPr>
              <w:pStyle w:val="28"/>
              <w:pageBreakBefore w:val="0"/>
              <w:kinsoku/>
              <w:overflowPunct/>
              <w:bidi w:val="0"/>
              <w:spacing w:line="240" w:lineRule="auto"/>
              <w:rPr>
                <w:rFonts w:hint="eastAsia" w:eastAsia="宋体"/>
                <w:b w:val="0"/>
                <w:bCs/>
                <w:color w:val="auto"/>
                <w:sz w:val="21"/>
                <w:szCs w:val="21"/>
                <w:lang w:val="en-US" w:eastAsia="zh-CN"/>
              </w:rPr>
            </w:pPr>
            <w:r>
              <w:rPr>
                <w:rFonts w:hint="eastAsia"/>
                <w:b w:val="0"/>
                <w:bCs/>
                <w:color w:val="auto"/>
                <w:sz w:val="21"/>
                <w:szCs w:val="21"/>
                <w:lang w:val="en-US" w:eastAsia="zh-CN"/>
              </w:rPr>
              <w:t>/</w:t>
            </w:r>
          </w:p>
        </w:tc>
        <w:tc>
          <w:tcPr>
            <w:tcW w:w="1055" w:type="dxa"/>
            <w:tcBorders>
              <w:tl2br w:val="nil"/>
              <w:tr2bl w:val="nil"/>
            </w:tcBorders>
            <w:vAlign w:val="center"/>
          </w:tcPr>
          <w:p>
            <w:pPr>
              <w:pStyle w:val="28"/>
              <w:pageBreakBefore w:val="0"/>
              <w:kinsoku/>
              <w:overflowPunct/>
              <w:bidi w:val="0"/>
              <w:spacing w:line="240" w:lineRule="auto"/>
              <w:rPr>
                <w:rFonts w:hint="default" w:eastAsia="宋体"/>
                <w:b w:val="0"/>
                <w:bCs/>
                <w:color w:val="auto"/>
                <w:sz w:val="21"/>
                <w:szCs w:val="21"/>
                <w:lang w:val="en-US" w:eastAsia="zh-CN"/>
              </w:rPr>
            </w:pPr>
            <w:r>
              <w:rPr>
                <w:rFonts w:hint="eastAsia" w:cs="Times New Roman"/>
                <w:color w:val="auto"/>
                <w:sz w:val="24"/>
                <w:szCs w:val="24"/>
                <w:u w:val="none" w:color="auto"/>
                <w:lang w:val="en-US" w:eastAsia="zh-CN"/>
              </w:rPr>
              <w:t>0.0387</w:t>
            </w:r>
          </w:p>
        </w:tc>
        <w:tc>
          <w:tcPr>
            <w:tcW w:w="954" w:type="dxa"/>
            <w:tcBorders>
              <w:tl2br w:val="nil"/>
              <w:tr2bl w:val="nil"/>
            </w:tcBorders>
            <w:vAlign w:val="center"/>
          </w:tcPr>
          <w:p>
            <w:pPr>
              <w:pStyle w:val="28"/>
              <w:pageBreakBefore w:val="0"/>
              <w:kinsoku/>
              <w:overflowPunct/>
              <w:bidi w:val="0"/>
              <w:spacing w:line="240" w:lineRule="auto"/>
              <w:rPr>
                <w:rFonts w:hint="default" w:eastAsia="宋体"/>
                <w:b w:val="0"/>
                <w:bCs/>
                <w:color w:val="auto"/>
                <w:sz w:val="21"/>
                <w:szCs w:val="21"/>
                <w:lang w:val="en-US" w:eastAsia="zh-CN"/>
              </w:rPr>
            </w:pPr>
            <w:r>
              <w:rPr>
                <w:rFonts w:hint="default" w:eastAsia="宋体"/>
                <w:b w:val="0"/>
                <w:bCs/>
                <w:color w:val="auto"/>
                <w:sz w:val="21"/>
                <w:szCs w:val="21"/>
                <w:lang w:val="en-US" w:eastAsia="zh-CN"/>
              </w:rPr>
              <w:t>0.02324</w:t>
            </w:r>
          </w:p>
        </w:tc>
        <w:tc>
          <w:tcPr>
            <w:tcW w:w="777" w:type="dxa"/>
            <w:tcBorders>
              <w:tl2br w:val="nil"/>
              <w:tr2bl w:val="nil"/>
            </w:tcBorders>
            <w:vAlign w:val="center"/>
          </w:tcPr>
          <w:p>
            <w:pPr>
              <w:pStyle w:val="28"/>
              <w:pageBreakBefore w:val="0"/>
              <w:kinsoku/>
              <w:overflowPunct/>
              <w:bidi w:val="0"/>
              <w:spacing w:line="240" w:lineRule="auto"/>
              <w:rPr>
                <w:rFonts w:hint="default" w:eastAsia="宋体"/>
                <w:b w:val="0"/>
                <w:bCs/>
                <w:color w:val="auto"/>
                <w:sz w:val="21"/>
                <w:szCs w:val="21"/>
                <w:lang w:val="en-US" w:eastAsia="zh-CN"/>
              </w:rPr>
            </w:pPr>
            <w:r>
              <w:rPr>
                <w:rFonts w:hint="eastAsia"/>
                <w:b w:val="0"/>
                <w:bCs/>
                <w:color w:val="auto"/>
                <w:sz w:val="21"/>
                <w:szCs w:val="21"/>
                <w:lang w:val="en-US" w:eastAsia="zh-CN"/>
              </w:rPr>
              <w:t>600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784" w:type="dxa"/>
            <w:tcBorders>
              <w:tl2br w:val="nil"/>
              <w:tr2bl w:val="nil"/>
            </w:tcBorders>
            <w:vAlign w:val="center"/>
          </w:tcPr>
          <w:p>
            <w:pPr>
              <w:pStyle w:val="28"/>
              <w:pageBreakBefore w:val="0"/>
              <w:kinsoku/>
              <w:overflowPunct/>
              <w:bidi w:val="0"/>
              <w:spacing w:line="240" w:lineRule="auto"/>
              <w:rPr>
                <w:rFonts w:hint="default" w:eastAsia="宋体"/>
                <w:b w:val="0"/>
                <w:bCs/>
                <w:color w:val="auto"/>
                <w:sz w:val="21"/>
                <w:szCs w:val="21"/>
                <w:lang w:val="en-US" w:eastAsia="zh-CN"/>
              </w:rPr>
            </w:pPr>
            <w:r>
              <w:rPr>
                <w:rFonts w:hint="eastAsia"/>
                <w:b w:val="0"/>
                <w:bCs/>
                <w:color w:val="auto"/>
                <w:sz w:val="21"/>
                <w:szCs w:val="21"/>
                <w:lang w:val="en-US" w:eastAsia="zh-CN"/>
              </w:rPr>
              <w:t>食堂油烟</w:t>
            </w:r>
          </w:p>
        </w:tc>
        <w:tc>
          <w:tcPr>
            <w:tcW w:w="784" w:type="dxa"/>
            <w:tcBorders>
              <w:tl2br w:val="nil"/>
              <w:tr2bl w:val="nil"/>
            </w:tcBorders>
            <w:vAlign w:val="center"/>
          </w:tcPr>
          <w:p>
            <w:pPr>
              <w:pStyle w:val="28"/>
              <w:pageBreakBefore w:val="0"/>
              <w:kinsoku/>
              <w:overflowPunct/>
              <w:bidi w:val="0"/>
              <w:spacing w:line="240" w:lineRule="auto"/>
              <w:rPr>
                <w:rFonts w:hint="eastAsia"/>
                <w:b w:val="0"/>
                <w:bCs/>
                <w:color w:val="auto"/>
                <w:sz w:val="21"/>
                <w:szCs w:val="21"/>
                <w:lang w:val="en-US" w:eastAsia="zh-CN"/>
              </w:rPr>
            </w:pPr>
            <w:r>
              <w:rPr>
                <w:rFonts w:hint="eastAsia"/>
                <w:b w:val="0"/>
                <w:bCs/>
                <w:color w:val="auto"/>
                <w:sz w:val="21"/>
                <w:szCs w:val="21"/>
                <w:lang w:val="en-US" w:eastAsia="zh-CN"/>
              </w:rPr>
              <w:t>油烟机</w:t>
            </w:r>
          </w:p>
        </w:tc>
        <w:tc>
          <w:tcPr>
            <w:tcW w:w="567" w:type="dxa"/>
            <w:tcBorders>
              <w:tl2br w:val="nil"/>
              <w:tr2bl w:val="nil"/>
            </w:tcBorders>
            <w:vAlign w:val="center"/>
          </w:tcPr>
          <w:p>
            <w:pPr>
              <w:pStyle w:val="28"/>
              <w:pageBreakBefore w:val="0"/>
              <w:kinsoku/>
              <w:overflowPunct/>
              <w:bidi w:val="0"/>
              <w:spacing w:line="240" w:lineRule="auto"/>
              <w:rPr>
                <w:rFonts w:hint="eastAsia"/>
                <w:b w:val="0"/>
                <w:bCs/>
                <w:color w:val="auto"/>
                <w:sz w:val="21"/>
                <w:szCs w:val="21"/>
              </w:rPr>
            </w:pPr>
            <w:r>
              <w:rPr>
                <w:rFonts w:hint="eastAsia"/>
                <w:b w:val="0"/>
                <w:bCs/>
                <w:color w:val="auto"/>
                <w:sz w:val="21"/>
                <w:szCs w:val="21"/>
              </w:rPr>
              <w:t>无组织</w:t>
            </w:r>
          </w:p>
        </w:tc>
        <w:tc>
          <w:tcPr>
            <w:tcW w:w="891" w:type="dxa"/>
            <w:tcBorders>
              <w:tl2br w:val="nil"/>
              <w:tr2bl w:val="nil"/>
            </w:tcBorders>
            <w:vAlign w:val="center"/>
          </w:tcPr>
          <w:p>
            <w:pPr>
              <w:pStyle w:val="28"/>
              <w:pageBreakBefore w:val="0"/>
              <w:kinsoku/>
              <w:overflowPunct/>
              <w:bidi w:val="0"/>
              <w:spacing w:line="240" w:lineRule="auto"/>
              <w:rPr>
                <w:b w:val="0"/>
                <w:bCs/>
                <w:color w:val="auto"/>
                <w:sz w:val="21"/>
                <w:szCs w:val="21"/>
              </w:rPr>
            </w:pPr>
            <w:r>
              <w:rPr>
                <w:rFonts w:hint="eastAsia"/>
                <w:b w:val="0"/>
                <w:bCs/>
                <w:color w:val="auto"/>
                <w:sz w:val="21"/>
                <w:szCs w:val="21"/>
                <w:lang w:val="en-US" w:eastAsia="zh-CN"/>
              </w:rPr>
              <w:t>食堂油烟</w:t>
            </w:r>
          </w:p>
        </w:tc>
        <w:tc>
          <w:tcPr>
            <w:tcW w:w="569" w:type="dxa"/>
            <w:tcBorders>
              <w:tl2br w:val="nil"/>
              <w:tr2bl w:val="nil"/>
            </w:tcBorders>
            <w:vAlign w:val="center"/>
          </w:tcPr>
          <w:p>
            <w:pPr>
              <w:pStyle w:val="28"/>
              <w:pageBreakBefore w:val="0"/>
              <w:kinsoku/>
              <w:overflowPunct/>
              <w:bidi w:val="0"/>
              <w:spacing w:line="240" w:lineRule="auto"/>
              <w:rPr>
                <w:b w:val="0"/>
                <w:bCs/>
                <w:color w:val="auto"/>
                <w:sz w:val="21"/>
                <w:szCs w:val="21"/>
              </w:rPr>
            </w:pPr>
            <w:r>
              <w:rPr>
                <w:b w:val="0"/>
                <w:bCs/>
                <w:color w:val="auto"/>
                <w:sz w:val="21"/>
                <w:szCs w:val="21"/>
              </w:rPr>
              <w:t>产污系数法</w:t>
            </w:r>
          </w:p>
        </w:tc>
        <w:tc>
          <w:tcPr>
            <w:tcW w:w="891" w:type="dxa"/>
            <w:tcBorders>
              <w:tl2br w:val="nil"/>
              <w:tr2bl w:val="nil"/>
            </w:tcBorders>
            <w:vAlign w:val="center"/>
          </w:tcPr>
          <w:p>
            <w:pPr>
              <w:pStyle w:val="28"/>
              <w:pageBreakBefore w:val="0"/>
              <w:kinsoku/>
              <w:overflowPunct/>
              <w:bidi w:val="0"/>
              <w:spacing w:line="240" w:lineRule="auto"/>
              <w:rPr>
                <w:rFonts w:hint="default" w:eastAsia="宋体"/>
                <w:b w:val="0"/>
                <w:bCs/>
                <w:color w:val="auto"/>
                <w:sz w:val="21"/>
                <w:szCs w:val="21"/>
                <w:lang w:val="en-US" w:eastAsia="zh-CN"/>
              </w:rPr>
            </w:pPr>
            <w:r>
              <w:rPr>
                <w:rFonts w:hint="eastAsia"/>
                <w:b w:val="0"/>
                <w:bCs/>
                <w:color w:val="auto"/>
                <w:sz w:val="21"/>
                <w:szCs w:val="21"/>
                <w:lang w:val="en-US" w:eastAsia="zh-CN"/>
              </w:rPr>
              <w:t>5000</w:t>
            </w:r>
          </w:p>
        </w:tc>
        <w:tc>
          <w:tcPr>
            <w:tcW w:w="886" w:type="dxa"/>
            <w:tcBorders>
              <w:tl2br w:val="nil"/>
              <w:tr2bl w:val="nil"/>
            </w:tcBorders>
            <w:vAlign w:val="center"/>
          </w:tcPr>
          <w:p>
            <w:pPr>
              <w:pStyle w:val="28"/>
              <w:pageBreakBefore w:val="0"/>
              <w:kinsoku/>
              <w:overflowPunct/>
              <w:bidi w:val="0"/>
              <w:spacing w:line="240" w:lineRule="auto"/>
              <w:rPr>
                <w:rFonts w:hint="default" w:eastAsia="宋体"/>
                <w:b w:val="0"/>
                <w:bCs/>
                <w:color w:val="auto"/>
                <w:sz w:val="21"/>
                <w:szCs w:val="21"/>
                <w:lang w:val="en-US" w:eastAsia="zh-CN"/>
              </w:rPr>
            </w:pPr>
            <w:r>
              <w:rPr>
                <w:rFonts w:hint="eastAsia"/>
                <w:b w:val="0"/>
                <w:bCs/>
                <w:color w:val="auto"/>
                <w:sz w:val="21"/>
                <w:szCs w:val="21"/>
                <w:lang w:val="en-US" w:eastAsia="zh-CN"/>
              </w:rPr>
              <w:t>1.4</w:t>
            </w:r>
          </w:p>
        </w:tc>
        <w:tc>
          <w:tcPr>
            <w:tcW w:w="1075" w:type="dxa"/>
            <w:tcBorders>
              <w:tl2br w:val="nil"/>
              <w:tr2bl w:val="nil"/>
            </w:tcBorders>
            <w:vAlign w:val="center"/>
          </w:tcPr>
          <w:p>
            <w:pPr>
              <w:pStyle w:val="28"/>
              <w:pageBreakBefore w:val="0"/>
              <w:kinsoku/>
              <w:overflowPunct/>
              <w:bidi w:val="0"/>
              <w:spacing w:line="240" w:lineRule="auto"/>
              <w:rPr>
                <w:rFonts w:hint="default"/>
                <w:b w:val="0"/>
                <w:bCs/>
                <w:color w:val="auto"/>
                <w:sz w:val="21"/>
                <w:szCs w:val="21"/>
                <w:lang w:val="en-US" w:eastAsia="zh-CN"/>
              </w:rPr>
            </w:pPr>
            <w:r>
              <w:rPr>
                <w:rFonts w:hint="eastAsia"/>
                <w:b w:val="0"/>
                <w:bCs/>
                <w:color w:val="auto"/>
                <w:sz w:val="21"/>
                <w:szCs w:val="21"/>
                <w:lang w:val="en-US" w:eastAsia="zh-CN"/>
              </w:rPr>
              <w:t>0.007</w:t>
            </w:r>
          </w:p>
        </w:tc>
        <w:tc>
          <w:tcPr>
            <w:tcW w:w="952" w:type="dxa"/>
            <w:tcBorders>
              <w:tl2br w:val="nil"/>
              <w:tr2bl w:val="nil"/>
            </w:tcBorders>
            <w:vAlign w:val="center"/>
          </w:tcPr>
          <w:p>
            <w:pPr>
              <w:pStyle w:val="28"/>
              <w:pageBreakBefore w:val="0"/>
              <w:kinsoku/>
              <w:overflowPunct/>
              <w:bidi w:val="0"/>
              <w:spacing w:line="240" w:lineRule="auto"/>
              <w:rPr>
                <w:rFonts w:hint="default" w:eastAsia="宋体"/>
                <w:b w:val="0"/>
                <w:bCs/>
                <w:color w:val="auto"/>
                <w:sz w:val="21"/>
                <w:szCs w:val="21"/>
                <w:lang w:val="en-US" w:eastAsia="zh-CN"/>
              </w:rPr>
            </w:pPr>
            <w:r>
              <w:rPr>
                <w:rFonts w:hint="eastAsia"/>
                <w:b w:val="0"/>
                <w:bCs/>
                <w:color w:val="auto"/>
                <w:sz w:val="21"/>
                <w:szCs w:val="21"/>
                <w:lang w:val="en-US" w:eastAsia="zh-CN"/>
              </w:rPr>
              <w:t>0.0063</w:t>
            </w:r>
          </w:p>
        </w:tc>
        <w:tc>
          <w:tcPr>
            <w:tcW w:w="786" w:type="dxa"/>
            <w:tcBorders>
              <w:tl2br w:val="nil"/>
              <w:tr2bl w:val="nil"/>
            </w:tcBorders>
            <w:vAlign w:val="center"/>
          </w:tcPr>
          <w:p>
            <w:pPr>
              <w:pStyle w:val="28"/>
              <w:pageBreakBefore w:val="0"/>
              <w:kinsoku/>
              <w:overflowPunct/>
              <w:bidi w:val="0"/>
              <w:spacing w:line="240" w:lineRule="auto"/>
              <w:rPr>
                <w:rFonts w:hint="eastAsia"/>
                <w:b w:val="0"/>
                <w:bCs/>
                <w:color w:val="auto"/>
                <w:sz w:val="21"/>
                <w:szCs w:val="21"/>
              </w:rPr>
            </w:pPr>
            <w:r>
              <w:rPr>
                <w:rFonts w:hint="eastAsia"/>
                <w:b w:val="0"/>
                <w:bCs/>
                <w:color w:val="auto"/>
                <w:sz w:val="21"/>
                <w:szCs w:val="21"/>
                <w:lang w:val="en-US" w:eastAsia="zh-CN"/>
              </w:rPr>
              <w:t>油烟机</w:t>
            </w:r>
          </w:p>
        </w:tc>
        <w:tc>
          <w:tcPr>
            <w:tcW w:w="732" w:type="dxa"/>
            <w:tcBorders>
              <w:tl2br w:val="nil"/>
              <w:tr2bl w:val="nil"/>
            </w:tcBorders>
            <w:vAlign w:val="center"/>
          </w:tcPr>
          <w:p>
            <w:pPr>
              <w:pStyle w:val="28"/>
              <w:pageBreakBefore w:val="0"/>
              <w:kinsoku/>
              <w:overflowPunct/>
              <w:bidi w:val="0"/>
              <w:spacing w:line="240" w:lineRule="auto"/>
              <w:rPr>
                <w:rFonts w:hint="eastAsia"/>
                <w:b w:val="0"/>
                <w:bCs/>
                <w:color w:val="auto"/>
                <w:sz w:val="21"/>
                <w:szCs w:val="21"/>
                <w:lang w:val="en-US" w:eastAsia="zh-CN"/>
              </w:rPr>
            </w:pPr>
            <w:r>
              <w:rPr>
                <w:b w:val="0"/>
                <w:bCs/>
                <w:color w:val="auto"/>
                <w:sz w:val="21"/>
                <w:szCs w:val="21"/>
              </w:rPr>
              <w:t>/</w:t>
            </w:r>
          </w:p>
        </w:tc>
        <w:tc>
          <w:tcPr>
            <w:tcW w:w="569" w:type="dxa"/>
            <w:tcBorders>
              <w:tl2br w:val="nil"/>
              <w:tr2bl w:val="nil"/>
            </w:tcBorders>
            <w:vAlign w:val="center"/>
          </w:tcPr>
          <w:p>
            <w:pPr>
              <w:pStyle w:val="28"/>
              <w:pageBreakBefore w:val="0"/>
              <w:kinsoku/>
              <w:overflowPunct/>
              <w:bidi w:val="0"/>
              <w:spacing w:line="240" w:lineRule="auto"/>
              <w:rPr>
                <w:b w:val="0"/>
                <w:bCs/>
                <w:color w:val="auto"/>
                <w:sz w:val="21"/>
                <w:szCs w:val="21"/>
              </w:rPr>
            </w:pPr>
            <w:r>
              <w:rPr>
                <w:b w:val="0"/>
                <w:bCs/>
                <w:color w:val="auto"/>
                <w:sz w:val="21"/>
                <w:szCs w:val="21"/>
              </w:rPr>
              <w:t>排污系数法</w:t>
            </w:r>
          </w:p>
        </w:tc>
        <w:tc>
          <w:tcPr>
            <w:tcW w:w="891" w:type="dxa"/>
            <w:tcBorders>
              <w:tl2br w:val="nil"/>
              <w:tr2bl w:val="nil"/>
            </w:tcBorders>
            <w:vAlign w:val="center"/>
          </w:tcPr>
          <w:p>
            <w:pPr>
              <w:pStyle w:val="28"/>
              <w:pageBreakBefore w:val="0"/>
              <w:kinsoku/>
              <w:overflowPunct/>
              <w:bidi w:val="0"/>
              <w:spacing w:line="240" w:lineRule="auto"/>
              <w:rPr>
                <w:rFonts w:hint="eastAsia"/>
                <w:b w:val="0"/>
                <w:bCs/>
                <w:color w:val="auto"/>
                <w:sz w:val="21"/>
                <w:szCs w:val="21"/>
              </w:rPr>
            </w:pPr>
            <w:r>
              <w:rPr>
                <w:rFonts w:hint="eastAsia"/>
                <w:b w:val="0"/>
                <w:bCs/>
                <w:color w:val="auto"/>
                <w:sz w:val="21"/>
                <w:szCs w:val="21"/>
                <w:lang w:val="en-US" w:eastAsia="zh-CN"/>
              </w:rPr>
              <w:t>5000</w:t>
            </w:r>
          </w:p>
        </w:tc>
        <w:tc>
          <w:tcPr>
            <w:tcW w:w="1011" w:type="dxa"/>
            <w:tcBorders>
              <w:tl2br w:val="nil"/>
              <w:tr2bl w:val="nil"/>
            </w:tcBorders>
            <w:vAlign w:val="center"/>
          </w:tcPr>
          <w:p>
            <w:pPr>
              <w:pStyle w:val="28"/>
              <w:pageBreakBefore w:val="0"/>
              <w:kinsoku/>
              <w:overflowPunct/>
              <w:bidi w:val="0"/>
              <w:spacing w:line="240" w:lineRule="auto"/>
              <w:rPr>
                <w:rFonts w:hint="eastAsia"/>
                <w:b w:val="0"/>
                <w:bCs/>
                <w:color w:val="auto"/>
                <w:sz w:val="21"/>
                <w:szCs w:val="21"/>
                <w:lang w:val="en-US" w:eastAsia="zh-CN"/>
              </w:rPr>
            </w:pPr>
            <w:r>
              <w:rPr>
                <w:rFonts w:hint="eastAsia"/>
                <w:b w:val="0"/>
                <w:bCs/>
                <w:color w:val="auto"/>
                <w:sz w:val="21"/>
                <w:szCs w:val="21"/>
                <w:lang w:val="en-US" w:eastAsia="zh-CN"/>
              </w:rPr>
              <w:t>1.4</w:t>
            </w:r>
          </w:p>
        </w:tc>
        <w:tc>
          <w:tcPr>
            <w:tcW w:w="1055" w:type="dxa"/>
            <w:tcBorders>
              <w:tl2br w:val="nil"/>
              <w:tr2bl w:val="nil"/>
            </w:tcBorders>
            <w:vAlign w:val="center"/>
          </w:tcPr>
          <w:p>
            <w:pPr>
              <w:pStyle w:val="28"/>
              <w:pageBreakBefore w:val="0"/>
              <w:kinsoku/>
              <w:overflowPunct/>
              <w:bidi w:val="0"/>
              <w:spacing w:line="240" w:lineRule="auto"/>
              <w:rPr>
                <w:rFonts w:hint="eastAsia"/>
                <w:b w:val="0"/>
                <w:bCs/>
                <w:color w:val="auto"/>
                <w:sz w:val="21"/>
                <w:szCs w:val="21"/>
                <w:lang w:val="en-US" w:eastAsia="zh-CN"/>
              </w:rPr>
            </w:pPr>
            <w:r>
              <w:rPr>
                <w:rFonts w:hint="eastAsia"/>
                <w:b w:val="0"/>
                <w:bCs/>
                <w:color w:val="auto"/>
                <w:sz w:val="21"/>
                <w:szCs w:val="21"/>
                <w:lang w:val="en-US" w:eastAsia="zh-CN"/>
              </w:rPr>
              <w:t>0.007</w:t>
            </w:r>
          </w:p>
        </w:tc>
        <w:tc>
          <w:tcPr>
            <w:tcW w:w="954" w:type="dxa"/>
            <w:tcBorders>
              <w:tl2br w:val="nil"/>
              <w:tr2bl w:val="nil"/>
            </w:tcBorders>
            <w:vAlign w:val="center"/>
          </w:tcPr>
          <w:p>
            <w:pPr>
              <w:pStyle w:val="28"/>
              <w:pageBreakBefore w:val="0"/>
              <w:kinsoku/>
              <w:overflowPunct/>
              <w:bidi w:val="0"/>
              <w:spacing w:line="240" w:lineRule="auto"/>
              <w:rPr>
                <w:rFonts w:hint="eastAsia"/>
                <w:b w:val="0"/>
                <w:bCs/>
                <w:color w:val="auto"/>
                <w:sz w:val="21"/>
                <w:szCs w:val="21"/>
                <w:lang w:val="en-US" w:eastAsia="zh-CN"/>
              </w:rPr>
            </w:pPr>
            <w:r>
              <w:rPr>
                <w:rFonts w:hint="eastAsia"/>
                <w:b w:val="0"/>
                <w:bCs/>
                <w:color w:val="auto"/>
                <w:sz w:val="21"/>
                <w:szCs w:val="21"/>
                <w:lang w:val="en-US" w:eastAsia="zh-CN"/>
              </w:rPr>
              <w:t>0.0063</w:t>
            </w:r>
          </w:p>
        </w:tc>
        <w:tc>
          <w:tcPr>
            <w:tcW w:w="777" w:type="dxa"/>
            <w:tcBorders>
              <w:tl2br w:val="nil"/>
              <w:tr2bl w:val="nil"/>
            </w:tcBorders>
            <w:vAlign w:val="center"/>
          </w:tcPr>
          <w:p>
            <w:pPr>
              <w:pStyle w:val="28"/>
              <w:pageBreakBefore w:val="0"/>
              <w:kinsoku/>
              <w:overflowPunct/>
              <w:bidi w:val="0"/>
              <w:spacing w:line="240" w:lineRule="auto"/>
              <w:rPr>
                <w:rFonts w:hint="default"/>
                <w:b w:val="0"/>
                <w:bCs/>
                <w:color w:val="auto"/>
                <w:sz w:val="21"/>
                <w:szCs w:val="21"/>
                <w:lang w:val="en-US" w:eastAsia="zh-CN"/>
              </w:rPr>
            </w:pPr>
            <w:r>
              <w:rPr>
                <w:rFonts w:hint="eastAsia"/>
                <w:b w:val="0"/>
                <w:bCs/>
                <w:color w:val="auto"/>
                <w:sz w:val="21"/>
                <w:szCs w:val="21"/>
                <w:lang w:val="en-US" w:eastAsia="zh-CN"/>
              </w:rPr>
              <w:t>900</w:t>
            </w:r>
          </w:p>
        </w:tc>
      </w:tr>
    </w:tbl>
    <w:p>
      <w:pPr>
        <w:pStyle w:val="15"/>
        <w:keepNext w:val="0"/>
        <w:keepLines w:val="0"/>
        <w:pageBreakBefore w:val="0"/>
        <w:widowControl/>
        <w:kinsoku/>
        <w:wordWrap/>
        <w:overflowPunct/>
        <w:topLinePunct w:val="0"/>
        <w:autoSpaceDE/>
        <w:autoSpaceDN/>
        <w:bidi w:val="0"/>
        <w:adjustRightInd/>
        <w:snapToGrid/>
        <w:spacing w:before="0" w:beforeAutospacing="0" w:after="0" w:afterAutospacing="0" w:line="240" w:lineRule="auto"/>
        <w:jc w:val="center"/>
        <w:textAlignment w:val="auto"/>
        <w:outlineLvl w:val="0"/>
        <w:rPr>
          <w:rFonts w:hint="eastAsia" w:ascii="Times New Roman" w:hAnsi="Times New Roman" w:eastAsia="宋体" w:cs="Times New Roman"/>
          <w:b/>
          <w:bCs/>
          <w:snapToGrid w:val="0"/>
          <w:color w:val="auto"/>
          <w:sz w:val="28"/>
          <w:szCs w:val="28"/>
          <w:u w:val="none" w:color="auto"/>
        </w:rPr>
        <w:sectPr>
          <w:pgSz w:w="16838" w:h="11906" w:orient="landscape"/>
          <w:pgMar w:top="1800" w:right="1440" w:bottom="1800" w:left="1440" w:header="851" w:footer="992" w:gutter="0"/>
          <w:pgBorders>
            <w:top w:val="none" w:sz="0" w:space="0"/>
            <w:left w:val="none" w:sz="0" w:space="0"/>
            <w:bottom w:val="none" w:sz="0" w:space="0"/>
            <w:right w:val="none" w:sz="0" w:space="0"/>
          </w:pgBorders>
          <w:pgNumType w:fmt="decimal"/>
          <w:cols w:space="425" w:num="1"/>
          <w:docGrid w:type="lines" w:linePitch="312" w:charSpace="0"/>
        </w:sectPr>
      </w:pPr>
    </w:p>
    <w:tbl>
      <w:tblPr>
        <w:tblStyle w:val="19"/>
        <w:tblW w:w="9085" w:type="dxa"/>
        <w:tblInd w:w="-40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29"/>
        <w:gridCol w:w="835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90" w:hRule="atLeast"/>
        </w:trPr>
        <w:tc>
          <w:tcPr>
            <w:tcW w:w="925" w:type="dxa"/>
          </w:tcPr>
          <w:p>
            <w:pPr>
              <w:pStyle w:val="15"/>
              <w:keepNext w:val="0"/>
              <w:keepLines w:val="0"/>
              <w:pageBreakBefore w:val="0"/>
              <w:widowControl/>
              <w:kinsoku/>
              <w:wordWrap/>
              <w:overflowPunct/>
              <w:topLinePunct w:val="0"/>
              <w:autoSpaceDE/>
              <w:autoSpaceDN/>
              <w:bidi w:val="0"/>
              <w:adjustRightInd/>
              <w:snapToGrid/>
              <w:spacing w:before="0" w:beforeAutospacing="0" w:after="0" w:afterAutospacing="0" w:line="240" w:lineRule="auto"/>
              <w:jc w:val="center"/>
              <w:textAlignment w:val="auto"/>
              <w:outlineLvl w:val="0"/>
              <w:rPr>
                <w:rFonts w:hint="eastAsia" w:ascii="Times New Roman" w:hAnsi="Times New Roman" w:eastAsia="宋体" w:cs="Times New Roman"/>
                <w:b/>
                <w:bCs/>
                <w:snapToGrid w:val="0"/>
                <w:color w:val="auto"/>
                <w:sz w:val="28"/>
                <w:szCs w:val="28"/>
                <w:u w:val="none" w:color="auto"/>
                <w:vertAlign w:val="baseline"/>
              </w:rPr>
            </w:pPr>
          </w:p>
        </w:tc>
        <w:tc>
          <w:tcPr>
            <w:tcW w:w="8160" w:type="dxa"/>
          </w:tcPr>
          <w:p>
            <w:pPr>
              <w:pageBreakBefore w:val="0"/>
              <w:numPr>
                <w:ilvl w:val="0"/>
                <w:numId w:val="8"/>
              </w:numPr>
              <w:kinsoku/>
              <w:overflowPunct/>
              <w:bidi w:val="0"/>
              <w:spacing w:line="360" w:lineRule="auto"/>
              <w:ind w:firstLine="482" w:firstLineChars="200"/>
              <w:rPr>
                <w:rFonts w:hint="default" w:ascii="Times New Roman" w:hAnsi="Times New Roman" w:eastAsia="宋体" w:cs="Times New Roman"/>
                <w:b/>
                <w:bCs/>
                <w:color w:val="auto"/>
                <w:sz w:val="24"/>
                <w:szCs w:val="24"/>
                <w:u w:val="none" w:color="auto"/>
                <w:lang w:val="en-US" w:eastAsia="zh-CN"/>
              </w:rPr>
            </w:pPr>
            <w:r>
              <w:rPr>
                <w:rFonts w:hint="eastAsia" w:ascii="Times New Roman" w:hAnsi="Times New Roman" w:eastAsia="宋体" w:cs="Times New Roman"/>
                <w:b/>
                <w:bCs/>
                <w:color w:val="auto"/>
                <w:sz w:val="24"/>
                <w:szCs w:val="24"/>
                <w:u w:val="none" w:color="auto"/>
                <w:lang w:val="en-US" w:eastAsia="zh-CN"/>
              </w:rPr>
              <w:t>废气治理设施可行性分析</w:t>
            </w:r>
          </w:p>
          <w:p>
            <w:pPr>
              <w:autoSpaceDE w:val="0"/>
              <w:autoSpaceDN w:val="0"/>
              <w:spacing w:line="360" w:lineRule="auto"/>
              <w:ind w:firstLine="480" w:firstLineChars="200"/>
              <w:rPr>
                <w:rFonts w:hint="eastAsia" w:cs="宋体"/>
                <w:sz w:val="24"/>
                <w:szCs w:val="22"/>
                <w:lang w:bidi="zh-CN"/>
              </w:rPr>
            </w:pPr>
            <w:r>
              <w:rPr>
                <w:rFonts w:hint="eastAsia" w:cs="宋体"/>
                <w:sz w:val="24"/>
                <w:szCs w:val="22"/>
                <w:lang w:bidi="zh-CN"/>
              </w:rPr>
              <w:t>（1）切割打包粉尘治理措施分析</w:t>
            </w:r>
          </w:p>
          <w:p>
            <w:pPr>
              <w:autoSpaceDE w:val="0"/>
              <w:autoSpaceDN w:val="0"/>
              <w:spacing w:line="360" w:lineRule="auto"/>
              <w:ind w:firstLine="480" w:firstLineChars="200"/>
              <w:rPr>
                <w:rFonts w:hint="eastAsia" w:cs="宋体"/>
                <w:sz w:val="24"/>
                <w:szCs w:val="22"/>
                <w:lang w:bidi="zh-CN"/>
              </w:rPr>
            </w:pPr>
            <w:r>
              <w:rPr>
                <w:rFonts w:hint="eastAsia" w:cs="宋体"/>
                <w:sz w:val="24"/>
                <w:szCs w:val="22"/>
                <w:lang w:bidi="zh-CN"/>
              </w:rPr>
              <w:t>根据建设单位提供的生产方案，本项目仅对报废汽车拆解产生的废金属钢材进行简单剪切、人工分选后即进行压块打包，不进行进一步破碎。</w:t>
            </w:r>
          </w:p>
          <w:p>
            <w:pPr>
              <w:autoSpaceDE w:val="0"/>
              <w:autoSpaceDN w:val="0"/>
              <w:spacing w:line="360" w:lineRule="auto"/>
              <w:ind w:firstLine="480" w:firstLineChars="200"/>
              <w:rPr>
                <w:rFonts w:hint="eastAsia" w:cs="宋体"/>
                <w:sz w:val="24"/>
                <w:szCs w:val="22"/>
                <w:lang w:bidi="zh-CN"/>
              </w:rPr>
            </w:pPr>
            <w:r>
              <w:rPr>
                <w:rFonts w:cs="宋体"/>
                <w:sz w:val="24"/>
                <w:szCs w:val="22"/>
                <w:lang w:bidi="zh-CN"/>
              </w:rPr>
              <w:t>项目中大件钢材的切割主要以剪断机为主，仅在对车体进行肢解时对较难拆卸部分进行</w:t>
            </w:r>
            <w:r>
              <w:rPr>
                <w:rFonts w:hint="eastAsia" w:cs="宋体"/>
                <w:sz w:val="24"/>
                <w:szCs w:val="22"/>
                <w:lang w:val="zh-CN" w:bidi="zh-CN"/>
              </w:rPr>
              <w:t>采用</w:t>
            </w:r>
            <w:r>
              <w:rPr>
                <w:rFonts w:hint="eastAsia" w:cs="宋体"/>
                <w:sz w:val="24"/>
                <w:szCs w:val="22"/>
                <w:lang w:bidi="zh-CN"/>
              </w:rPr>
              <w:t>等离子切割</w:t>
            </w:r>
            <w:r>
              <w:rPr>
                <w:rFonts w:cs="宋体"/>
                <w:sz w:val="24"/>
                <w:szCs w:val="22"/>
                <w:lang w:bidi="zh-CN"/>
              </w:rPr>
              <w:t>。</w:t>
            </w:r>
            <w:r>
              <w:rPr>
                <w:rFonts w:hint="eastAsia" w:cs="宋体"/>
                <w:sz w:val="24"/>
                <w:szCs w:val="22"/>
                <w:lang w:val="zh-CN" w:bidi="zh-CN"/>
              </w:rPr>
              <w:t>切割</w:t>
            </w:r>
            <w:r>
              <w:rPr>
                <w:rFonts w:hint="eastAsia" w:cs="宋体"/>
                <w:sz w:val="24"/>
                <w:szCs w:val="22"/>
                <w:lang w:bidi="zh-CN"/>
              </w:rPr>
              <w:t>粉尘</w:t>
            </w:r>
            <w:r>
              <w:rPr>
                <w:rFonts w:hint="eastAsia"/>
                <w:sz w:val="24"/>
              </w:rPr>
              <w:t>采用移动式烟尘净化器进行处理</w:t>
            </w:r>
            <w:r>
              <w:rPr>
                <w:rFonts w:hint="eastAsia" w:cs="宋体"/>
                <w:sz w:val="24"/>
                <w:szCs w:val="22"/>
                <w:lang w:val="zh-CN" w:bidi="zh-CN"/>
              </w:rPr>
              <w:t>后</w:t>
            </w:r>
            <w:r>
              <w:rPr>
                <w:rFonts w:hint="eastAsia" w:cs="宋体"/>
                <w:sz w:val="24"/>
                <w:szCs w:val="22"/>
                <w:lang w:bidi="zh-CN"/>
              </w:rPr>
              <w:t>在车间内无组织</w:t>
            </w:r>
            <w:r>
              <w:rPr>
                <w:rFonts w:hint="eastAsia" w:cs="宋体"/>
                <w:sz w:val="24"/>
                <w:szCs w:val="22"/>
                <w:lang w:val="zh-CN" w:bidi="zh-CN"/>
              </w:rPr>
              <w:t>排放，</w:t>
            </w:r>
            <w:r>
              <w:rPr>
                <w:rFonts w:hint="eastAsia" w:eastAsia="宋体"/>
                <w:lang w:val="en-US" w:eastAsia="zh-CN"/>
              </w:rPr>
              <w:t>符合《排污许可证申请与核发技术规范 废弃资源加工工业》（HJ1034-2019）表8中要求</w:t>
            </w:r>
            <w:r>
              <w:rPr>
                <w:rFonts w:hint="eastAsia" w:cs="宋体"/>
                <w:sz w:val="24"/>
                <w:szCs w:val="22"/>
                <w:lang w:val="zh-CN" w:eastAsia="zh-CN" w:bidi="zh-CN"/>
              </w:rPr>
              <w:t>。</w:t>
            </w:r>
          </w:p>
          <w:p>
            <w:pPr>
              <w:autoSpaceDE w:val="0"/>
              <w:autoSpaceDN w:val="0"/>
              <w:spacing w:line="360" w:lineRule="auto"/>
              <w:ind w:firstLine="480" w:firstLineChars="200"/>
              <w:rPr>
                <w:rFonts w:hint="eastAsia" w:cs="宋体"/>
                <w:sz w:val="24"/>
                <w:szCs w:val="22"/>
                <w:lang w:bidi="zh-CN"/>
              </w:rPr>
            </w:pPr>
            <w:r>
              <w:rPr>
                <w:rFonts w:hint="eastAsia" w:cs="宋体"/>
                <w:sz w:val="24"/>
                <w:szCs w:val="22"/>
                <w:lang w:bidi="zh-CN"/>
              </w:rPr>
              <w:t>（2）废</w:t>
            </w:r>
            <w:r>
              <w:rPr>
                <w:rFonts w:hint="eastAsia" w:cs="宋体"/>
                <w:sz w:val="24"/>
                <w:szCs w:val="22"/>
                <w:lang w:val="en-US" w:bidi="zh-CN"/>
              </w:rPr>
              <w:t>油液抽取产生的</w:t>
            </w:r>
            <w:r>
              <w:rPr>
                <w:rFonts w:hint="eastAsia" w:cs="宋体"/>
                <w:sz w:val="24"/>
                <w:szCs w:val="22"/>
                <w:lang w:bidi="zh-CN"/>
              </w:rPr>
              <w:t>废气治理措施分析</w:t>
            </w:r>
          </w:p>
          <w:p>
            <w:pPr>
              <w:autoSpaceDE w:val="0"/>
              <w:autoSpaceDN w:val="0"/>
              <w:spacing w:line="360" w:lineRule="auto"/>
              <w:ind w:firstLine="480" w:firstLineChars="200"/>
              <w:rPr>
                <w:rFonts w:hint="eastAsia" w:ascii="Times New Roman" w:hAnsi="Times New Roman" w:eastAsia="宋体"/>
                <w:color w:val="auto"/>
                <w:kern w:val="0"/>
                <w:sz w:val="24"/>
                <w:szCs w:val="24"/>
                <w:u w:val="none" w:color="auto"/>
              </w:rPr>
            </w:pPr>
            <w:r>
              <w:rPr>
                <w:rFonts w:hint="eastAsia" w:cs="宋体"/>
                <w:sz w:val="24"/>
                <w:szCs w:val="22"/>
                <w:lang w:bidi="zh-CN"/>
              </w:rPr>
              <w:t>本项目废油液抽取、暂存中挥发的废气主要通无组织排放。本项目主体工程设计采用油气回收装置，同时配套油液储存罐；项目拆解过程中首先对各类废油、液进行封闭抽取，抽取后采用封闭罐体进行储存，以减少项目非甲烷总烃的排放。根据前述工程分析，在采取上述工艺措施后，本项目拆解车间油液回收、暂存过程中的无组织非甲烷总烃排放量较小，经大气稀释扩散后，厂界无组织非甲烷总烃达标排放，对周围环境空气影响不大，对评价区域的敏感点影响很小</w:t>
            </w:r>
            <w:r>
              <w:rPr>
                <w:rFonts w:hint="eastAsia" w:cs="宋体"/>
                <w:sz w:val="24"/>
                <w:szCs w:val="22"/>
                <w:u w:val="none" w:color="auto"/>
                <w:lang w:bidi="zh-CN"/>
              </w:rPr>
              <w:t>。</w:t>
            </w:r>
            <w:r>
              <w:rPr>
                <w:rFonts w:hint="eastAsia" w:cs="宋体"/>
                <w:sz w:val="24"/>
                <w:szCs w:val="22"/>
                <w:u w:val="none" w:color="auto"/>
                <w:lang w:val="en-US" w:bidi="zh-CN"/>
              </w:rPr>
              <w:t>根据</w:t>
            </w:r>
            <w:r>
              <w:rPr>
                <w:rFonts w:hint="eastAsia" w:ascii="Times New Roman" w:hAnsi="Times New Roman" w:eastAsia="宋体"/>
                <w:color w:val="auto"/>
                <w:kern w:val="0"/>
                <w:sz w:val="24"/>
                <w:szCs w:val="24"/>
                <w:u w:val="none" w:color="auto"/>
              </w:rPr>
              <w:t>《挥发性有机物无组织排放控制标准》（GB37822-2019）《挥发性有机物无组织排放控制标准》 10.3条款VOCs排放控制要求条款规定，“收集的废气中NMHC初始排放速率大于等于3kg/h时，应配置VOCs处理设施，处理效率不应低于80%。对于重点地区，收集的废气中NMHC初始排放速率大于等于2kg/h时，应配置VOCs处理设施，处理效率不应低于80%”。本项目非甲烷总烃（NMHC）的</w:t>
            </w:r>
            <w:r>
              <w:rPr>
                <w:rFonts w:hint="eastAsia" w:ascii="Times New Roman" w:hAnsi="Times New Roman" w:eastAsia="宋体"/>
                <w:color w:val="auto"/>
                <w:kern w:val="0"/>
                <w:sz w:val="24"/>
                <w:szCs w:val="24"/>
                <w:u w:val="none" w:color="auto"/>
                <w:lang w:eastAsia="zh-CN"/>
              </w:rPr>
              <w:t>产生</w:t>
            </w:r>
            <w:r>
              <w:rPr>
                <w:rFonts w:hint="eastAsia" w:ascii="Times New Roman" w:hAnsi="Times New Roman" w:eastAsia="宋体"/>
                <w:color w:val="auto"/>
                <w:kern w:val="0"/>
                <w:sz w:val="24"/>
                <w:szCs w:val="24"/>
                <w:u w:val="none" w:color="auto"/>
              </w:rPr>
              <w:t>速率为0.</w:t>
            </w:r>
            <w:r>
              <w:rPr>
                <w:rFonts w:hint="eastAsia"/>
                <w:color w:val="auto"/>
                <w:kern w:val="0"/>
                <w:sz w:val="24"/>
                <w:szCs w:val="24"/>
                <w:u w:val="none" w:color="auto"/>
                <w:lang w:val="en-US" w:eastAsia="zh-CN"/>
              </w:rPr>
              <w:t>098</w:t>
            </w:r>
            <w:r>
              <w:rPr>
                <w:rFonts w:hint="eastAsia" w:ascii="Times New Roman" w:hAnsi="Times New Roman" w:eastAsia="宋体"/>
                <w:color w:val="auto"/>
                <w:kern w:val="0"/>
                <w:sz w:val="24"/>
                <w:szCs w:val="24"/>
                <w:u w:val="none" w:color="auto"/>
              </w:rPr>
              <w:t>kg/h，远低于3kg/h，</w:t>
            </w:r>
            <w:r>
              <w:rPr>
                <w:rFonts w:hint="eastAsia" w:ascii="Times New Roman" w:hAnsi="Times New Roman" w:eastAsia="宋体"/>
                <w:color w:val="auto"/>
                <w:kern w:val="0"/>
                <w:sz w:val="24"/>
                <w:szCs w:val="24"/>
                <w:u w:val="none" w:color="auto"/>
                <w:lang w:eastAsia="zh-CN"/>
              </w:rPr>
              <w:t>因此可不设置废气处置设施</w:t>
            </w:r>
            <w:r>
              <w:rPr>
                <w:rFonts w:hint="eastAsia" w:ascii="Times New Roman" w:hAnsi="Times New Roman" w:eastAsia="宋体"/>
                <w:color w:val="auto"/>
                <w:kern w:val="0"/>
                <w:sz w:val="24"/>
                <w:szCs w:val="24"/>
                <w:u w:val="none" w:color="auto"/>
              </w:rPr>
              <w:t>。</w:t>
            </w:r>
          </w:p>
          <w:p>
            <w:pPr>
              <w:keepNext w:val="0"/>
              <w:keepLines w:val="0"/>
              <w:widowControl/>
              <w:suppressLineNumbers w:val="0"/>
              <w:ind w:firstLine="480" w:firstLineChars="200"/>
              <w:jc w:val="left"/>
              <w:rPr>
                <w:rFonts w:hint="eastAsia" w:ascii="宋体" w:hAnsi="宋体" w:eastAsia="宋体" w:cs="宋体"/>
                <w:color w:val="000000"/>
                <w:kern w:val="0"/>
                <w:sz w:val="24"/>
                <w:szCs w:val="24"/>
                <w:lang w:val="en-US" w:eastAsia="zh-CN" w:bidi="ar"/>
              </w:rPr>
            </w:pPr>
            <w:r>
              <w:rPr>
                <w:rFonts w:hint="eastAsia" w:cs="宋体"/>
                <w:sz w:val="24"/>
                <w:szCs w:val="22"/>
                <w:lang w:bidi="zh-CN"/>
              </w:rPr>
              <w:t>（</w:t>
            </w:r>
            <w:r>
              <w:rPr>
                <w:rFonts w:hint="eastAsia" w:cs="宋体"/>
                <w:sz w:val="24"/>
                <w:szCs w:val="22"/>
                <w:lang w:val="en-US" w:bidi="zh-CN"/>
              </w:rPr>
              <w:t>3</w:t>
            </w:r>
            <w:r>
              <w:rPr>
                <w:rFonts w:hint="eastAsia" w:cs="宋体"/>
                <w:sz w:val="24"/>
                <w:szCs w:val="22"/>
                <w:lang w:bidi="zh-CN"/>
              </w:rPr>
              <w:t>）</w:t>
            </w:r>
            <w:r>
              <w:rPr>
                <w:rFonts w:hint="eastAsia" w:cs="宋体"/>
                <w:sz w:val="24"/>
                <w:szCs w:val="22"/>
                <w:lang w:val="en-US" w:bidi="zh-CN"/>
              </w:rPr>
              <w:t>拆解粉尘</w:t>
            </w:r>
            <w:r>
              <w:rPr>
                <w:rFonts w:hint="eastAsia" w:cs="宋体"/>
                <w:sz w:val="24"/>
                <w:szCs w:val="22"/>
                <w:lang w:bidi="zh-CN"/>
              </w:rPr>
              <w:t>治理措施分析</w:t>
            </w:r>
          </w:p>
          <w:p>
            <w:pPr>
              <w:keepNext w:val="0"/>
              <w:keepLines w:val="0"/>
              <w:widowControl/>
              <w:suppressLineNumbers w:val="0"/>
              <w:ind w:firstLine="480" w:firstLineChars="200"/>
              <w:jc w:val="left"/>
            </w:pPr>
            <w:r>
              <w:rPr>
                <w:rFonts w:hint="eastAsia" w:ascii="宋体" w:hAnsi="宋体" w:eastAsia="宋体" w:cs="宋体"/>
                <w:color w:val="000000"/>
                <w:kern w:val="0"/>
                <w:sz w:val="24"/>
                <w:szCs w:val="24"/>
                <w:lang w:val="en-US" w:eastAsia="zh-CN" w:bidi="ar"/>
              </w:rPr>
              <w:t xml:space="preserve">拆解工序产生的粉尘加强厂区通风能满足《大气污染物综合排放标准》 </w:t>
            </w:r>
          </w:p>
          <w:p>
            <w:pPr>
              <w:keepNext w:val="0"/>
              <w:keepLines w:val="0"/>
              <w:widowControl/>
              <w:suppressLineNumbers w:val="0"/>
              <w:jc w:val="left"/>
            </w:pPr>
            <w:r>
              <w:rPr>
                <w:rFonts w:hint="eastAsia" w:ascii="宋体" w:hAnsi="宋体" w:eastAsia="宋体" w:cs="宋体"/>
                <w:color w:val="000000"/>
                <w:kern w:val="0"/>
                <w:sz w:val="24"/>
                <w:szCs w:val="24"/>
                <w:lang w:val="en-US" w:eastAsia="zh-CN" w:bidi="ar"/>
              </w:rPr>
              <w:t>（</w:t>
            </w:r>
            <w:r>
              <w:rPr>
                <w:rFonts w:hint="default" w:ascii="Times New Roman" w:hAnsi="Times New Roman" w:eastAsia="宋体" w:cs="Times New Roman"/>
                <w:color w:val="000000"/>
                <w:kern w:val="0"/>
                <w:sz w:val="24"/>
                <w:szCs w:val="24"/>
                <w:lang w:val="en-US" w:eastAsia="zh-CN" w:bidi="ar"/>
              </w:rPr>
              <w:t>GB16297-1996</w:t>
            </w:r>
            <w:r>
              <w:rPr>
                <w:rFonts w:hint="eastAsia" w:ascii="宋体" w:hAnsi="宋体" w:eastAsia="宋体" w:cs="宋体"/>
                <w:color w:val="000000"/>
                <w:kern w:val="0"/>
                <w:sz w:val="24"/>
                <w:szCs w:val="24"/>
                <w:lang w:val="en-US" w:eastAsia="zh-CN" w:bidi="ar"/>
              </w:rPr>
              <w:t xml:space="preserve">）表 </w:t>
            </w:r>
            <w:r>
              <w:rPr>
                <w:rFonts w:hint="default" w:ascii="Times New Roman" w:hAnsi="Times New Roman" w:eastAsia="宋体" w:cs="Times New Roman"/>
                <w:color w:val="000000"/>
                <w:kern w:val="0"/>
                <w:sz w:val="24"/>
                <w:szCs w:val="24"/>
                <w:lang w:val="en-US" w:eastAsia="zh-CN" w:bidi="ar"/>
              </w:rPr>
              <w:t xml:space="preserve">2 </w:t>
            </w:r>
            <w:r>
              <w:rPr>
                <w:rFonts w:hint="eastAsia" w:ascii="宋体" w:hAnsi="宋体" w:eastAsia="宋体" w:cs="宋体"/>
                <w:color w:val="000000"/>
                <w:kern w:val="0"/>
                <w:sz w:val="24"/>
                <w:szCs w:val="24"/>
                <w:lang w:val="en-US" w:eastAsia="zh-CN" w:bidi="ar"/>
              </w:rPr>
              <w:t xml:space="preserve">中无组织排放监控浓度限值要求，经大气稀释衰减 </w:t>
            </w:r>
          </w:p>
          <w:p>
            <w:pPr>
              <w:keepNext w:val="0"/>
              <w:keepLines w:val="0"/>
              <w:widowControl/>
              <w:suppressLineNumbers w:val="0"/>
              <w:jc w:val="left"/>
            </w:pPr>
            <w:r>
              <w:rPr>
                <w:rFonts w:hint="eastAsia" w:ascii="宋体" w:hAnsi="宋体" w:eastAsia="宋体" w:cs="宋体"/>
                <w:color w:val="000000"/>
                <w:kern w:val="0"/>
                <w:sz w:val="24"/>
                <w:szCs w:val="24"/>
                <w:lang w:val="en-US" w:eastAsia="zh-CN" w:bidi="ar"/>
              </w:rPr>
              <w:t>后，对周边环境空气质量贡献较小，对区域环境影响在可控范围内。另外，</w:t>
            </w:r>
          </w:p>
          <w:p>
            <w:pPr>
              <w:keepNext w:val="0"/>
              <w:keepLines w:val="0"/>
              <w:widowControl/>
              <w:suppressLineNumbers w:val="0"/>
              <w:jc w:val="left"/>
              <w:rPr>
                <w:rFonts w:hint="eastAsia"/>
              </w:rPr>
            </w:pPr>
            <w:r>
              <w:rPr>
                <w:rFonts w:hint="eastAsia" w:ascii="宋体" w:hAnsi="宋体" w:eastAsia="宋体" w:cs="宋体"/>
                <w:color w:val="000000"/>
                <w:kern w:val="0"/>
                <w:sz w:val="24"/>
                <w:szCs w:val="24"/>
                <w:lang w:val="en-US" w:eastAsia="zh-CN" w:bidi="ar"/>
              </w:rPr>
              <w:t xml:space="preserve">企 业须加强拆解车间地面清扫，降低拆解粉尘排放的影响。 </w:t>
            </w:r>
          </w:p>
          <w:p>
            <w:pPr>
              <w:pageBreakBefore w:val="0"/>
              <w:numPr>
                <w:ilvl w:val="0"/>
                <w:numId w:val="8"/>
              </w:numPr>
              <w:kinsoku/>
              <w:overflowPunct/>
              <w:bidi w:val="0"/>
              <w:spacing w:line="360" w:lineRule="auto"/>
              <w:ind w:firstLine="482" w:firstLineChars="200"/>
              <w:rPr>
                <w:rFonts w:hint="default" w:ascii="Times New Roman" w:hAnsi="Times New Roman" w:eastAsia="宋体" w:cs="Times New Roman"/>
                <w:b/>
                <w:bCs/>
                <w:color w:val="auto"/>
                <w:sz w:val="24"/>
                <w:szCs w:val="24"/>
                <w:u w:val="none" w:color="auto"/>
                <w:lang w:val="en-US" w:eastAsia="zh-CN"/>
              </w:rPr>
            </w:pPr>
            <w:r>
              <w:rPr>
                <w:rFonts w:hint="default" w:ascii="Times New Roman" w:hAnsi="Times New Roman" w:eastAsia="宋体" w:cs="Times New Roman"/>
                <w:b/>
                <w:bCs/>
                <w:color w:val="auto"/>
                <w:sz w:val="24"/>
                <w:szCs w:val="24"/>
                <w:u w:val="none" w:color="auto"/>
                <w:lang w:val="en-US" w:eastAsia="zh-CN"/>
              </w:rPr>
              <w:t>废气监测要求</w:t>
            </w:r>
          </w:p>
          <w:p>
            <w:pPr>
              <w:autoSpaceDE w:val="0"/>
              <w:autoSpaceDN w:val="0"/>
              <w:spacing w:line="360" w:lineRule="auto"/>
              <w:ind w:firstLine="480" w:firstLineChars="200"/>
              <w:rPr>
                <w:rFonts w:hint="eastAsia" w:cs="宋体"/>
                <w:sz w:val="24"/>
                <w:szCs w:val="22"/>
                <w:lang w:bidi="zh-CN"/>
              </w:rPr>
            </w:pPr>
            <w:r>
              <w:rPr>
                <w:rFonts w:hint="eastAsia" w:cs="宋体"/>
                <w:sz w:val="24"/>
                <w:szCs w:val="22"/>
                <w:lang w:bidi="zh-CN"/>
              </w:rPr>
              <w:t>根据《排污单位自行监测技术指南总则》（HJ819-2017）、《排污许可证申请与核发技术规范废弃资源加工工业》（HJ1034-2019）等规定的监测要求，制定本项目监测计划，具体要求见下表。</w:t>
            </w:r>
          </w:p>
          <w:p>
            <w:pPr>
              <w:pStyle w:val="27"/>
              <w:bidi w:val="0"/>
              <w:spacing w:line="240" w:lineRule="auto"/>
              <w:jc w:val="center"/>
              <w:rPr>
                <w:rFonts w:hint="default" w:ascii="Times New Roman" w:hAnsi="Times New Roman" w:eastAsia="宋体" w:cs="Times New Roman"/>
                <w:lang w:val="en-US" w:eastAsia="zh-CN"/>
              </w:rPr>
            </w:pPr>
            <w:r>
              <w:rPr>
                <w:rFonts w:hint="default" w:ascii="Times New Roman" w:hAnsi="Times New Roman" w:eastAsia="宋体" w:cs="Times New Roman"/>
                <w:lang w:val="en-US" w:eastAsia="zh-CN"/>
              </w:rPr>
              <w:t>表4-</w:t>
            </w:r>
            <w:r>
              <w:rPr>
                <w:rFonts w:hint="eastAsia" w:cs="Times New Roman"/>
                <w:lang w:val="en-US" w:eastAsia="zh-CN"/>
              </w:rPr>
              <w:t>2</w:t>
            </w:r>
            <w:r>
              <w:rPr>
                <w:rFonts w:hint="default" w:ascii="Times New Roman" w:hAnsi="Times New Roman" w:eastAsia="宋体" w:cs="Times New Roman"/>
                <w:lang w:val="en-US" w:eastAsia="zh-CN"/>
              </w:rPr>
              <w:t xml:space="preserve">  项目废气监测计划一览表</w:t>
            </w:r>
          </w:p>
          <w:tbl>
            <w:tblPr>
              <w:tblStyle w:val="18"/>
              <w:tblW w:w="0" w:type="auto"/>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010"/>
              <w:gridCol w:w="1236"/>
              <w:gridCol w:w="1284"/>
              <w:gridCol w:w="1320"/>
              <w:gridCol w:w="3064"/>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69" w:hRule="atLeast"/>
                <w:jc w:val="center"/>
              </w:trPr>
              <w:tc>
                <w:tcPr>
                  <w:tcW w:w="1010"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序号</w:t>
                  </w:r>
                </w:p>
              </w:tc>
              <w:tc>
                <w:tcPr>
                  <w:tcW w:w="1236"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监测点位</w:t>
                  </w:r>
                </w:p>
              </w:tc>
              <w:tc>
                <w:tcPr>
                  <w:tcW w:w="1284"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监测因子</w:t>
                  </w:r>
                </w:p>
              </w:tc>
              <w:tc>
                <w:tcPr>
                  <w:tcW w:w="1320"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监测频次</w:t>
                  </w:r>
                </w:p>
              </w:tc>
              <w:tc>
                <w:tcPr>
                  <w:tcW w:w="3064"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执行标准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69" w:hRule="atLeast"/>
                <w:jc w:val="center"/>
              </w:trPr>
              <w:tc>
                <w:tcPr>
                  <w:tcW w:w="1010" w:type="dxa"/>
                  <w:vMerge w:val="restar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eastAsia" w:ascii="Times New Roman" w:hAnsi="Times New Roman" w:eastAsia="宋体" w:cs="Times New Roman"/>
                      <w:b w:val="0"/>
                      <w:bCs w:val="0"/>
                      <w:color w:val="auto"/>
                      <w:sz w:val="21"/>
                      <w:szCs w:val="21"/>
                      <w:u w:color="auto"/>
                      <w:lang w:eastAsia="zh-CN"/>
                    </w:rPr>
                  </w:pPr>
                  <w:r>
                    <w:rPr>
                      <w:rFonts w:hint="eastAsia" w:cs="Times New Roman"/>
                      <w:b w:val="0"/>
                      <w:bCs w:val="0"/>
                      <w:color w:val="auto"/>
                      <w:sz w:val="21"/>
                      <w:szCs w:val="21"/>
                      <w:u w:color="auto"/>
                      <w:lang w:val="en-US" w:eastAsia="zh-CN"/>
                    </w:rPr>
                    <w:t>1</w:t>
                  </w:r>
                </w:p>
              </w:tc>
              <w:tc>
                <w:tcPr>
                  <w:tcW w:w="1236" w:type="dxa"/>
                  <w:vMerge w:val="restar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厂界</w:t>
                  </w:r>
                </w:p>
              </w:tc>
              <w:tc>
                <w:tcPr>
                  <w:tcW w:w="1284"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eastAsia" w:ascii="Times New Roman" w:hAnsi="Times New Roman" w:eastAsia="宋体" w:cs="Times New Roman"/>
                      <w:b w:val="0"/>
                      <w:bCs w:val="0"/>
                      <w:color w:val="auto"/>
                      <w:sz w:val="21"/>
                      <w:szCs w:val="21"/>
                      <w:u w:color="auto"/>
                      <w:lang w:eastAsia="zh-CN"/>
                    </w:rPr>
                  </w:pPr>
                  <w:r>
                    <w:rPr>
                      <w:rFonts w:hint="eastAsia" w:ascii="Times New Roman" w:hAnsi="Times New Roman" w:eastAsia="宋体" w:cs="Times New Roman"/>
                      <w:b w:val="0"/>
                      <w:bCs w:val="0"/>
                      <w:color w:val="auto"/>
                      <w:sz w:val="21"/>
                      <w:szCs w:val="21"/>
                      <w:u w:color="auto"/>
                      <w:lang w:eastAsia="zh-CN"/>
                    </w:rPr>
                    <w:t>非甲烷总烃</w:t>
                  </w:r>
                </w:p>
              </w:tc>
              <w:tc>
                <w:tcPr>
                  <w:tcW w:w="1320"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1次/年</w:t>
                  </w:r>
                </w:p>
              </w:tc>
              <w:tc>
                <w:tcPr>
                  <w:tcW w:w="3064"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eastAsia" w:ascii="Times New Roman" w:hAnsi="Times New Roman" w:eastAsia="宋体" w:cs="Times New Roman"/>
                      <w:b w:val="0"/>
                      <w:bCs w:val="0"/>
                      <w:color w:val="auto"/>
                      <w:sz w:val="21"/>
                      <w:szCs w:val="21"/>
                      <w:u w:color="auto"/>
                    </w:rPr>
                    <w:t>《大气污染物综合排放标准》（</w:t>
                  </w:r>
                  <w:r>
                    <w:rPr>
                      <w:rFonts w:hint="default" w:ascii="Times New Roman" w:hAnsi="Times New Roman" w:eastAsia="宋体" w:cs="Times New Roman"/>
                      <w:b w:val="0"/>
                      <w:bCs w:val="0"/>
                      <w:color w:val="auto"/>
                      <w:sz w:val="21"/>
                      <w:szCs w:val="21"/>
                      <w:u w:color="auto"/>
                    </w:rPr>
                    <w:t>GB16297-1996</w:t>
                  </w:r>
                  <w:r>
                    <w:rPr>
                      <w:rFonts w:hint="eastAsia" w:ascii="Times New Roman" w:hAnsi="Times New Roman" w:eastAsia="宋体" w:cs="Times New Roman"/>
                      <w:b w:val="0"/>
                      <w:bCs w:val="0"/>
                      <w:color w:val="auto"/>
                      <w:sz w:val="21"/>
                      <w:szCs w:val="21"/>
                      <w:u w:color="auto"/>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69" w:hRule="atLeast"/>
                <w:jc w:val="center"/>
              </w:trPr>
              <w:tc>
                <w:tcPr>
                  <w:tcW w:w="1010" w:type="dxa"/>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p>
              </w:tc>
              <w:tc>
                <w:tcPr>
                  <w:tcW w:w="1236" w:type="dxa"/>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p>
              </w:tc>
              <w:tc>
                <w:tcPr>
                  <w:tcW w:w="1284"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颗粒物</w:t>
                  </w:r>
                </w:p>
              </w:tc>
              <w:tc>
                <w:tcPr>
                  <w:tcW w:w="1320"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1次/年</w:t>
                  </w:r>
                </w:p>
              </w:tc>
              <w:tc>
                <w:tcPr>
                  <w:tcW w:w="3064"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eastAsia" w:ascii="Times New Roman" w:hAnsi="Times New Roman" w:eastAsia="宋体" w:cs="Times New Roman"/>
                      <w:b w:val="0"/>
                      <w:bCs w:val="0"/>
                      <w:color w:val="auto"/>
                      <w:sz w:val="21"/>
                      <w:szCs w:val="21"/>
                      <w:u w:color="auto"/>
                    </w:rPr>
                    <w:t>《大气污染物综合排放标准》（</w:t>
                  </w:r>
                  <w:r>
                    <w:rPr>
                      <w:rFonts w:hint="default" w:ascii="Times New Roman" w:hAnsi="Times New Roman" w:eastAsia="宋体" w:cs="Times New Roman"/>
                      <w:b w:val="0"/>
                      <w:bCs w:val="0"/>
                      <w:color w:val="auto"/>
                      <w:sz w:val="21"/>
                      <w:szCs w:val="21"/>
                      <w:u w:color="auto"/>
                    </w:rPr>
                    <w:t>GB16297-1996</w:t>
                  </w:r>
                  <w:r>
                    <w:rPr>
                      <w:rFonts w:hint="eastAsia" w:ascii="Times New Roman" w:hAnsi="Times New Roman" w:eastAsia="宋体" w:cs="Times New Roman"/>
                      <w:b w:val="0"/>
                      <w:bCs w:val="0"/>
                      <w:color w:val="auto"/>
                      <w:sz w:val="21"/>
                      <w:szCs w:val="21"/>
                      <w:u w:color="auto"/>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69" w:hRule="atLeast"/>
                <w:jc w:val="center"/>
              </w:trPr>
              <w:tc>
                <w:tcPr>
                  <w:tcW w:w="1010" w:type="dxa"/>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p>
              </w:tc>
              <w:tc>
                <w:tcPr>
                  <w:tcW w:w="1236" w:type="dxa"/>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p>
              </w:tc>
              <w:tc>
                <w:tcPr>
                  <w:tcW w:w="1284"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eastAsia" w:ascii="Times New Roman" w:hAnsi="Times New Roman" w:eastAsia="宋体" w:cs="Times New Roman"/>
                      <w:b w:val="0"/>
                      <w:bCs w:val="0"/>
                      <w:color w:val="auto"/>
                      <w:sz w:val="21"/>
                      <w:szCs w:val="21"/>
                      <w:u w:color="auto"/>
                      <w:lang w:val="en-US" w:eastAsia="zh-CN"/>
                    </w:rPr>
                  </w:pPr>
                  <w:r>
                    <w:rPr>
                      <w:rFonts w:hint="eastAsia" w:cs="Times New Roman"/>
                      <w:b w:val="0"/>
                      <w:bCs w:val="0"/>
                      <w:color w:val="auto"/>
                      <w:sz w:val="21"/>
                      <w:szCs w:val="21"/>
                      <w:u w:color="auto"/>
                      <w:lang w:val="en-US" w:eastAsia="zh-CN"/>
                    </w:rPr>
                    <w:t>氟化物</w:t>
                  </w:r>
                </w:p>
              </w:tc>
              <w:tc>
                <w:tcPr>
                  <w:tcW w:w="1320"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1次/年</w:t>
                  </w:r>
                </w:p>
              </w:tc>
              <w:tc>
                <w:tcPr>
                  <w:tcW w:w="3064"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eastAsia" w:ascii="Times New Roman" w:hAnsi="Times New Roman" w:eastAsia="宋体" w:cs="Times New Roman"/>
                      <w:b w:val="0"/>
                      <w:bCs w:val="0"/>
                      <w:color w:val="auto"/>
                      <w:sz w:val="21"/>
                      <w:szCs w:val="21"/>
                      <w:u w:color="auto"/>
                    </w:rPr>
                  </w:pPr>
                  <w:r>
                    <w:rPr>
                      <w:rFonts w:hint="eastAsia" w:ascii="Times New Roman" w:hAnsi="Times New Roman" w:eastAsia="宋体" w:cs="Times New Roman"/>
                      <w:b w:val="0"/>
                      <w:bCs w:val="0"/>
                      <w:color w:val="auto"/>
                      <w:sz w:val="21"/>
                      <w:szCs w:val="21"/>
                      <w:u w:color="auto"/>
                    </w:rPr>
                    <w:t>《大气污染物综合排放标准》（</w:t>
                  </w:r>
                  <w:r>
                    <w:rPr>
                      <w:rFonts w:hint="default" w:ascii="Times New Roman" w:hAnsi="Times New Roman" w:eastAsia="宋体" w:cs="Times New Roman"/>
                      <w:b w:val="0"/>
                      <w:bCs w:val="0"/>
                      <w:color w:val="auto"/>
                      <w:sz w:val="21"/>
                      <w:szCs w:val="21"/>
                      <w:u w:color="auto"/>
                    </w:rPr>
                    <w:t>GB16297-1996</w:t>
                  </w:r>
                  <w:r>
                    <w:rPr>
                      <w:rFonts w:hint="eastAsia" w:ascii="Times New Roman" w:hAnsi="Times New Roman" w:eastAsia="宋体" w:cs="Times New Roman"/>
                      <w:b w:val="0"/>
                      <w:bCs w:val="0"/>
                      <w:color w:val="auto"/>
                      <w:sz w:val="21"/>
                      <w:szCs w:val="21"/>
                      <w:u w:color="auto"/>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69" w:hRule="atLeast"/>
                <w:jc w:val="center"/>
              </w:trPr>
              <w:tc>
                <w:tcPr>
                  <w:tcW w:w="1010"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jc w:val="center"/>
                    <w:textAlignment w:val="auto"/>
                    <w:rPr>
                      <w:rFonts w:hint="eastAsia" w:ascii="Times New Roman" w:hAnsi="Times New Roman" w:eastAsia="宋体" w:cs="Times New Roman"/>
                      <w:b w:val="0"/>
                      <w:bCs w:val="0"/>
                      <w:color w:val="auto"/>
                      <w:sz w:val="21"/>
                      <w:szCs w:val="21"/>
                      <w:u w:color="auto"/>
                      <w:lang w:val="en-US" w:eastAsia="zh-CN"/>
                    </w:rPr>
                  </w:pPr>
                  <w:r>
                    <w:rPr>
                      <w:rFonts w:hint="eastAsia" w:cs="Times New Roman"/>
                      <w:b w:val="0"/>
                      <w:bCs w:val="0"/>
                      <w:color w:val="auto"/>
                      <w:sz w:val="21"/>
                      <w:szCs w:val="21"/>
                      <w:u w:color="auto"/>
                      <w:lang w:val="en-US" w:eastAsia="zh-CN"/>
                    </w:rPr>
                    <w:t>2</w:t>
                  </w:r>
                </w:p>
              </w:tc>
              <w:tc>
                <w:tcPr>
                  <w:tcW w:w="123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eastAsia"/>
                      <w:b w:val="0"/>
                      <w:bCs w:val="0"/>
                      <w:color w:val="auto"/>
                      <w:sz w:val="21"/>
                      <w:szCs w:val="21"/>
                      <w:u w:val="none" w:color="auto"/>
                      <w:vertAlign w:val="baseline"/>
                      <w:lang w:val="en-US" w:eastAsia="zh-CN"/>
                    </w:rPr>
                    <w:t>厂内车间外</w:t>
                  </w:r>
                </w:p>
              </w:tc>
              <w:tc>
                <w:tcPr>
                  <w:tcW w:w="128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val="none" w:color="auto"/>
                      <w:vertAlign w:val="baseline"/>
                      <w:lang w:val="en-US" w:eastAsia="zh-CN"/>
                    </w:rPr>
                    <w:t>非甲烷总烃</w:t>
                  </w:r>
                </w:p>
              </w:tc>
              <w:tc>
                <w:tcPr>
                  <w:tcW w:w="132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u w:color="auto"/>
                    </w:rPr>
                  </w:pPr>
                  <w:r>
                    <w:rPr>
                      <w:rFonts w:hint="default" w:ascii="Times New Roman" w:hAnsi="Times New Roman" w:eastAsia="宋体" w:cs="Times New Roman"/>
                      <w:b w:val="0"/>
                      <w:bCs w:val="0"/>
                      <w:color w:val="auto"/>
                      <w:sz w:val="21"/>
                      <w:szCs w:val="21"/>
                      <w:u w:color="auto"/>
                    </w:rPr>
                    <w:t>1次/年</w:t>
                  </w:r>
                </w:p>
              </w:tc>
              <w:tc>
                <w:tcPr>
                  <w:tcW w:w="306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auto"/>
                      <w:sz w:val="21"/>
                      <w:szCs w:val="21"/>
                      <w:u w:color="auto"/>
                    </w:rPr>
                  </w:pPr>
                  <w:r>
                    <w:rPr>
                      <w:rFonts w:hint="eastAsia" w:ascii="Times New Roman" w:hAnsi="Times New Roman" w:eastAsia="宋体" w:cs="Times New Roman"/>
                      <w:b w:val="0"/>
                      <w:bCs w:val="0"/>
                      <w:color w:val="auto"/>
                      <w:sz w:val="21"/>
                      <w:szCs w:val="21"/>
                      <w:u w:color="auto"/>
                      <w:lang w:val="en-US" w:eastAsia="zh-CN"/>
                    </w:rPr>
                    <w:t>《挥发性有机物无组织排放控制标准》（GB37822-2019）</w:t>
                  </w:r>
                </w:p>
              </w:tc>
            </w:tr>
          </w:tbl>
          <w:p>
            <w:pPr>
              <w:pStyle w:val="45"/>
              <w:pageBreakBefore w:val="0"/>
              <w:kinsoku/>
              <w:overflowPunct/>
              <w:bidi w:val="0"/>
              <w:spacing w:line="240" w:lineRule="auto"/>
              <w:rPr>
                <w:color w:val="auto"/>
                <w:sz w:val="21"/>
                <w:szCs w:val="21"/>
              </w:rPr>
            </w:pPr>
          </w:p>
          <w:p>
            <w:pPr>
              <w:pStyle w:val="45"/>
              <w:pageBreakBefore w:val="0"/>
              <w:kinsoku/>
              <w:overflowPunct/>
              <w:bidi w:val="0"/>
              <w:spacing w:line="240" w:lineRule="auto"/>
              <w:rPr>
                <w:color w:val="auto"/>
                <w:sz w:val="21"/>
                <w:szCs w:val="21"/>
              </w:rPr>
            </w:pPr>
            <w:r>
              <w:rPr>
                <w:color w:val="auto"/>
                <w:sz w:val="21"/>
                <w:szCs w:val="21"/>
              </w:rPr>
              <w:t>表4-</w:t>
            </w:r>
            <w:r>
              <w:rPr>
                <w:rFonts w:hint="eastAsia"/>
                <w:color w:val="auto"/>
                <w:sz w:val="21"/>
                <w:szCs w:val="21"/>
                <w:lang w:val="en-US" w:eastAsia="zh-CN"/>
              </w:rPr>
              <w:t>3</w:t>
            </w:r>
            <w:r>
              <w:rPr>
                <w:color w:val="auto"/>
                <w:sz w:val="21"/>
                <w:szCs w:val="21"/>
              </w:rPr>
              <w:t xml:space="preserve">  大气污染物无组织排放核算表</w:t>
            </w:r>
          </w:p>
          <w:tbl>
            <w:tblPr>
              <w:tblStyle w:val="18"/>
              <w:tblW w:w="0" w:type="auto"/>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461"/>
              <w:gridCol w:w="742"/>
              <w:gridCol w:w="533"/>
              <w:gridCol w:w="569"/>
              <w:gridCol w:w="957"/>
              <w:gridCol w:w="2406"/>
              <w:gridCol w:w="1338"/>
              <w:gridCol w:w="1104"/>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0" w:type="auto"/>
                  <w:vMerge w:val="restart"/>
                  <w:tcBorders>
                    <w:tl2br w:val="nil"/>
                    <w:tr2bl w:val="nil"/>
                  </w:tcBorders>
                  <w:vAlign w:val="center"/>
                </w:tcPr>
                <w:p>
                  <w:pPr>
                    <w:pStyle w:val="28"/>
                    <w:pageBreakBefore w:val="0"/>
                    <w:kinsoku/>
                    <w:overflowPunct/>
                    <w:bidi w:val="0"/>
                    <w:spacing w:line="240" w:lineRule="auto"/>
                    <w:rPr>
                      <w:color w:val="auto"/>
                      <w:sz w:val="21"/>
                      <w:szCs w:val="21"/>
                    </w:rPr>
                  </w:pPr>
                  <w:r>
                    <w:rPr>
                      <w:color w:val="auto"/>
                      <w:sz w:val="21"/>
                      <w:szCs w:val="21"/>
                    </w:rPr>
                    <w:t>序号</w:t>
                  </w:r>
                </w:p>
              </w:tc>
              <w:tc>
                <w:tcPr>
                  <w:tcW w:w="0" w:type="auto"/>
                  <w:vMerge w:val="restart"/>
                  <w:tcBorders>
                    <w:tl2br w:val="nil"/>
                    <w:tr2bl w:val="nil"/>
                  </w:tcBorders>
                  <w:vAlign w:val="center"/>
                </w:tcPr>
                <w:p>
                  <w:pPr>
                    <w:pStyle w:val="28"/>
                    <w:pageBreakBefore w:val="0"/>
                    <w:kinsoku/>
                    <w:overflowPunct/>
                    <w:bidi w:val="0"/>
                    <w:spacing w:line="240" w:lineRule="auto"/>
                    <w:rPr>
                      <w:color w:val="auto"/>
                      <w:sz w:val="21"/>
                      <w:szCs w:val="21"/>
                    </w:rPr>
                  </w:pPr>
                  <w:r>
                    <w:rPr>
                      <w:color w:val="auto"/>
                      <w:sz w:val="21"/>
                      <w:szCs w:val="21"/>
                    </w:rPr>
                    <w:t>排放源</w:t>
                  </w:r>
                </w:p>
              </w:tc>
              <w:tc>
                <w:tcPr>
                  <w:tcW w:w="0" w:type="auto"/>
                  <w:vMerge w:val="restart"/>
                  <w:tcBorders>
                    <w:tl2br w:val="nil"/>
                    <w:tr2bl w:val="nil"/>
                  </w:tcBorders>
                  <w:vAlign w:val="center"/>
                </w:tcPr>
                <w:p>
                  <w:pPr>
                    <w:pStyle w:val="28"/>
                    <w:pageBreakBefore w:val="0"/>
                    <w:kinsoku/>
                    <w:overflowPunct/>
                    <w:bidi w:val="0"/>
                    <w:spacing w:line="240" w:lineRule="auto"/>
                    <w:rPr>
                      <w:color w:val="auto"/>
                      <w:sz w:val="21"/>
                      <w:szCs w:val="21"/>
                    </w:rPr>
                  </w:pPr>
                  <w:r>
                    <w:rPr>
                      <w:color w:val="auto"/>
                      <w:sz w:val="21"/>
                      <w:szCs w:val="21"/>
                    </w:rPr>
                    <w:t>产污环节</w:t>
                  </w:r>
                </w:p>
              </w:tc>
              <w:tc>
                <w:tcPr>
                  <w:tcW w:w="0" w:type="auto"/>
                  <w:vMerge w:val="restart"/>
                  <w:tcBorders>
                    <w:tl2br w:val="nil"/>
                    <w:tr2bl w:val="nil"/>
                  </w:tcBorders>
                  <w:vAlign w:val="center"/>
                </w:tcPr>
                <w:p>
                  <w:pPr>
                    <w:pStyle w:val="28"/>
                    <w:pageBreakBefore w:val="0"/>
                    <w:kinsoku/>
                    <w:overflowPunct/>
                    <w:bidi w:val="0"/>
                    <w:spacing w:line="240" w:lineRule="auto"/>
                    <w:rPr>
                      <w:color w:val="auto"/>
                      <w:sz w:val="21"/>
                      <w:szCs w:val="21"/>
                    </w:rPr>
                  </w:pPr>
                  <w:r>
                    <w:rPr>
                      <w:color w:val="auto"/>
                      <w:sz w:val="21"/>
                      <w:szCs w:val="21"/>
                    </w:rPr>
                    <w:t>污染物</w:t>
                  </w:r>
                </w:p>
              </w:tc>
              <w:tc>
                <w:tcPr>
                  <w:tcW w:w="0" w:type="auto"/>
                  <w:vMerge w:val="restart"/>
                  <w:tcBorders>
                    <w:tl2br w:val="nil"/>
                    <w:tr2bl w:val="nil"/>
                  </w:tcBorders>
                  <w:vAlign w:val="center"/>
                </w:tcPr>
                <w:p>
                  <w:pPr>
                    <w:pStyle w:val="28"/>
                    <w:pageBreakBefore w:val="0"/>
                    <w:kinsoku/>
                    <w:overflowPunct/>
                    <w:bidi w:val="0"/>
                    <w:spacing w:line="240" w:lineRule="auto"/>
                    <w:rPr>
                      <w:color w:val="auto"/>
                      <w:sz w:val="21"/>
                      <w:szCs w:val="21"/>
                    </w:rPr>
                  </w:pPr>
                  <w:r>
                    <w:rPr>
                      <w:color w:val="auto"/>
                      <w:sz w:val="21"/>
                      <w:szCs w:val="21"/>
                    </w:rPr>
                    <w:t>主要污染防治措施</w:t>
                  </w:r>
                </w:p>
              </w:tc>
              <w:tc>
                <w:tcPr>
                  <w:tcW w:w="0" w:type="auto"/>
                  <w:gridSpan w:val="2"/>
                  <w:tcBorders>
                    <w:tl2br w:val="nil"/>
                    <w:tr2bl w:val="nil"/>
                  </w:tcBorders>
                  <w:vAlign w:val="center"/>
                </w:tcPr>
                <w:p>
                  <w:pPr>
                    <w:pStyle w:val="28"/>
                    <w:pageBreakBefore w:val="0"/>
                    <w:kinsoku/>
                    <w:overflowPunct/>
                    <w:bidi w:val="0"/>
                    <w:spacing w:line="240" w:lineRule="auto"/>
                    <w:rPr>
                      <w:color w:val="auto"/>
                      <w:sz w:val="21"/>
                      <w:szCs w:val="21"/>
                    </w:rPr>
                  </w:pPr>
                  <w:r>
                    <w:rPr>
                      <w:color w:val="auto"/>
                      <w:sz w:val="21"/>
                      <w:szCs w:val="21"/>
                    </w:rPr>
                    <w:t>国家或地方污染物排放标准</w:t>
                  </w:r>
                </w:p>
              </w:tc>
              <w:tc>
                <w:tcPr>
                  <w:tcW w:w="0" w:type="auto"/>
                  <w:vMerge w:val="restart"/>
                  <w:tcBorders>
                    <w:tl2br w:val="nil"/>
                    <w:tr2bl w:val="nil"/>
                  </w:tcBorders>
                  <w:vAlign w:val="center"/>
                </w:tcPr>
                <w:p>
                  <w:pPr>
                    <w:pStyle w:val="28"/>
                    <w:pageBreakBefore w:val="0"/>
                    <w:kinsoku/>
                    <w:overflowPunct/>
                    <w:bidi w:val="0"/>
                    <w:spacing w:line="240" w:lineRule="auto"/>
                    <w:rPr>
                      <w:color w:val="auto"/>
                      <w:sz w:val="21"/>
                      <w:szCs w:val="21"/>
                    </w:rPr>
                  </w:pPr>
                  <w:r>
                    <w:rPr>
                      <w:color w:val="auto"/>
                      <w:sz w:val="21"/>
                      <w:szCs w:val="21"/>
                    </w:rPr>
                    <w:t>核算年排放量（t/a）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0" w:type="auto"/>
                  <w:vMerge w:val="continue"/>
                  <w:tcBorders>
                    <w:tl2br w:val="nil"/>
                    <w:tr2bl w:val="nil"/>
                  </w:tcBorders>
                  <w:vAlign w:val="center"/>
                </w:tcPr>
                <w:p>
                  <w:pPr>
                    <w:pStyle w:val="28"/>
                    <w:pageBreakBefore w:val="0"/>
                    <w:kinsoku/>
                    <w:overflowPunct/>
                    <w:bidi w:val="0"/>
                    <w:spacing w:line="240" w:lineRule="auto"/>
                    <w:rPr>
                      <w:color w:val="auto"/>
                      <w:sz w:val="21"/>
                      <w:szCs w:val="21"/>
                    </w:rPr>
                  </w:pPr>
                </w:p>
              </w:tc>
              <w:tc>
                <w:tcPr>
                  <w:tcW w:w="0" w:type="auto"/>
                  <w:vMerge w:val="continue"/>
                  <w:tcBorders>
                    <w:tl2br w:val="nil"/>
                    <w:tr2bl w:val="nil"/>
                  </w:tcBorders>
                  <w:vAlign w:val="center"/>
                </w:tcPr>
                <w:p>
                  <w:pPr>
                    <w:pStyle w:val="28"/>
                    <w:pageBreakBefore w:val="0"/>
                    <w:kinsoku/>
                    <w:overflowPunct/>
                    <w:bidi w:val="0"/>
                    <w:spacing w:line="240" w:lineRule="auto"/>
                    <w:rPr>
                      <w:color w:val="auto"/>
                      <w:sz w:val="21"/>
                      <w:szCs w:val="21"/>
                    </w:rPr>
                  </w:pPr>
                </w:p>
              </w:tc>
              <w:tc>
                <w:tcPr>
                  <w:tcW w:w="0" w:type="auto"/>
                  <w:vMerge w:val="continue"/>
                  <w:tcBorders>
                    <w:tl2br w:val="nil"/>
                    <w:tr2bl w:val="nil"/>
                  </w:tcBorders>
                  <w:vAlign w:val="center"/>
                </w:tcPr>
                <w:p>
                  <w:pPr>
                    <w:pStyle w:val="28"/>
                    <w:pageBreakBefore w:val="0"/>
                    <w:kinsoku/>
                    <w:overflowPunct/>
                    <w:bidi w:val="0"/>
                    <w:spacing w:line="240" w:lineRule="auto"/>
                    <w:rPr>
                      <w:color w:val="auto"/>
                      <w:sz w:val="21"/>
                      <w:szCs w:val="21"/>
                    </w:rPr>
                  </w:pPr>
                </w:p>
              </w:tc>
              <w:tc>
                <w:tcPr>
                  <w:tcW w:w="0" w:type="auto"/>
                  <w:vMerge w:val="continue"/>
                  <w:tcBorders>
                    <w:tl2br w:val="nil"/>
                    <w:tr2bl w:val="nil"/>
                  </w:tcBorders>
                  <w:vAlign w:val="center"/>
                </w:tcPr>
                <w:p>
                  <w:pPr>
                    <w:pStyle w:val="28"/>
                    <w:pageBreakBefore w:val="0"/>
                    <w:kinsoku/>
                    <w:overflowPunct/>
                    <w:bidi w:val="0"/>
                    <w:spacing w:line="240" w:lineRule="auto"/>
                    <w:rPr>
                      <w:color w:val="auto"/>
                      <w:sz w:val="21"/>
                      <w:szCs w:val="21"/>
                    </w:rPr>
                  </w:pPr>
                </w:p>
              </w:tc>
              <w:tc>
                <w:tcPr>
                  <w:tcW w:w="0" w:type="auto"/>
                  <w:vMerge w:val="continue"/>
                  <w:tcBorders>
                    <w:tl2br w:val="nil"/>
                    <w:tr2bl w:val="nil"/>
                  </w:tcBorders>
                  <w:vAlign w:val="center"/>
                </w:tcPr>
                <w:p>
                  <w:pPr>
                    <w:pStyle w:val="28"/>
                    <w:pageBreakBefore w:val="0"/>
                    <w:kinsoku/>
                    <w:overflowPunct/>
                    <w:bidi w:val="0"/>
                    <w:spacing w:line="240" w:lineRule="auto"/>
                    <w:rPr>
                      <w:color w:val="auto"/>
                      <w:sz w:val="21"/>
                      <w:szCs w:val="21"/>
                    </w:rPr>
                  </w:pPr>
                </w:p>
              </w:tc>
              <w:tc>
                <w:tcPr>
                  <w:tcW w:w="0" w:type="auto"/>
                  <w:tcBorders>
                    <w:tl2br w:val="nil"/>
                    <w:tr2bl w:val="nil"/>
                  </w:tcBorders>
                  <w:vAlign w:val="center"/>
                </w:tcPr>
                <w:p>
                  <w:pPr>
                    <w:pStyle w:val="28"/>
                    <w:pageBreakBefore w:val="0"/>
                    <w:kinsoku/>
                    <w:overflowPunct/>
                    <w:bidi w:val="0"/>
                    <w:spacing w:line="240" w:lineRule="auto"/>
                    <w:rPr>
                      <w:color w:val="auto"/>
                      <w:sz w:val="21"/>
                      <w:szCs w:val="21"/>
                    </w:rPr>
                  </w:pPr>
                  <w:r>
                    <w:rPr>
                      <w:color w:val="auto"/>
                      <w:sz w:val="21"/>
                      <w:szCs w:val="21"/>
                    </w:rPr>
                    <w:t>标准名称</w:t>
                  </w:r>
                </w:p>
              </w:tc>
              <w:tc>
                <w:tcPr>
                  <w:tcW w:w="0" w:type="auto"/>
                  <w:tcBorders>
                    <w:tl2br w:val="nil"/>
                    <w:tr2bl w:val="nil"/>
                  </w:tcBorders>
                  <w:vAlign w:val="center"/>
                </w:tcPr>
                <w:p>
                  <w:pPr>
                    <w:pStyle w:val="28"/>
                    <w:pageBreakBefore w:val="0"/>
                    <w:kinsoku/>
                    <w:overflowPunct/>
                    <w:bidi w:val="0"/>
                    <w:spacing w:line="240" w:lineRule="auto"/>
                    <w:rPr>
                      <w:color w:val="auto"/>
                      <w:sz w:val="21"/>
                      <w:szCs w:val="21"/>
                    </w:rPr>
                  </w:pPr>
                  <w:r>
                    <w:rPr>
                      <w:color w:val="auto"/>
                      <w:sz w:val="21"/>
                      <w:szCs w:val="21"/>
                    </w:rPr>
                    <w:t>浓度限值（mg/m</w:t>
                  </w:r>
                  <w:r>
                    <w:rPr>
                      <w:color w:val="auto"/>
                      <w:sz w:val="21"/>
                      <w:szCs w:val="21"/>
                      <w:vertAlign w:val="superscript"/>
                    </w:rPr>
                    <w:t>3</w:t>
                  </w:r>
                  <w:r>
                    <w:rPr>
                      <w:color w:val="auto"/>
                      <w:sz w:val="21"/>
                      <w:szCs w:val="21"/>
                    </w:rPr>
                    <w:t>）</w:t>
                  </w:r>
                </w:p>
              </w:tc>
              <w:tc>
                <w:tcPr>
                  <w:tcW w:w="0" w:type="auto"/>
                  <w:vMerge w:val="continue"/>
                  <w:tcBorders>
                    <w:tl2br w:val="nil"/>
                    <w:tr2bl w:val="nil"/>
                  </w:tcBorders>
                  <w:vAlign w:val="center"/>
                </w:tcPr>
                <w:p>
                  <w:pPr>
                    <w:pStyle w:val="28"/>
                    <w:pageBreakBefore w:val="0"/>
                    <w:kinsoku/>
                    <w:overflowPunct/>
                    <w:bidi w:val="0"/>
                    <w:spacing w:line="240" w:lineRule="auto"/>
                    <w:rPr>
                      <w:color w:val="auto"/>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0" w:type="auto"/>
                  <w:tcBorders>
                    <w:tl2br w:val="nil"/>
                    <w:tr2bl w:val="nil"/>
                  </w:tcBorders>
                  <w:vAlign w:val="center"/>
                </w:tcPr>
                <w:p>
                  <w:pPr>
                    <w:pStyle w:val="28"/>
                    <w:pageBreakBefore w:val="0"/>
                    <w:kinsoku/>
                    <w:overflowPunct/>
                    <w:bidi w:val="0"/>
                    <w:spacing w:line="240" w:lineRule="auto"/>
                    <w:rPr>
                      <w:color w:val="auto"/>
                      <w:sz w:val="21"/>
                      <w:szCs w:val="21"/>
                    </w:rPr>
                  </w:pPr>
                  <w:r>
                    <w:rPr>
                      <w:color w:val="auto"/>
                      <w:sz w:val="21"/>
                      <w:szCs w:val="21"/>
                    </w:rPr>
                    <w:t>1</w:t>
                  </w:r>
                </w:p>
              </w:tc>
              <w:tc>
                <w:tcPr>
                  <w:tcW w:w="0" w:type="auto"/>
                  <w:vMerge w:val="restart"/>
                  <w:tcBorders>
                    <w:tl2br w:val="nil"/>
                    <w:tr2bl w:val="nil"/>
                  </w:tcBorders>
                  <w:vAlign w:val="center"/>
                </w:tcPr>
                <w:p>
                  <w:pPr>
                    <w:pStyle w:val="28"/>
                    <w:pageBreakBefore w:val="0"/>
                    <w:kinsoku/>
                    <w:overflowPunct/>
                    <w:bidi w:val="0"/>
                    <w:spacing w:line="240" w:lineRule="auto"/>
                    <w:rPr>
                      <w:color w:val="auto"/>
                      <w:sz w:val="21"/>
                      <w:szCs w:val="21"/>
                    </w:rPr>
                  </w:pPr>
                  <w:r>
                    <w:rPr>
                      <w:color w:val="auto"/>
                      <w:sz w:val="21"/>
                      <w:szCs w:val="21"/>
                    </w:rPr>
                    <w:t>生产</w:t>
                  </w:r>
                  <w:r>
                    <w:rPr>
                      <w:rFonts w:hint="eastAsia"/>
                      <w:color w:val="auto"/>
                      <w:sz w:val="21"/>
                      <w:szCs w:val="21"/>
                      <w:lang w:eastAsia="zh-CN"/>
                    </w:rPr>
                    <w:t>、</w:t>
                  </w:r>
                  <w:r>
                    <w:rPr>
                      <w:color w:val="auto"/>
                      <w:sz w:val="21"/>
                      <w:szCs w:val="21"/>
                    </w:rPr>
                    <w:t>厂房</w:t>
                  </w:r>
                </w:p>
              </w:tc>
              <w:tc>
                <w:tcPr>
                  <w:tcW w:w="0" w:type="auto"/>
                  <w:vMerge w:val="restart"/>
                  <w:tcBorders>
                    <w:tl2br w:val="nil"/>
                    <w:tr2bl w:val="nil"/>
                  </w:tcBorders>
                  <w:vAlign w:val="center"/>
                </w:tcPr>
                <w:p>
                  <w:pPr>
                    <w:pStyle w:val="28"/>
                    <w:pageBreakBefore w:val="0"/>
                    <w:kinsoku/>
                    <w:overflowPunct/>
                    <w:bidi w:val="0"/>
                    <w:spacing w:line="240" w:lineRule="auto"/>
                    <w:rPr>
                      <w:color w:val="auto"/>
                      <w:sz w:val="21"/>
                      <w:szCs w:val="21"/>
                    </w:rPr>
                  </w:pPr>
                  <w:r>
                    <w:rPr>
                      <w:color w:val="auto"/>
                      <w:sz w:val="21"/>
                      <w:szCs w:val="21"/>
                    </w:rPr>
                    <w:t>生产过程</w:t>
                  </w:r>
                </w:p>
              </w:tc>
              <w:tc>
                <w:tcPr>
                  <w:tcW w:w="0" w:type="auto"/>
                  <w:tcBorders>
                    <w:tl2br w:val="nil"/>
                    <w:tr2bl w:val="nil"/>
                  </w:tcBorders>
                  <w:vAlign w:val="center"/>
                </w:tcPr>
                <w:p>
                  <w:pPr>
                    <w:pStyle w:val="28"/>
                    <w:pageBreakBefore w:val="0"/>
                    <w:kinsoku/>
                    <w:overflowPunct/>
                    <w:bidi w:val="0"/>
                    <w:spacing w:line="240" w:lineRule="auto"/>
                    <w:rPr>
                      <w:color w:val="auto"/>
                      <w:sz w:val="21"/>
                      <w:szCs w:val="21"/>
                    </w:rPr>
                  </w:pPr>
                  <w:r>
                    <w:rPr>
                      <w:color w:val="auto"/>
                      <w:sz w:val="21"/>
                      <w:szCs w:val="21"/>
                    </w:rPr>
                    <w:t>颗粒物</w:t>
                  </w:r>
                </w:p>
              </w:tc>
              <w:tc>
                <w:tcPr>
                  <w:tcW w:w="0" w:type="auto"/>
                  <w:vMerge w:val="restart"/>
                  <w:tcBorders>
                    <w:tl2br w:val="nil"/>
                    <w:tr2bl w:val="nil"/>
                  </w:tcBorders>
                  <w:vAlign w:val="center"/>
                </w:tcPr>
                <w:p>
                  <w:pPr>
                    <w:pStyle w:val="28"/>
                    <w:pageBreakBefore w:val="0"/>
                    <w:kinsoku/>
                    <w:overflowPunct/>
                    <w:bidi w:val="0"/>
                    <w:spacing w:line="240" w:lineRule="auto"/>
                    <w:rPr>
                      <w:color w:val="auto"/>
                      <w:sz w:val="21"/>
                      <w:szCs w:val="21"/>
                    </w:rPr>
                  </w:pPr>
                  <w:r>
                    <w:rPr>
                      <w:color w:val="auto"/>
                      <w:sz w:val="21"/>
                      <w:szCs w:val="21"/>
                    </w:rPr>
                    <w:t>加强车间通风、加强清扫</w:t>
                  </w:r>
                </w:p>
              </w:tc>
              <w:tc>
                <w:tcPr>
                  <w:tcW w:w="0" w:type="auto"/>
                  <w:vMerge w:val="restart"/>
                  <w:tcBorders>
                    <w:tl2br w:val="nil"/>
                    <w:tr2bl w:val="nil"/>
                  </w:tcBorders>
                  <w:vAlign w:val="center"/>
                </w:tcPr>
                <w:p>
                  <w:pPr>
                    <w:pStyle w:val="28"/>
                    <w:pageBreakBefore w:val="0"/>
                    <w:kinsoku/>
                    <w:overflowPunct/>
                    <w:bidi w:val="0"/>
                    <w:spacing w:line="240" w:lineRule="auto"/>
                    <w:rPr>
                      <w:color w:val="auto"/>
                      <w:sz w:val="21"/>
                      <w:szCs w:val="21"/>
                    </w:rPr>
                  </w:pPr>
                  <w:r>
                    <w:rPr>
                      <w:rFonts w:hint="eastAsia"/>
                      <w:color w:val="auto"/>
                      <w:sz w:val="21"/>
                      <w:szCs w:val="21"/>
                    </w:rPr>
                    <w:t>《大气污染物综合排放标准》（</w:t>
                  </w:r>
                  <w:r>
                    <w:rPr>
                      <w:color w:val="auto"/>
                      <w:sz w:val="21"/>
                      <w:szCs w:val="21"/>
                    </w:rPr>
                    <w:t>GB16297-1996</w:t>
                  </w:r>
                  <w:r>
                    <w:rPr>
                      <w:rFonts w:hint="eastAsia"/>
                      <w:color w:val="auto"/>
                      <w:sz w:val="21"/>
                      <w:szCs w:val="21"/>
                    </w:rPr>
                    <w:t>）</w:t>
                  </w:r>
                </w:p>
              </w:tc>
              <w:tc>
                <w:tcPr>
                  <w:tcW w:w="0" w:type="auto"/>
                  <w:tcBorders>
                    <w:tl2br w:val="nil"/>
                    <w:tr2bl w:val="nil"/>
                  </w:tcBorders>
                  <w:vAlign w:val="center"/>
                </w:tcPr>
                <w:p>
                  <w:pPr>
                    <w:pStyle w:val="28"/>
                    <w:pageBreakBefore w:val="0"/>
                    <w:kinsoku/>
                    <w:overflowPunct/>
                    <w:bidi w:val="0"/>
                    <w:spacing w:line="240" w:lineRule="auto"/>
                    <w:rPr>
                      <w:color w:val="auto"/>
                      <w:sz w:val="21"/>
                      <w:szCs w:val="21"/>
                    </w:rPr>
                  </w:pPr>
                  <w:r>
                    <w:rPr>
                      <w:color w:val="auto"/>
                      <w:sz w:val="21"/>
                      <w:szCs w:val="21"/>
                    </w:rPr>
                    <w:t>1.0</w:t>
                  </w:r>
                </w:p>
              </w:tc>
              <w:tc>
                <w:tcPr>
                  <w:tcW w:w="0" w:type="auto"/>
                  <w:tcBorders>
                    <w:tl2br w:val="nil"/>
                    <w:tr2bl w:val="nil"/>
                  </w:tcBorders>
                  <w:vAlign w:val="center"/>
                </w:tcPr>
                <w:p>
                  <w:pPr>
                    <w:pStyle w:val="28"/>
                    <w:pageBreakBefore w:val="0"/>
                    <w:kinsoku/>
                    <w:overflowPunct/>
                    <w:bidi w:val="0"/>
                    <w:spacing w:line="240" w:lineRule="auto"/>
                    <w:rPr>
                      <w:rFonts w:hint="default"/>
                      <w:color w:val="auto"/>
                      <w:sz w:val="21"/>
                      <w:szCs w:val="21"/>
                      <w:lang w:val="en-US"/>
                    </w:rPr>
                  </w:pPr>
                  <w:r>
                    <w:rPr>
                      <w:rFonts w:hint="eastAsia"/>
                      <w:color w:val="auto"/>
                      <w:sz w:val="21"/>
                      <w:szCs w:val="21"/>
                      <w:lang w:val="en-US" w:eastAsia="zh-CN"/>
                    </w:rPr>
                    <w:t>0.02624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0" w:type="auto"/>
                  <w:tcBorders>
                    <w:tl2br w:val="nil"/>
                    <w:tr2bl w:val="nil"/>
                  </w:tcBorders>
                  <w:vAlign w:val="center"/>
                </w:tcPr>
                <w:p>
                  <w:pPr>
                    <w:pStyle w:val="28"/>
                    <w:pageBreakBefore w:val="0"/>
                    <w:kinsoku/>
                    <w:overflowPunct/>
                    <w:bidi w:val="0"/>
                    <w:spacing w:line="240" w:lineRule="auto"/>
                    <w:rPr>
                      <w:color w:val="auto"/>
                      <w:sz w:val="21"/>
                      <w:szCs w:val="21"/>
                    </w:rPr>
                  </w:pPr>
                  <w:r>
                    <w:rPr>
                      <w:color w:val="auto"/>
                      <w:sz w:val="21"/>
                      <w:szCs w:val="21"/>
                    </w:rPr>
                    <w:t>2</w:t>
                  </w:r>
                </w:p>
              </w:tc>
              <w:tc>
                <w:tcPr>
                  <w:tcW w:w="0" w:type="auto"/>
                  <w:vMerge w:val="continue"/>
                  <w:tcBorders>
                    <w:tl2br w:val="nil"/>
                    <w:tr2bl w:val="nil"/>
                  </w:tcBorders>
                  <w:vAlign w:val="center"/>
                </w:tcPr>
                <w:p>
                  <w:pPr>
                    <w:pStyle w:val="28"/>
                    <w:pageBreakBefore w:val="0"/>
                    <w:kinsoku/>
                    <w:overflowPunct/>
                    <w:bidi w:val="0"/>
                    <w:spacing w:line="240" w:lineRule="auto"/>
                    <w:rPr>
                      <w:color w:val="auto"/>
                      <w:sz w:val="21"/>
                      <w:szCs w:val="21"/>
                    </w:rPr>
                  </w:pPr>
                </w:p>
              </w:tc>
              <w:tc>
                <w:tcPr>
                  <w:tcW w:w="0" w:type="auto"/>
                  <w:vMerge w:val="continue"/>
                  <w:tcBorders>
                    <w:tl2br w:val="nil"/>
                    <w:tr2bl w:val="nil"/>
                  </w:tcBorders>
                  <w:vAlign w:val="center"/>
                </w:tcPr>
                <w:p>
                  <w:pPr>
                    <w:pStyle w:val="28"/>
                    <w:pageBreakBefore w:val="0"/>
                    <w:kinsoku/>
                    <w:overflowPunct/>
                    <w:bidi w:val="0"/>
                    <w:spacing w:line="240" w:lineRule="auto"/>
                    <w:rPr>
                      <w:color w:val="auto"/>
                      <w:sz w:val="21"/>
                      <w:szCs w:val="21"/>
                    </w:rPr>
                  </w:pPr>
                </w:p>
              </w:tc>
              <w:tc>
                <w:tcPr>
                  <w:tcW w:w="0" w:type="auto"/>
                  <w:tcBorders>
                    <w:tl2br w:val="nil"/>
                    <w:tr2bl w:val="nil"/>
                  </w:tcBorders>
                  <w:vAlign w:val="center"/>
                </w:tcPr>
                <w:p>
                  <w:pPr>
                    <w:pStyle w:val="28"/>
                    <w:pageBreakBefore w:val="0"/>
                    <w:kinsoku/>
                    <w:overflowPunct/>
                    <w:bidi w:val="0"/>
                    <w:spacing w:line="240" w:lineRule="auto"/>
                    <w:rPr>
                      <w:color w:val="auto"/>
                      <w:sz w:val="21"/>
                      <w:szCs w:val="21"/>
                    </w:rPr>
                  </w:pPr>
                  <w:r>
                    <w:rPr>
                      <w:rFonts w:hint="eastAsia"/>
                      <w:color w:val="auto"/>
                      <w:sz w:val="21"/>
                      <w:szCs w:val="21"/>
                      <w:lang w:eastAsia="zh-CN"/>
                    </w:rPr>
                    <w:t>非甲烷总烃</w:t>
                  </w:r>
                </w:p>
              </w:tc>
              <w:tc>
                <w:tcPr>
                  <w:tcW w:w="0" w:type="auto"/>
                  <w:vMerge w:val="continue"/>
                  <w:tcBorders>
                    <w:tl2br w:val="nil"/>
                    <w:tr2bl w:val="nil"/>
                  </w:tcBorders>
                  <w:vAlign w:val="center"/>
                </w:tcPr>
                <w:p>
                  <w:pPr>
                    <w:pStyle w:val="28"/>
                    <w:pageBreakBefore w:val="0"/>
                    <w:kinsoku/>
                    <w:overflowPunct/>
                    <w:bidi w:val="0"/>
                    <w:spacing w:line="240" w:lineRule="auto"/>
                    <w:rPr>
                      <w:color w:val="auto"/>
                      <w:sz w:val="21"/>
                      <w:szCs w:val="21"/>
                    </w:rPr>
                  </w:pPr>
                </w:p>
              </w:tc>
              <w:tc>
                <w:tcPr>
                  <w:tcW w:w="0" w:type="auto"/>
                  <w:vMerge w:val="continue"/>
                  <w:tcBorders>
                    <w:tl2br w:val="nil"/>
                    <w:tr2bl w:val="nil"/>
                  </w:tcBorders>
                  <w:vAlign w:val="center"/>
                </w:tcPr>
                <w:p>
                  <w:pPr>
                    <w:pStyle w:val="28"/>
                    <w:pageBreakBefore w:val="0"/>
                    <w:kinsoku/>
                    <w:overflowPunct/>
                    <w:bidi w:val="0"/>
                    <w:spacing w:line="240" w:lineRule="auto"/>
                    <w:rPr>
                      <w:color w:val="auto"/>
                      <w:sz w:val="21"/>
                      <w:szCs w:val="21"/>
                    </w:rPr>
                  </w:pPr>
                </w:p>
              </w:tc>
              <w:tc>
                <w:tcPr>
                  <w:tcW w:w="0" w:type="auto"/>
                  <w:tcBorders>
                    <w:tl2br w:val="nil"/>
                    <w:tr2bl w:val="nil"/>
                  </w:tcBorders>
                  <w:vAlign w:val="center"/>
                </w:tcPr>
                <w:p>
                  <w:pPr>
                    <w:pStyle w:val="28"/>
                    <w:pageBreakBefore w:val="0"/>
                    <w:kinsoku/>
                    <w:overflowPunct/>
                    <w:bidi w:val="0"/>
                    <w:spacing w:line="240" w:lineRule="auto"/>
                    <w:rPr>
                      <w:color w:val="auto"/>
                      <w:sz w:val="21"/>
                      <w:szCs w:val="21"/>
                    </w:rPr>
                  </w:pPr>
                  <w:r>
                    <w:rPr>
                      <w:color w:val="auto"/>
                      <w:sz w:val="21"/>
                      <w:szCs w:val="21"/>
                    </w:rPr>
                    <w:t>4.0</w:t>
                  </w:r>
                </w:p>
              </w:tc>
              <w:tc>
                <w:tcPr>
                  <w:tcW w:w="0" w:type="auto"/>
                  <w:tcBorders>
                    <w:tl2br w:val="nil"/>
                    <w:tr2bl w:val="nil"/>
                  </w:tcBorders>
                  <w:vAlign w:val="center"/>
                </w:tcPr>
                <w:p>
                  <w:pPr>
                    <w:pStyle w:val="28"/>
                    <w:pageBreakBefore w:val="0"/>
                    <w:kinsoku/>
                    <w:overflowPunct/>
                    <w:bidi w:val="0"/>
                    <w:spacing w:line="240" w:lineRule="auto"/>
                    <w:rPr>
                      <w:rFonts w:hint="default"/>
                      <w:color w:val="auto"/>
                      <w:sz w:val="21"/>
                      <w:szCs w:val="21"/>
                      <w:lang w:val="en-US"/>
                    </w:rPr>
                  </w:pPr>
                  <w:r>
                    <w:rPr>
                      <w:rFonts w:hint="eastAsia"/>
                      <w:color w:val="auto"/>
                      <w:sz w:val="21"/>
                      <w:szCs w:val="21"/>
                      <w:lang w:val="en-US" w:eastAsia="zh-CN"/>
                    </w:rPr>
                    <w:t>0.236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0" w:type="auto"/>
                  <w:gridSpan w:val="2"/>
                  <w:vMerge w:val="restart"/>
                  <w:tcBorders>
                    <w:tl2br w:val="nil"/>
                    <w:tr2bl w:val="nil"/>
                  </w:tcBorders>
                  <w:vAlign w:val="center"/>
                </w:tcPr>
                <w:p>
                  <w:pPr>
                    <w:pStyle w:val="28"/>
                    <w:pageBreakBefore w:val="0"/>
                    <w:kinsoku/>
                    <w:overflowPunct/>
                    <w:bidi w:val="0"/>
                    <w:spacing w:line="240" w:lineRule="auto"/>
                    <w:rPr>
                      <w:color w:val="auto"/>
                      <w:sz w:val="21"/>
                      <w:szCs w:val="21"/>
                    </w:rPr>
                  </w:pPr>
                  <w:r>
                    <w:rPr>
                      <w:color w:val="auto"/>
                      <w:sz w:val="21"/>
                      <w:szCs w:val="21"/>
                    </w:rPr>
                    <w:t>无组织排放总计</w:t>
                  </w:r>
                </w:p>
              </w:tc>
              <w:tc>
                <w:tcPr>
                  <w:tcW w:w="0" w:type="auto"/>
                  <w:gridSpan w:val="4"/>
                  <w:tcBorders>
                    <w:tl2br w:val="nil"/>
                    <w:tr2bl w:val="nil"/>
                  </w:tcBorders>
                  <w:vAlign w:val="center"/>
                </w:tcPr>
                <w:p>
                  <w:pPr>
                    <w:pStyle w:val="28"/>
                    <w:pageBreakBefore w:val="0"/>
                    <w:kinsoku/>
                    <w:overflowPunct/>
                    <w:bidi w:val="0"/>
                    <w:spacing w:line="240" w:lineRule="auto"/>
                    <w:rPr>
                      <w:color w:val="auto"/>
                      <w:sz w:val="21"/>
                      <w:szCs w:val="21"/>
                    </w:rPr>
                  </w:pPr>
                  <w:r>
                    <w:rPr>
                      <w:color w:val="auto"/>
                      <w:sz w:val="21"/>
                      <w:szCs w:val="21"/>
                    </w:rPr>
                    <w:t>颗粒物</w:t>
                  </w:r>
                </w:p>
              </w:tc>
              <w:tc>
                <w:tcPr>
                  <w:tcW w:w="2363" w:type="dxa"/>
                  <w:gridSpan w:val="2"/>
                  <w:tcBorders>
                    <w:tl2br w:val="nil"/>
                    <w:tr2bl w:val="nil"/>
                  </w:tcBorders>
                  <w:vAlign w:val="center"/>
                </w:tcPr>
                <w:p>
                  <w:pPr>
                    <w:pStyle w:val="28"/>
                    <w:pageBreakBefore w:val="0"/>
                    <w:kinsoku/>
                    <w:overflowPunct/>
                    <w:bidi w:val="0"/>
                    <w:spacing w:line="240" w:lineRule="auto"/>
                    <w:rPr>
                      <w:rFonts w:hint="default" w:ascii="Times New Roman" w:hAnsi="Times New Roman" w:eastAsia="宋体" w:cs="Times New Roman"/>
                      <w:bCs/>
                      <w:color w:val="auto"/>
                      <w:kern w:val="2"/>
                      <w:sz w:val="21"/>
                      <w:szCs w:val="21"/>
                      <w:lang w:val="en-US" w:eastAsia="zh-CN" w:bidi="ar-SA"/>
                    </w:rPr>
                  </w:pPr>
                  <w:r>
                    <w:rPr>
                      <w:rFonts w:hint="eastAsia"/>
                      <w:color w:val="auto"/>
                      <w:sz w:val="21"/>
                      <w:szCs w:val="21"/>
                      <w:lang w:val="en-US" w:eastAsia="zh-CN"/>
                    </w:rPr>
                    <w:t>0.02624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0" w:type="auto"/>
                  <w:gridSpan w:val="2"/>
                  <w:vMerge w:val="continue"/>
                  <w:tcBorders>
                    <w:tl2br w:val="nil"/>
                    <w:tr2bl w:val="nil"/>
                  </w:tcBorders>
                  <w:vAlign w:val="center"/>
                </w:tcPr>
                <w:p>
                  <w:pPr>
                    <w:pStyle w:val="28"/>
                    <w:pageBreakBefore w:val="0"/>
                    <w:kinsoku/>
                    <w:overflowPunct/>
                    <w:bidi w:val="0"/>
                    <w:spacing w:line="240" w:lineRule="auto"/>
                    <w:rPr>
                      <w:color w:val="auto"/>
                      <w:sz w:val="21"/>
                      <w:szCs w:val="21"/>
                    </w:rPr>
                  </w:pPr>
                </w:p>
              </w:tc>
              <w:tc>
                <w:tcPr>
                  <w:tcW w:w="0" w:type="auto"/>
                  <w:gridSpan w:val="4"/>
                  <w:tcBorders>
                    <w:tl2br w:val="nil"/>
                    <w:tr2bl w:val="nil"/>
                  </w:tcBorders>
                  <w:vAlign w:val="center"/>
                </w:tcPr>
                <w:p>
                  <w:pPr>
                    <w:pStyle w:val="28"/>
                    <w:pageBreakBefore w:val="0"/>
                    <w:kinsoku/>
                    <w:overflowPunct/>
                    <w:bidi w:val="0"/>
                    <w:spacing w:line="240" w:lineRule="auto"/>
                    <w:rPr>
                      <w:color w:val="auto"/>
                      <w:sz w:val="21"/>
                      <w:szCs w:val="21"/>
                    </w:rPr>
                  </w:pPr>
                  <w:r>
                    <w:rPr>
                      <w:rFonts w:hint="eastAsia"/>
                      <w:color w:val="auto"/>
                      <w:sz w:val="21"/>
                      <w:szCs w:val="21"/>
                      <w:lang w:eastAsia="zh-CN"/>
                    </w:rPr>
                    <w:t>非甲烷总烃</w:t>
                  </w:r>
                </w:p>
              </w:tc>
              <w:tc>
                <w:tcPr>
                  <w:tcW w:w="2363" w:type="dxa"/>
                  <w:gridSpan w:val="2"/>
                  <w:tcBorders>
                    <w:tl2br w:val="nil"/>
                    <w:tr2bl w:val="nil"/>
                  </w:tcBorders>
                  <w:vAlign w:val="center"/>
                </w:tcPr>
                <w:p>
                  <w:pPr>
                    <w:pStyle w:val="28"/>
                    <w:pageBreakBefore w:val="0"/>
                    <w:kinsoku/>
                    <w:overflowPunct/>
                    <w:bidi w:val="0"/>
                    <w:spacing w:line="240" w:lineRule="auto"/>
                    <w:rPr>
                      <w:rFonts w:hint="default" w:ascii="Times New Roman" w:hAnsi="Times New Roman" w:eastAsia="宋体" w:cs="Times New Roman"/>
                      <w:bCs/>
                      <w:color w:val="auto"/>
                      <w:kern w:val="2"/>
                      <w:sz w:val="21"/>
                      <w:szCs w:val="21"/>
                      <w:lang w:val="en-US" w:eastAsia="zh-CN" w:bidi="ar-SA"/>
                    </w:rPr>
                  </w:pPr>
                  <w:r>
                    <w:rPr>
                      <w:rFonts w:hint="eastAsia"/>
                      <w:color w:val="auto"/>
                      <w:sz w:val="21"/>
                      <w:szCs w:val="21"/>
                      <w:lang w:val="en-US" w:eastAsia="zh-CN"/>
                    </w:rPr>
                    <w:t>0.236</w:t>
                  </w:r>
                </w:p>
              </w:tc>
            </w:tr>
          </w:tbl>
          <w:p>
            <w:pPr>
              <w:pStyle w:val="45"/>
              <w:pageBreakBefore w:val="0"/>
              <w:kinsoku/>
              <w:overflowPunct/>
              <w:bidi w:val="0"/>
              <w:spacing w:line="240" w:lineRule="auto"/>
              <w:rPr>
                <w:color w:val="auto"/>
                <w:sz w:val="21"/>
                <w:szCs w:val="21"/>
              </w:rPr>
            </w:pPr>
            <w:r>
              <w:rPr>
                <w:color w:val="auto"/>
                <w:sz w:val="21"/>
                <w:szCs w:val="21"/>
              </w:rPr>
              <w:t>表4-</w:t>
            </w:r>
            <w:r>
              <w:rPr>
                <w:rFonts w:hint="eastAsia"/>
                <w:color w:val="auto"/>
                <w:sz w:val="21"/>
                <w:szCs w:val="21"/>
                <w:lang w:val="en-US" w:eastAsia="zh-CN"/>
              </w:rPr>
              <w:t>4</w:t>
            </w:r>
            <w:r>
              <w:rPr>
                <w:color w:val="auto"/>
                <w:sz w:val="21"/>
                <w:szCs w:val="21"/>
              </w:rPr>
              <w:t xml:space="preserve">  大气污染物年排放核算表</w:t>
            </w:r>
          </w:p>
          <w:tbl>
            <w:tblPr>
              <w:tblStyle w:val="18"/>
              <w:tblW w:w="0" w:type="auto"/>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390"/>
              <w:gridCol w:w="2940"/>
              <w:gridCol w:w="3504"/>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71" w:hRule="atLeast"/>
                <w:jc w:val="center"/>
              </w:trPr>
              <w:tc>
                <w:tcPr>
                  <w:tcW w:w="1390" w:type="dxa"/>
                  <w:tcBorders>
                    <w:tl2br w:val="nil"/>
                    <w:tr2bl w:val="nil"/>
                  </w:tcBorders>
                  <w:vAlign w:val="center"/>
                </w:tcPr>
                <w:p>
                  <w:pPr>
                    <w:pStyle w:val="28"/>
                    <w:pageBreakBefore w:val="0"/>
                    <w:kinsoku/>
                    <w:overflowPunct/>
                    <w:bidi w:val="0"/>
                    <w:spacing w:line="240" w:lineRule="auto"/>
                    <w:rPr>
                      <w:b w:val="0"/>
                      <w:bCs/>
                      <w:color w:val="auto"/>
                      <w:sz w:val="21"/>
                      <w:szCs w:val="21"/>
                    </w:rPr>
                  </w:pPr>
                  <w:r>
                    <w:rPr>
                      <w:b w:val="0"/>
                      <w:bCs/>
                      <w:color w:val="auto"/>
                      <w:sz w:val="21"/>
                      <w:szCs w:val="21"/>
                    </w:rPr>
                    <w:t>序号</w:t>
                  </w:r>
                </w:p>
              </w:tc>
              <w:tc>
                <w:tcPr>
                  <w:tcW w:w="2940" w:type="dxa"/>
                  <w:tcBorders>
                    <w:tl2br w:val="nil"/>
                    <w:tr2bl w:val="nil"/>
                  </w:tcBorders>
                  <w:vAlign w:val="center"/>
                </w:tcPr>
                <w:p>
                  <w:pPr>
                    <w:pStyle w:val="28"/>
                    <w:pageBreakBefore w:val="0"/>
                    <w:kinsoku/>
                    <w:overflowPunct/>
                    <w:bidi w:val="0"/>
                    <w:spacing w:line="240" w:lineRule="auto"/>
                    <w:rPr>
                      <w:b w:val="0"/>
                      <w:bCs/>
                      <w:color w:val="auto"/>
                      <w:sz w:val="21"/>
                      <w:szCs w:val="21"/>
                    </w:rPr>
                  </w:pPr>
                  <w:r>
                    <w:rPr>
                      <w:b w:val="0"/>
                      <w:bCs/>
                      <w:color w:val="auto"/>
                      <w:sz w:val="21"/>
                      <w:szCs w:val="21"/>
                    </w:rPr>
                    <w:t>污染物</w:t>
                  </w:r>
                </w:p>
              </w:tc>
              <w:tc>
                <w:tcPr>
                  <w:tcW w:w="3504" w:type="dxa"/>
                  <w:tcBorders>
                    <w:tl2br w:val="nil"/>
                    <w:tr2bl w:val="nil"/>
                  </w:tcBorders>
                  <w:vAlign w:val="center"/>
                </w:tcPr>
                <w:p>
                  <w:pPr>
                    <w:pStyle w:val="28"/>
                    <w:pageBreakBefore w:val="0"/>
                    <w:kinsoku/>
                    <w:overflowPunct/>
                    <w:bidi w:val="0"/>
                    <w:spacing w:line="240" w:lineRule="auto"/>
                    <w:rPr>
                      <w:b w:val="0"/>
                      <w:bCs/>
                      <w:color w:val="auto"/>
                      <w:sz w:val="21"/>
                      <w:szCs w:val="21"/>
                    </w:rPr>
                  </w:pPr>
                  <w:r>
                    <w:rPr>
                      <w:b w:val="0"/>
                      <w:bCs/>
                      <w:color w:val="auto"/>
                      <w:sz w:val="21"/>
                      <w:szCs w:val="21"/>
                    </w:rPr>
                    <w:t>核算年排放量（t/a）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390" w:type="dxa"/>
                  <w:tcBorders>
                    <w:tl2br w:val="nil"/>
                    <w:tr2bl w:val="nil"/>
                  </w:tcBorders>
                  <w:vAlign w:val="center"/>
                </w:tcPr>
                <w:p>
                  <w:pPr>
                    <w:pStyle w:val="28"/>
                    <w:pageBreakBefore w:val="0"/>
                    <w:kinsoku/>
                    <w:overflowPunct/>
                    <w:bidi w:val="0"/>
                    <w:spacing w:line="240" w:lineRule="auto"/>
                    <w:rPr>
                      <w:color w:val="auto"/>
                      <w:sz w:val="21"/>
                      <w:szCs w:val="21"/>
                    </w:rPr>
                  </w:pPr>
                  <w:r>
                    <w:rPr>
                      <w:color w:val="auto"/>
                      <w:sz w:val="21"/>
                      <w:szCs w:val="21"/>
                    </w:rPr>
                    <w:t>1</w:t>
                  </w:r>
                </w:p>
              </w:tc>
              <w:tc>
                <w:tcPr>
                  <w:tcW w:w="2940" w:type="dxa"/>
                  <w:tcBorders>
                    <w:tl2br w:val="nil"/>
                    <w:tr2bl w:val="nil"/>
                  </w:tcBorders>
                  <w:vAlign w:val="center"/>
                </w:tcPr>
                <w:p>
                  <w:pPr>
                    <w:pStyle w:val="28"/>
                    <w:pageBreakBefore w:val="0"/>
                    <w:kinsoku/>
                    <w:overflowPunct/>
                    <w:bidi w:val="0"/>
                    <w:spacing w:line="240" w:lineRule="auto"/>
                    <w:rPr>
                      <w:color w:val="auto"/>
                      <w:sz w:val="21"/>
                      <w:szCs w:val="21"/>
                    </w:rPr>
                  </w:pPr>
                  <w:r>
                    <w:rPr>
                      <w:color w:val="auto"/>
                      <w:sz w:val="21"/>
                      <w:szCs w:val="21"/>
                    </w:rPr>
                    <w:t>颗粒物</w:t>
                  </w:r>
                </w:p>
              </w:tc>
              <w:tc>
                <w:tcPr>
                  <w:tcW w:w="3504" w:type="dxa"/>
                  <w:tcBorders>
                    <w:tl2br w:val="nil"/>
                    <w:tr2bl w:val="nil"/>
                  </w:tcBorders>
                  <w:vAlign w:val="center"/>
                </w:tcPr>
                <w:p>
                  <w:pPr>
                    <w:pStyle w:val="28"/>
                    <w:pageBreakBefore w:val="0"/>
                    <w:kinsoku/>
                    <w:overflowPunct/>
                    <w:bidi w:val="0"/>
                    <w:spacing w:line="240" w:lineRule="auto"/>
                    <w:rPr>
                      <w:rFonts w:hint="default" w:eastAsia="宋体"/>
                      <w:color w:val="auto"/>
                      <w:sz w:val="21"/>
                      <w:szCs w:val="21"/>
                      <w:lang w:val="en-US" w:eastAsia="zh-CN"/>
                    </w:rPr>
                  </w:pPr>
                  <w:r>
                    <w:rPr>
                      <w:rFonts w:hint="eastAsia"/>
                      <w:color w:val="auto"/>
                      <w:sz w:val="21"/>
                      <w:szCs w:val="21"/>
                      <w:lang w:val="en-US" w:eastAsia="zh-CN"/>
                    </w:rPr>
                    <w:t>0.02624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390" w:type="dxa"/>
                  <w:tcBorders>
                    <w:tl2br w:val="nil"/>
                    <w:tr2bl w:val="nil"/>
                  </w:tcBorders>
                  <w:vAlign w:val="center"/>
                </w:tcPr>
                <w:p>
                  <w:pPr>
                    <w:pStyle w:val="28"/>
                    <w:pageBreakBefore w:val="0"/>
                    <w:kinsoku/>
                    <w:overflowPunct/>
                    <w:bidi w:val="0"/>
                    <w:spacing w:line="240" w:lineRule="auto"/>
                    <w:rPr>
                      <w:color w:val="auto"/>
                      <w:sz w:val="21"/>
                      <w:szCs w:val="21"/>
                    </w:rPr>
                  </w:pPr>
                  <w:r>
                    <w:rPr>
                      <w:color w:val="auto"/>
                      <w:sz w:val="21"/>
                      <w:szCs w:val="21"/>
                    </w:rPr>
                    <w:t>2</w:t>
                  </w:r>
                </w:p>
              </w:tc>
              <w:tc>
                <w:tcPr>
                  <w:tcW w:w="2940" w:type="dxa"/>
                  <w:tcBorders>
                    <w:tl2br w:val="nil"/>
                    <w:tr2bl w:val="nil"/>
                  </w:tcBorders>
                  <w:vAlign w:val="center"/>
                </w:tcPr>
                <w:p>
                  <w:pPr>
                    <w:pStyle w:val="28"/>
                    <w:pageBreakBefore w:val="0"/>
                    <w:kinsoku/>
                    <w:overflowPunct/>
                    <w:bidi w:val="0"/>
                    <w:spacing w:line="240" w:lineRule="auto"/>
                    <w:rPr>
                      <w:color w:val="auto"/>
                      <w:sz w:val="21"/>
                      <w:szCs w:val="21"/>
                    </w:rPr>
                  </w:pPr>
                  <w:r>
                    <w:rPr>
                      <w:rFonts w:hint="eastAsia"/>
                      <w:color w:val="auto"/>
                      <w:sz w:val="21"/>
                      <w:szCs w:val="21"/>
                      <w:lang w:eastAsia="zh-CN"/>
                    </w:rPr>
                    <w:t>非甲烷总烃</w:t>
                  </w:r>
                </w:p>
              </w:tc>
              <w:tc>
                <w:tcPr>
                  <w:tcW w:w="3504" w:type="dxa"/>
                  <w:tcBorders>
                    <w:tl2br w:val="nil"/>
                    <w:tr2bl w:val="nil"/>
                  </w:tcBorders>
                  <w:vAlign w:val="center"/>
                </w:tcPr>
                <w:p>
                  <w:pPr>
                    <w:pStyle w:val="28"/>
                    <w:pageBreakBefore w:val="0"/>
                    <w:kinsoku/>
                    <w:overflowPunct/>
                    <w:bidi w:val="0"/>
                    <w:spacing w:line="240" w:lineRule="auto"/>
                    <w:rPr>
                      <w:rFonts w:hint="default" w:eastAsia="宋体"/>
                      <w:color w:val="auto"/>
                      <w:sz w:val="21"/>
                      <w:szCs w:val="21"/>
                      <w:lang w:val="en-US" w:eastAsia="zh-CN"/>
                    </w:rPr>
                  </w:pPr>
                  <w:r>
                    <w:rPr>
                      <w:rFonts w:hint="eastAsia"/>
                      <w:color w:val="auto"/>
                      <w:sz w:val="21"/>
                      <w:szCs w:val="21"/>
                      <w:lang w:val="en-US" w:eastAsia="zh-CN"/>
                    </w:rPr>
                    <w:t>0.236</w:t>
                  </w:r>
                </w:p>
              </w:tc>
            </w:tr>
          </w:tbl>
          <w:p>
            <w:pPr>
              <w:pageBreakBefore w:val="0"/>
              <w:numPr>
                <w:ilvl w:val="0"/>
                <w:numId w:val="0"/>
              </w:numPr>
              <w:kinsoku/>
              <w:overflowPunct/>
              <w:bidi w:val="0"/>
              <w:spacing w:line="360" w:lineRule="auto"/>
              <w:ind w:firstLine="482" w:firstLineChars="200"/>
              <w:rPr>
                <w:rFonts w:hint="default" w:ascii="Times New Roman" w:hAnsi="Times New Roman" w:eastAsia="宋体" w:cs="Times New Roman"/>
                <w:b/>
                <w:bCs/>
                <w:color w:val="auto"/>
                <w:sz w:val="24"/>
                <w:szCs w:val="24"/>
                <w:u w:val="none" w:color="auto"/>
                <w:lang w:val="en-US" w:eastAsia="zh-CN"/>
              </w:rPr>
            </w:pPr>
            <w:r>
              <w:rPr>
                <w:rFonts w:hint="eastAsia" w:ascii="Times New Roman" w:hAnsi="Times New Roman" w:eastAsia="宋体" w:cs="Times New Roman"/>
                <w:b/>
                <w:bCs/>
                <w:color w:val="auto"/>
                <w:sz w:val="24"/>
                <w:szCs w:val="24"/>
                <w:u w:val="none" w:color="auto"/>
                <w:lang w:val="en-US" w:eastAsia="zh-CN"/>
              </w:rPr>
              <w:t>二</w:t>
            </w:r>
            <w:r>
              <w:rPr>
                <w:rFonts w:hint="default" w:ascii="Times New Roman" w:hAnsi="Times New Roman" w:eastAsia="宋体" w:cs="Times New Roman"/>
                <w:b/>
                <w:bCs/>
                <w:color w:val="auto"/>
                <w:sz w:val="24"/>
                <w:szCs w:val="24"/>
                <w:u w:val="none" w:color="auto"/>
                <w:lang w:val="en-US" w:eastAsia="zh-CN"/>
              </w:rPr>
              <w:t>、废</w:t>
            </w:r>
            <w:r>
              <w:rPr>
                <w:rFonts w:hint="eastAsia" w:ascii="Times New Roman" w:hAnsi="Times New Roman" w:eastAsia="宋体" w:cs="Times New Roman"/>
                <w:b/>
                <w:bCs/>
                <w:color w:val="auto"/>
                <w:sz w:val="24"/>
                <w:szCs w:val="24"/>
                <w:u w:val="none" w:color="auto"/>
                <w:lang w:val="en-US" w:eastAsia="zh-CN"/>
              </w:rPr>
              <w:t>水</w:t>
            </w:r>
          </w:p>
          <w:p>
            <w:pPr>
              <w:pStyle w:val="40"/>
              <w:ind w:firstLine="420"/>
              <w:rPr>
                <w:rFonts w:hint="default" w:ascii="Times New Roman" w:hAnsi="Times New Roman" w:eastAsia="宋体" w:cs="Times New Roman"/>
                <w:b/>
                <w:bCs/>
                <w:color w:val="auto"/>
                <w:sz w:val="24"/>
                <w:szCs w:val="24"/>
                <w:u w:val="none" w:color="auto"/>
              </w:rPr>
            </w:pPr>
            <w:r>
              <w:rPr>
                <w:rFonts w:hint="default" w:ascii="Times New Roman" w:hAnsi="Times New Roman" w:eastAsia="宋体" w:cs="Times New Roman"/>
                <w:b/>
                <w:bCs/>
                <w:color w:val="auto"/>
                <w:sz w:val="24"/>
                <w:szCs w:val="24"/>
                <w:u w:val="none" w:color="auto"/>
              </w:rPr>
              <w:t>1、废</w:t>
            </w:r>
            <w:r>
              <w:rPr>
                <w:rFonts w:hint="eastAsia" w:ascii="Times New Roman" w:hAnsi="Times New Roman" w:eastAsia="宋体" w:cs="Times New Roman"/>
                <w:b/>
                <w:bCs/>
                <w:color w:val="auto"/>
                <w:sz w:val="24"/>
                <w:szCs w:val="24"/>
                <w:u w:val="none" w:color="auto"/>
                <w:lang w:val="en-US" w:eastAsia="zh-CN"/>
              </w:rPr>
              <w:t>水</w:t>
            </w:r>
            <w:r>
              <w:rPr>
                <w:rFonts w:hint="default" w:ascii="Times New Roman" w:hAnsi="Times New Roman" w:eastAsia="宋体" w:cs="Times New Roman"/>
                <w:b/>
                <w:bCs/>
                <w:color w:val="auto"/>
                <w:sz w:val="24"/>
                <w:szCs w:val="24"/>
                <w:u w:val="none" w:color="auto"/>
              </w:rPr>
              <w:t>污染源分析</w:t>
            </w:r>
          </w:p>
          <w:p>
            <w:pPr>
              <w:pStyle w:val="3"/>
              <w:keepNext w:val="0"/>
              <w:keepLines w:val="0"/>
              <w:pageBreakBefore w:val="0"/>
              <w:widowControl w:val="0"/>
              <w:kinsoku/>
              <w:wordWrap/>
              <w:overflowPunct/>
              <w:topLinePunct w:val="0"/>
              <w:autoSpaceDE/>
              <w:autoSpaceDN/>
              <w:bidi w:val="0"/>
              <w:adjustRightInd/>
              <w:snapToGrid/>
              <w:spacing w:after="0" w:afterLines="0" w:line="360" w:lineRule="auto"/>
              <w:ind w:left="0" w:leftChars="0" w:right="0" w:rightChars="0" w:firstLine="480" w:firstLineChars="200"/>
              <w:jc w:val="left"/>
              <w:textAlignment w:val="auto"/>
              <w:outlineLvl w:val="9"/>
              <w:rPr>
                <w:rFonts w:hint="eastAsia"/>
                <w:b w:val="0"/>
                <w:bCs w:val="0"/>
                <w:color w:val="auto"/>
                <w:sz w:val="24"/>
                <w:szCs w:val="24"/>
                <w:lang w:val="en-US" w:eastAsia="zh-CN"/>
              </w:rPr>
            </w:pPr>
            <w:r>
              <w:rPr>
                <w:rFonts w:hint="eastAsia"/>
                <w:b w:val="0"/>
                <w:bCs w:val="0"/>
                <w:color w:val="auto"/>
                <w:sz w:val="24"/>
                <w:szCs w:val="24"/>
                <w:lang w:val="en-US" w:eastAsia="zh-CN"/>
              </w:rPr>
              <w:t>（1）生活污水</w:t>
            </w:r>
          </w:p>
          <w:p>
            <w:pPr>
              <w:keepNext w:val="0"/>
              <w:keepLines w:val="0"/>
              <w:pageBreakBefore w:val="0"/>
              <w:widowControl/>
              <w:suppressLineNumbers w:val="0"/>
              <w:kinsoku/>
              <w:wordWrap/>
              <w:overflowPunct/>
              <w:topLinePunct w:val="0"/>
              <w:autoSpaceDE/>
              <w:autoSpaceDN/>
              <w:bidi w:val="0"/>
              <w:adjustRightInd/>
              <w:snapToGrid/>
              <w:spacing w:line="360" w:lineRule="auto"/>
              <w:ind w:left="0" w:leftChars="0" w:right="0" w:rightChars="0" w:firstLine="480" w:firstLineChars="200"/>
              <w:jc w:val="left"/>
              <w:textAlignment w:val="auto"/>
              <w:outlineLvl w:val="9"/>
              <w:rPr>
                <w:rFonts w:hint="eastAsia" w:cs="Times New Roman"/>
                <w:color w:val="auto"/>
                <w:kern w:val="2"/>
                <w:sz w:val="24"/>
                <w:szCs w:val="24"/>
                <w:u w:color="auto"/>
                <w:lang w:val="en-US" w:eastAsia="zh-CN" w:bidi="ar-SA"/>
              </w:rPr>
            </w:pPr>
            <w:r>
              <w:rPr>
                <w:rFonts w:hint="eastAsia"/>
                <w:highlight w:val="none"/>
              </w:rPr>
              <w:t>本项目劳动定员拟为3</w:t>
            </w:r>
            <w:r>
              <w:rPr>
                <w:rFonts w:hint="eastAsia"/>
                <w:highlight w:val="none"/>
                <w:lang w:val="en-US" w:eastAsia="zh-CN"/>
              </w:rPr>
              <w:t>5</w:t>
            </w:r>
            <w:r>
              <w:rPr>
                <w:rFonts w:hint="eastAsia"/>
                <w:highlight w:val="none"/>
              </w:rPr>
              <w:t>人</w:t>
            </w:r>
            <w:r>
              <w:rPr>
                <w:rFonts w:hint="eastAsia"/>
                <w:highlight w:val="none"/>
                <w:lang w:eastAsia="zh-CN"/>
              </w:rPr>
              <w:t>，</w:t>
            </w:r>
            <w:r>
              <w:rPr>
                <w:rFonts w:hint="default" w:ascii="Times New Roman" w:hAnsi="Times New Roman" w:eastAsia="宋体" w:cs="Times New Roman"/>
                <w:color w:val="auto"/>
                <w:kern w:val="0"/>
                <w:sz w:val="24"/>
                <w:szCs w:val="24"/>
                <w:u w:color="auto"/>
                <w:lang w:val="en-US" w:eastAsia="zh-CN" w:bidi="ar"/>
              </w:rPr>
              <w:t>年工作时间为300天，根据湖南省地方标准《用水定额》（DB43/T 388-2020），生活用水量以</w:t>
            </w:r>
            <w:r>
              <w:rPr>
                <w:rFonts w:hint="eastAsia" w:cs="Times New Roman"/>
                <w:color w:val="auto"/>
                <w:kern w:val="0"/>
                <w:sz w:val="24"/>
                <w:szCs w:val="24"/>
                <w:u w:color="auto"/>
                <w:lang w:val="en-US" w:eastAsia="zh-CN" w:bidi="ar"/>
              </w:rPr>
              <w:t>140L</w:t>
            </w:r>
            <w:r>
              <w:rPr>
                <w:rFonts w:hint="default" w:ascii="Times New Roman" w:hAnsi="Times New Roman" w:eastAsia="宋体" w:cs="Times New Roman"/>
                <w:color w:val="auto"/>
                <w:kern w:val="0"/>
                <w:sz w:val="24"/>
                <w:szCs w:val="24"/>
                <w:u w:color="auto"/>
                <w:lang w:val="en-US" w:eastAsia="zh-CN" w:bidi="ar"/>
              </w:rPr>
              <w:t>/人·</w:t>
            </w:r>
            <w:r>
              <w:rPr>
                <w:rFonts w:hint="eastAsia" w:cs="Times New Roman"/>
                <w:color w:val="auto"/>
                <w:kern w:val="0"/>
                <w:sz w:val="24"/>
                <w:szCs w:val="24"/>
                <w:u w:color="auto"/>
                <w:lang w:val="en-US" w:eastAsia="zh-CN" w:bidi="ar"/>
              </w:rPr>
              <w:t>d</w:t>
            </w:r>
            <w:r>
              <w:rPr>
                <w:rFonts w:hint="default" w:ascii="Times New Roman" w:hAnsi="Times New Roman" w:eastAsia="宋体" w:cs="Times New Roman"/>
                <w:color w:val="auto"/>
                <w:kern w:val="0"/>
                <w:sz w:val="24"/>
                <w:szCs w:val="24"/>
                <w:u w:color="auto"/>
                <w:lang w:val="en-US" w:eastAsia="zh-CN" w:bidi="ar"/>
              </w:rPr>
              <w:t>计，则项目用水量为</w:t>
            </w:r>
            <w:r>
              <w:rPr>
                <w:rFonts w:hint="eastAsia" w:cs="Times New Roman"/>
                <w:color w:val="auto"/>
                <w:kern w:val="0"/>
                <w:sz w:val="24"/>
                <w:szCs w:val="24"/>
                <w:u w:color="auto"/>
                <w:lang w:val="en-US" w:eastAsia="zh-CN" w:bidi="ar"/>
              </w:rPr>
              <w:t>1470</w:t>
            </w:r>
            <w:r>
              <w:rPr>
                <w:rFonts w:hint="default" w:ascii="Times New Roman" w:hAnsi="Times New Roman" w:eastAsia="宋体" w:cs="Times New Roman"/>
                <w:color w:val="auto"/>
                <w:kern w:val="0"/>
                <w:sz w:val="24"/>
                <w:szCs w:val="24"/>
                <w:u w:color="auto"/>
                <w:lang w:val="en-US" w:eastAsia="zh-CN" w:bidi="ar"/>
              </w:rPr>
              <w:t>m</w:t>
            </w:r>
            <w:r>
              <w:rPr>
                <w:rFonts w:hint="default" w:ascii="Times New Roman" w:hAnsi="Times New Roman" w:eastAsia="宋体" w:cs="Times New Roman"/>
                <w:color w:val="auto"/>
                <w:kern w:val="0"/>
                <w:sz w:val="24"/>
                <w:szCs w:val="24"/>
                <w:u w:color="auto"/>
                <w:vertAlign w:val="superscript"/>
                <w:lang w:val="en-US" w:eastAsia="zh-CN" w:bidi="ar"/>
              </w:rPr>
              <w:t>3</w:t>
            </w:r>
            <w:r>
              <w:rPr>
                <w:rFonts w:hint="default" w:ascii="Times New Roman" w:hAnsi="Times New Roman" w:eastAsia="宋体" w:cs="Times New Roman"/>
                <w:color w:val="auto"/>
                <w:kern w:val="0"/>
                <w:sz w:val="24"/>
                <w:szCs w:val="24"/>
                <w:u w:color="auto"/>
                <w:lang w:val="en-US" w:eastAsia="zh-CN" w:bidi="ar"/>
              </w:rPr>
              <w:t>/a（</w:t>
            </w:r>
            <w:r>
              <w:rPr>
                <w:rFonts w:hint="eastAsia" w:cs="Times New Roman"/>
                <w:color w:val="auto"/>
                <w:kern w:val="0"/>
                <w:sz w:val="24"/>
                <w:szCs w:val="24"/>
                <w:u w:color="auto"/>
                <w:lang w:val="en-US" w:eastAsia="zh-CN" w:bidi="ar"/>
              </w:rPr>
              <w:t>4.9</w:t>
            </w:r>
            <w:r>
              <w:rPr>
                <w:rFonts w:hint="default" w:ascii="Times New Roman" w:hAnsi="Times New Roman" w:eastAsia="宋体" w:cs="Times New Roman"/>
                <w:color w:val="auto"/>
                <w:kern w:val="0"/>
                <w:sz w:val="24"/>
                <w:szCs w:val="24"/>
                <w:u w:color="auto"/>
                <w:lang w:val="en-US" w:eastAsia="zh-CN" w:bidi="ar"/>
              </w:rPr>
              <w:t>m</w:t>
            </w:r>
            <w:r>
              <w:rPr>
                <w:rFonts w:hint="default" w:ascii="Times New Roman" w:hAnsi="Times New Roman" w:eastAsia="宋体" w:cs="Times New Roman"/>
                <w:color w:val="auto"/>
                <w:kern w:val="0"/>
                <w:sz w:val="24"/>
                <w:szCs w:val="24"/>
                <w:u w:color="auto"/>
                <w:vertAlign w:val="superscript"/>
                <w:lang w:val="en-US" w:eastAsia="zh-CN" w:bidi="ar"/>
              </w:rPr>
              <w:t>3</w:t>
            </w:r>
            <w:r>
              <w:rPr>
                <w:rFonts w:hint="default" w:ascii="Times New Roman" w:hAnsi="Times New Roman" w:eastAsia="宋体" w:cs="Times New Roman"/>
                <w:color w:val="auto"/>
                <w:kern w:val="0"/>
                <w:sz w:val="24"/>
                <w:szCs w:val="24"/>
                <w:u w:color="auto"/>
                <w:lang w:val="en-US" w:eastAsia="zh-CN" w:bidi="ar"/>
              </w:rPr>
              <w:t>/d）。废水排放系数以0.</w:t>
            </w:r>
            <w:r>
              <w:rPr>
                <w:rFonts w:hint="eastAsia" w:cs="Times New Roman"/>
                <w:color w:val="auto"/>
                <w:kern w:val="0"/>
                <w:sz w:val="24"/>
                <w:szCs w:val="24"/>
                <w:u w:color="auto"/>
                <w:lang w:val="en-US" w:eastAsia="zh-CN" w:bidi="ar"/>
              </w:rPr>
              <w:t>8</w:t>
            </w:r>
            <w:r>
              <w:rPr>
                <w:rFonts w:hint="default" w:ascii="Times New Roman" w:hAnsi="Times New Roman" w:eastAsia="宋体" w:cs="Times New Roman"/>
                <w:color w:val="auto"/>
                <w:kern w:val="0"/>
                <w:sz w:val="24"/>
                <w:szCs w:val="24"/>
                <w:u w:color="auto"/>
                <w:lang w:val="en-US" w:eastAsia="zh-CN" w:bidi="ar"/>
              </w:rPr>
              <w:t>计，则生活污水</w:t>
            </w:r>
            <w:r>
              <w:rPr>
                <w:rFonts w:hint="eastAsia" w:cs="Times New Roman"/>
                <w:color w:val="auto"/>
                <w:kern w:val="0"/>
                <w:sz w:val="24"/>
                <w:szCs w:val="24"/>
                <w:u w:color="auto"/>
                <w:lang w:val="en-US" w:eastAsia="zh-CN" w:bidi="ar"/>
              </w:rPr>
              <w:t>产生</w:t>
            </w:r>
            <w:r>
              <w:rPr>
                <w:rFonts w:hint="default" w:ascii="Times New Roman" w:hAnsi="Times New Roman" w:eastAsia="宋体" w:cs="Times New Roman"/>
                <w:color w:val="auto"/>
                <w:kern w:val="0"/>
                <w:sz w:val="24"/>
                <w:szCs w:val="24"/>
                <w:u w:color="auto"/>
                <w:lang w:val="en-US" w:eastAsia="zh-CN" w:bidi="ar"/>
              </w:rPr>
              <w:t>量为</w:t>
            </w:r>
            <w:r>
              <w:rPr>
                <w:rFonts w:hint="eastAsia" w:cs="Times New Roman"/>
                <w:color w:val="auto"/>
                <w:kern w:val="0"/>
                <w:sz w:val="24"/>
                <w:szCs w:val="24"/>
                <w:u w:color="auto"/>
                <w:lang w:val="en-US" w:eastAsia="zh-CN" w:bidi="ar"/>
              </w:rPr>
              <w:t>1176</w:t>
            </w:r>
            <w:r>
              <w:rPr>
                <w:rFonts w:hint="default" w:ascii="Times New Roman" w:hAnsi="Times New Roman" w:eastAsia="宋体" w:cs="Times New Roman"/>
                <w:color w:val="auto"/>
                <w:kern w:val="0"/>
                <w:sz w:val="24"/>
                <w:szCs w:val="24"/>
                <w:u w:color="auto"/>
                <w:lang w:val="en-US" w:eastAsia="zh-CN" w:bidi="ar"/>
              </w:rPr>
              <w:t>m</w:t>
            </w:r>
            <w:r>
              <w:rPr>
                <w:rFonts w:hint="default" w:ascii="Times New Roman" w:hAnsi="Times New Roman" w:eastAsia="宋体" w:cs="Times New Roman"/>
                <w:color w:val="auto"/>
                <w:kern w:val="0"/>
                <w:sz w:val="24"/>
                <w:szCs w:val="24"/>
                <w:u w:color="auto"/>
                <w:vertAlign w:val="superscript"/>
                <w:lang w:val="en-US" w:eastAsia="zh-CN" w:bidi="ar"/>
              </w:rPr>
              <w:t>3</w:t>
            </w:r>
            <w:r>
              <w:rPr>
                <w:rFonts w:hint="default" w:ascii="Times New Roman" w:hAnsi="Times New Roman" w:eastAsia="宋体" w:cs="Times New Roman"/>
                <w:color w:val="auto"/>
                <w:kern w:val="0"/>
                <w:sz w:val="24"/>
                <w:szCs w:val="24"/>
                <w:u w:color="auto"/>
                <w:lang w:val="en-US" w:eastAsia="zh-CN" w:bidi="ar"/>
              </w:rPr>
              <w:t>/a（</w:t>
            </w:r>
            <w:r>
              <w:rPr>
                <w:rFonts w:hint="eastAsia" w:cs="Times New Roman"/>
                <w:color w:val="auto"/>
                <w:kern w:val="0"/>
                <w:sz w:val="24"/>
                <w:szCs w:val="24"/>
                <w:u w:color="auto"/>
                <w:lang w:val="en-US" w:eastAsia="zh-CN" w:bidi="ar"/>
              </w:rPr>
              <w:t>3.92</w:t>
            </w:r>
            <w:r>
              <w:rPr>
                <w:rFonts w:hint="default" w:ascii="Times New Roman" w:hAnsi="Times New Roman" w:eastAsia="宋体" w:cs="Times New Roman"/>
                <w:color w:val="auto"/>
                <w:kern w:val="0"/>
                <w:sz w:val="24"/>
                <w:szCs w:val="24"/>
                <w:u w:color="auto"/>
                <w:lang w:val="en-US" w:eastAsia="zh-CN" w:bidi="ar"/>
              </w:rPr>
              <w:t>m</w:t>
            </w:r>
            <w:r>
              <w:rPr>
                <w:rFonts w:hint="default" w:ascii="Times New Roman" w:hAnsi="Times New Roman" w:eastAsia="宋体" w:cs="Times New Roman"/>
                <w:color w:val="auto"/>
                <w:kern w:val="0"/>
                <w:sz w:val="24"/>
                <w:szCs w:val="24"/>
                <w:u w:color="auto"/>
                <w:vertAlign w:val="superscript"/>
                <w:lang w:val="en-US" w:eastAsia="zh-CN" w:bidi="ar"/>
              </w:rPr>
              <w:t>3</w:t>
            </w:r>
            <w:r>
              <w:rPr>
                <w:rFonts w:hint="default" w:ascii="Times New Roman" w:hAnsi="Times New Roman" w:eastAsia="宋体" w:cs="Times New Roman"/>
                <w:color w:val="auto"/>
                <w:kern w:val="0"/>
                <w:sz w:val="24"/>
                <w:szCs w:val="24"/>
                <w:u w:color="auto"/>
                <w:lang w:val="en-US" w:eastAsia="zh-CN" w:bidi="ar"/>
              </w:rPr>
              <w:t>/d），经</w:t>
            </w:r>
            <w:r>
              <w:rPr>
                <w:rFonts w:hint="eastAsia" w:ascii="Times New Roman" w:hAnsi="Times New Roman" w:eastAsia="宋体" w:cs="Times New Roman"/>
                <w:color w:val="auto"/>
                <w:kern w:val="0"/>
                <w:sz w:val="24"/>
                <w:szCs w:val="24"/>
                <w:u w:color="auto"/>
                <w:lang w:val="en-US" w:eastAsia="zh-CN" w:bidi="ar"/>
              </w:rPr>
              <w:t>综合楼自带的</w:t>
            </w:r>
            <w:r>
              <w:rPr>
                <w:rFonts w:hint="eastAsia" w:cs="Times New Roman"/>
                <w:color w:val="auto"/>
                <w:kern w:val="0"/>
                <w:sz w:val="24"/>
                <w:szCs w:val="24"/>
                <w:u w:color="auto"/>
                <w:lang w:val="en-US" w:eastAsia="zh-CN" w:bidi="ar"/>
              </w:rPr>
              <w:t>隔油池+</w:t>
            </w:r>
            <w:r>
              <w:rPr>
                <w:rFonts w:hint="default" w:ascii="Times New Roman" w:hAnsi="Times New Roman" w:eastAsia="宋体" w:cs="Times New Roman"/>
                <w:color w:val="auto"/>
                <w:kern w:val="0"/>
                <w:sz w:val="24"/>
                <w:szCs w:val="24"/>
                <w:u w:color="auto"/>
                <w:lang w:val="en-US" w:eastAsia="zh-CN" w:bidi="ar"/>
              </w:rPr>
              <w:t>化粪池</w:t>
            </w:r>
            <w:r>
              <w:rPr>
                <w:rFonts w:hint="eastAsia" w:cs="Times New Roman"/>
                <w:color w:val="auto"/>
                <w:kern w:val="0"/>
                <w:sz w:val="24"/>
                <w:szCs w:val="24"/>
                <w:u w:color="auto"/>
                <w:lang w:val="en-US" w:eastAsia="zh-CN" w:bidi="ar"/>
              </w:rPr>
              <w:t>（TW001）</w:t>
            </w:r>
            <w:r>
              <w:rPr>
                <w:rFonts w:hint="default" w:ascii="Times New Roman" w:hAnsi="Times New Roman" w:eastAsia="宋体" w:cs="Times New Roman"/>
                <w:color w:val="auto"/>
                <w:kern w:val="0"/>
                <w:sz w:val="24"/>
                <w:szCs w:val="24"/>
                <w:u w:color="auto"/>
                <w:lang w:val="en-US" w:eastAsia="zh-CN" w:bidi="ar"/>
              </w:rPr>
              <w:t>处理</w:t>
            </w:r>
            <w:r>
              <w:rPr>
                <w:rFonts w:hint="eastAsia" w:ascii="Times New Roman" w:hAnsi="Times New Roman" w:eastAsia="宋体" w:cs="Times New Roman"/>
                <w:color w:val="auto"/>
                <w:kern w:val="0"/>
                <w:sz w:val="24"/>
                <w:szCs w:val="24"/>
                <w:u w:color="auto"/>
                <w:lang w:val="en-US" w:eastAsia="zh-CN" w:bidi="ar"/>
              </w:rPr>
              <w:t>后</w:t>
            </w:r>
            <w:r>
              <w:rPr>
                <w:rFonts w:hint="eastAsia" w:cs="Times New Roman"/>
                <w:color w:val="auto"/>
                <w:kern w:val="0"/>
                <w:sz w:val="24"/>
                <w:szCs w:val="24"/>
                <w:u w:color="auto"/>
                <w:lang w:val="en-US" w:eastAsia="zh-CN" w:bidi="ar"/>
              </w:rPr>
              <w:t>经市政污水管网排入归阳污水处理厂</w:t>
            </w:r>
            <w:r>
              <w:rPr>
                <w:rFonts w:hint="eastAsia" w:cs="Times New Roman"/>
                <w:color w:val="auto"/>
                <w:sz w:val="24"/>
                <w:szCs w:val="24"/>
                <w:u w:color="auto"/>
                <w:lang w:val="en-US" w:eastAsia="zh-CN"/>
              </w:rPr>
              <w:t>。</w:t>
            </w:r>
          </w:p>
          <w:p>
            <w:pPr>
              <w:keepNext w:val="0"/>
              <w:keepLines w:val="0"/>
              <w:pageBreakBefore w:val="0"/>
              <w:widowControl/>
              <w:suppressLineNumbers w:val="0"/>
              <w:kinsoku/>
              <w:wordWrap/>
              <w:overflowPunct/>
              <w:topLinePunct w:val="0"/>
              <w:autoSpaceDE/>
              <w:autoSpaceDN/>
              <w:bidi w:val="0"/>
              <w:adjustRightInd/>
              <w:snapToGrid/>
              <w:spacing w:line="360" w:lineRule="auto"/>
              <w:ind w:left="0" w:leftChars="0" w:right="0" w:rightChars="0" w:firstLine="480" w:firstLineChars="200"/>
              <w:jc w:val="left"/>
              <w:textAlignment w:val="auto"/>
              <w:outlineLvl w:val="9"/>
              <w:rPr>
                <w:rFonts w:hint="default" w:ascii="Times New Roman" w:hAnsi="Times New Roman" w:eastAsia="宋体" w:cs="Times New Roman"/>
                <w:b w:val="0"/>
                <w:bCs w:val="0"/>
                <w:color w:val="auto"/>
                <w:sz w:val="24"/>
                <w:szCs w:val="24"/>
                <w:u w:color="auto"/>
                <w:lang w:val="en-US" w:eastAsia="zh-CN"/>
              </w:rPr>
            </w:pPr>
            <w:r>
              <w:rPr>
                <w:rFonts w:hint="eastAsia"/>
                <w:b w:val="0"/>
                <w:bCs w:val="0"/>
                <w:color w:val="auto"/>
                <w:sz w:val="24"/>
                <w:szCs w:val="24"/>
                <w:lang w:val="en-US" w:eastAsia="zh-CN"/>
              </w:rPr>
              <w:t>（2）</w:t>
            </w:r>
            <w:r>
              <w:rPr>
                <w:rFonts w:hint="eastAsia" w:cs="Times New Roman"/>
                <w:b w:val="0"/>
                <w:bCs w:val="0"/>
                <w:color w:val="auto"/>
                <w:sz w:val="24"/>
                <w:szCs w:val="24"/>
                <w:u w:color="auto"/>
                <w:lang w:val="en-US" w:eastAsia="zh-CN"/>
              </w:rPr>
              <w:t>拖把清洗废水</w:t>
            </w:r>
          </w:p>
          <w:p>
            <w:pPr>
              <w:bidi w:val="0"/>
              <w:ind w:firstLine="480" w:firstLineChars="200"/>
              <w:rPr>
                <w:rFonts w:hint="eastAsia" w:cs="Times New Roman"/>
                <w:color w:val="auto"/>
                <w:u w:val="none" w:color="auto"/>
                <w:lang w:val="en-US" w:eastAsia="zh-CN"/>
              </w:rPr>
            </w:pPr>
            <w:r>
              <w:rPr>
                <w:rFonts w:hint="default" w:ascii="Times New Roman" w:hAnsi="Times New Roman" w:eastAsia="宋体" w:cs="Times New Roman"/>
                <w:color w:val="auto"/>
                <w:sz w:val="24"/>
                <w:szCs w:val="24"/>
                <w:u w:color="auto"/>
                <w:lang w:val="en-US" w:eastAsia="zh-CN"/>
              </w:rPr>
              <w:t>本项目拆解作业区日常以清扫为主，需定期采用拖把清洁，</w:t>
            </w:r>
            <w:r>
              <w:rPr>
                <w:rFonts w:hint="eastAsia"/>
                <w:bCs/>
                <w:sz w:val="24"/>
                <w:szCs w:val="24"/>
              </w:rPr>
              <w:t>拖把清洗用水量为0.</w:t>
            </w:r>
            <w:r>
              <w:rPr>
                <w:rFonts w:hint="eastAsia"/>
                <w:bCs/>
                <w:sz w:val="24"/>
                <w:szCs w:val="24"/>
                <w:lang w:val="en-US" w:eastAsia="zh-CN"/>
              </w:rPr>
              <w:t>1</w:t>
            </w:r>
            <w:r>
              <w:rPr>
                <w:rFonts w:hint="eastAsia"/>
                <w:bCs/>
                <w:sz w:val="24"/>
                <w:szCs w:val="24"/>
              </w:rPr>
              <w:t>m</w:t>
            </w:r>
            <w:r>
              <w:rPr>
                <w:rFonts w:hint="eastAsia"/>
                <w:bCs/>
                <w:sz w:val="24"/>
                <w:szCs w:val="24"/>
                <w:vertAlign w:val="superscript"/>
              </w:rPr>
              <w:t>3</w:t>
            </w:r>
            <w:r>
              <w:rPr>
                <w:rFonts w:hint="eastAsia"/>
                <w:bCs/>
                <w:sz w:val="24"/>
                <w:szCs w:val="24"/>
              </w:rPr>
              <w:t>/d，</w:t>
            </w:r>
            <w:r>
              <w:rPr>
                <w:rFonts w:hint="eastAsia"/>
                <w:bCs/>
                <w:sz w:val="24"/>
                <w:szCs w:val="24"/>
                <w:lang w:val="en-US" w:eastAsia="zh-CN"/>
              </w:rPr>
              <w:t>30</w:t>
            </w:r>
            <w:r>
              <w:rPr>
                <w:bCs/>
                <w:sz w:val="24"/>
                <w:szCs w:val="24"/>
              </w:rPr>
              <w:t>m</w:t>
            </w:r>
            <w:r>
              <w:rPr>
                <w:bCs/>
                <w:sz w:val="24"/>
                <w:szCs w:val="24"/>
                <w:vertAlign w:val="superscript"/>
              </w:rPr>
              <w:t>3</w:t>
            </w:r>
            <w:r>
              <w:rPr>
                <w:bCs/>
                <w:sz w:val="24"/>
                <w:szCs w:val="24"/>
              </w:rPr>
              <w:t>/a。项目</w:t>
            </w:r>
            <w:r>
              <w:rPr>
                <w:rFonts w:hint="eastAsia"/>
                <w:bCs/>
                <w:sz w:val="24"/>
                <w:szCs w:val="24"/>
              </w:rPr>
              <w:t>拖把清洗</w:t>
            </w:r>
            <w:r>
              <w:rPr>
                <w:bCs/>
                <w:sz w:val="24"/>
                <w:szCs w:val="24"/>
              </w:rPr>
              <w:t>废水产生系数取0.9，则</w:t>
            </w:r>
            <w:r>
              <w:rPr>
                <w:rFonts w:hint="eastAsia"/>
                <w:bCs/>
                <w:sz w:val="24"/>
                <w:szCs w:val="24"/>
              </w:rPr>
              <w:t>拖把</w:t>
            </w:r>
            <w:r>
              <w:rPr>
                <w:bCs/>
                <w:sz w:val="24"/>
                <w:szCs w:val="24"/>
              </w:rPr>
              <w:t>清洗废水产生</w:t>
            </w:r>
            <w:r>
              <w:rPr>
                <w:rFonts w:hint="eastAsia"/>
                <w:bCs/>
                <w:sz w:val="24"/>
                <w:szCs w:val="24"/>
                <w:lang w:val="en-US" w:eastAsia="zh-CN"/>
              </w:rPr>
              <w:t>27</w:t>
            </w:r>
            <w:r>
              <w:rPr>
                <w:bCs/>
                <w:sz w:val="24"/>
                <w:szCs w:val="24"/>
              </w:rPr>
              <w:t>m</w:t>
            </w:r>
            <w:r>
              <w:rPr>
                <w:bCs/>
                <w:sz w:val="24"/>
                <w:szCs w:val="24"/>
                <w:vertAlign w:val="superscript"/>
              </w:rPr>
              <w:t>3</w:t>
            </w:r>
            <w:r>
              <w:rPr>
                <w:bCs/>
                <w:sz w:val="24"/>
                <w:szCs w:val="24"/>
              </w:rPr>
              <w:t>/a（</w:t>
            </w:r>
            <w:r>
              <w:rPr>
                <w:rFonts w:hint="eastAsia"/>
                <w:bCs/>
                <w:sz w:val="24"/>
                <w:szCs w:val="24"/>
                <w:lang w:val="en-US" w:eastAsia="zh-CN"/>
              </w:rPr>
              <w:t>0.09</w:t>
            </w:r>
            <w:r>
              <w:rPr>
                <w:bCs/>
                <w:sz w:val="24"/>
                <w:szCs w:val="24"/>
              </w:rPr>
              <w:t>m</w:t>
            </w:r>
            <w:r>
              <w:rPr>
                <w:bCs/>
                <w:sz w:val="24"/>
                <w:szCs w:val="24"/>
                <w:vertAlign w:val="superscript"/>
              </w:rPr>
              <w:t>3</w:t>
            </w:r>
            <w:r>
              <w:rPr>
                <w:bCs/>
                <w:sz w:val="24"/>
                <w:szCs w:val="24"/>
              </w:rPr>
              <w:t>/d）</w:t>
            </w:r>
            <w:r>
              <w:rPr>
                <w:rFonts w:hint="eastAsia"/>
                <w:bCs/>
                <w:sz w:val="24"/>
                <w:szCs w:val="24"/>
                <w:lang w:eastAsia="zh-CN"/>
              </w:rPr>
              <w:t>。</w:t>
            </w:r>
            <w:r>
              <w:rPr>
                <w:rFonts w:hint="default" w:ascii="Times New Roman" w:hAnsi="Times New Roman" w:eastAsia="宋体" w:cs="Times New Roman"/>
                <w:color w:val="auto"/>
                <w:sz w:val="24"/>
                <w:szCs w:val="24"/>
                <w:u w:color="auto"/>
                <w:lang w:val="en-US" w:eastAsia="zh-CN"/>
              </w:rPr>
              <w:t>项目</w:t>
            </w:r>
            <w:r>
              <w:rPr>
                <w:rFonts w:hint="eastAsia" w:cs="Times New Roman"/>
                <w:color w:val="auto"/>
                <w:sz w:val="24"/>
                <w:szCs w:val="24"/>
                <w:u w:color="auto"/>
                <w:lang w:val="en-US" w:eastAsia="zh-CN"/>
              </w:rPr>
              <w:t>拖把清洗废水通过管道进入厂区隔油沉淀池（</w:t>
            </w:r>
            <w:r>
              <w:rPr>
                <w:rFonts w:hint="eastAsia" w:cs="Times New Roman"/>
                <w:color w:val="auto"/>
                <w:kern w:val="0"/>
                <w:sz w:val="24"/>
                <w:szCs w:val="24"/>
                <w:u w:color="auto"/>
                <w:lang w:val="en-US" w:eastAsia="zh-CN" w:bidi="ar"/>
              </w:rPr>
              <w:t>TW002，</w:t>
            </w:r>
            <w:r>
              <w:rPr>
                <w:rFonts w:hint="eastAsia" w:cs="Times New Roman"/>
                <w:color w:val="auto"/>
                <w:sz w:val="24"/>
                <w:szCs w:val="24"/>
                <w:u w:color="auto"/>
                <w:lang w:val="en-US" w:eastAsia="zh-CN"/>
              </w:rPr>
              <w:t>采用气浮+油水分离器技术）内进行处理，</w:t>
            </w:r>
            <w:r>
              <w:rPr>
                <w:rFonts w:hint="default" w:ascii="Times New Roman" w:hAnsi="Times New Roman" w:cs="Times New Roman"/>
                <w:color w:val="auto"/>
                <w:u w:val="none" w:color="auto"/>
                <w:lang w:eastAsia="zh-CN"/>
              </w:rPr>
              <w:t>通过</w:t>
            </w:r>
            <w:r>
              <w:rPr>
                <w:rFonts w:hint="eastAsia" w:cs="Times New Roman"/>
                <w:color w:val="auto"/>
                <w:u w:val="none" w:color="auto"/>
                <w:lang w:val="en-US" w:eastAsia="zh-CN"/>
              </w:rPr>
              <w:t>市政污水管网排入</w:t>
            </w:r>
            <w:r>
              <w:rPr>
                <w:rFonts w:hint="default" w:ascii="Times New Roman" w:hAnsi="Times New Roman" w:cs="Times New Roman"/>
                <w:color w:val="auto"/>
                <w:u w:val="none" w:color="auto"/>
                <w:lang w:eastAsia="zh-CN"/>
              </w:rPr>
              <w:t>归阳污水处理厂</w:t>
            </w:r>
            <w:r>
              <w:rPr>
                <w:rFonts w:hint="eastAsia" w:ascii="Times New Roman" w:hAnsi="Times New Roman" w:cs="Times New Roman"/>
                <w:color w:val="auto"/>
                <w:u w:val="none" w:color="auto"/>
                <w:lang w:eastAsia="zh-CN"/>
              </w:rPr>
              <w:t>。</w:t>
            </w:r>
          </w:p>
          <w:p>
            <w:pPr>
              <w:keepNext w:val="0"/>
              <w:keepLines w:val="0"/>
              <w:pageBreakBefore w:val="0"/>
              <w:widowControl/>
              <w:suppressLineNumbers w:val="0"/>
              <w:kinsoku/>
              <w:wordWrap/>
              <w:overflowPunct/>
              <w:topLinePunct w:val="0"/>
              <w:autoSpaceDE/>
              <w:autoSpaceDN/>
              <w:bidi w:val="0"/>
              <w:adjustRightInd/>
              <w:snapToGrid/>
              <w:spacing w:line="360" w:lineRule="auto"/>
              <w:ind w:left="0" w:leftChars="0" w:right="0" w:rightChars="0" w:firstLine="480" w:firstLineChars="200"/>
              <w:jc w:val="left"/>
              <w:textAlignment w:val="auto"/>
              <w:outlineLvl w:val="9"/>
              <w:rPr>
                <w:rFonts w:hint="eastAsia" w:cs="Times New Roman"/>
                <w:b w:val="0"/>
                <w:bCs w:val="0"/>
                <w:color w:val="auto"/>
                <w:kern w:val="2"/>
                <w:sz w:val="24"/>
                <w:szCs w:val="24"/>
                <w:u w:color="auto"/>
                <w:lang w:val="en-US" w:eastAsia="zh-CN" w:bidi="ar-SA"/>
              </w:rPr>
            </w:pPr>
            <w:r>
              <w:rPr>
                <w:rFonts w:hint="eastAsia"/>
                <w:b w:val="0"/>
                <w:bCs w:val="0"/>
                <w:color w:val="auto"/>
                <w:sz w:val="24"/>
                <w:szCs w:val="24"/>
                <w:lang w:val="en-US" w:eastAsia="zh-CN"/>
              </w:rPr>
              <w:t>（3）</w:t>
            </w:r>
            <w:r>
              <w:rPr>
                <w:rFonts w:hint="eastAsia" w:cs="Times New Roman"/>
                <w:b w:val="0"/>
                <w:bCs w:val="0"/>
                <w:color w:val="auto"/>
                <w:kern w:val="2"/>
                <w:sz w:val="24"/>
                <w:szCs w:val="24"/>
                <w:u w:color="auto"/>
                <w:lang w:val="en-US" w:eastAsia="zh-CN" w:bidi="ar-SA"/>
              </w:rPr>
              <w:t>初期雨水</w:t>
            </w:r>
          </w:p>
          <w:p>
            <w:pPr>
              <w:pStyle w:val="32"/>
              <w:ind w:firstLine="480"/>
              <w:jc w:val="center"/>
              <w:rPr>
                <w:rFonts w:hint="eastAsia" w:eastAsia="宋体" w:cs="Times New Roman"/>
                <w:bCs/>
                <w:sz w:val="24"/>
                <w:szCs w:val="24"/>
              </w:rPr>
            </w:pPr>
            <w:r>
              <w:rPr>
                <w:rFonts w:hint="eastAsia" w:eastAsia="宋体" w:cs="Times New Roman"/>
                <w:bCs/>
                <w:sz w:val="24"/>
                <w:szCs w:val="24"/>
              </w:rPr>
              <w:t>项目初期雨水按雨水量按衡阳市暴雨强度公式计算，计算公式如下q=892</w:t>
            </w:r>
            <w:r>
              <w:rPr>
                <w:rFonts w:hint="eastAsia" w:eastAsia="宋体" w:cs="Times New Roman"/>
                <w:bCs/>
                <w:sz w:val="24"/>
                <w:szCs w:val="24"/>
                <w:lang w:val="en-US" w:eastAsia="zh-CN"/>
              </w:rPr>
              <w:t>*</w:t>
            </w:r>
            <w:r>
              <w:rPr>
                <w:rFonts w:hint="eastAsia" w:eastAsia="宋体" w:cs="Times New Roman"/>
                <w:bCs/>
                <w:sz w:val="24"/>
                <w:szCs w:val="24"/>
              </w:rPr>
              <w:t>(1+0.671gP)/t0.57</w:t>
            </w:r>
          </w:p>
          <w:p>
            <w:pPr>
              <w:pStyle w:val="32"/>
              <w:ind w:firstLine="480"/>
              <w:rPr>
                <w:rFonts w:hint="eastAsia" w:eastAsia="宋体" w:cs="Times New Roman"/>
                <w:bCs/>
                <w:sz w:val="24"/>
                <w:szCs w:val="24"/>
                <w:lang w:eastAsia="zh-CN"/>
              </w:rPr>
            </w:pPr>
            <w:r>
              <w:rPr>
                <w:rFonts w:hint="eastAsia" w:eastAsia="宋体" w:cs="Times New Roman"/>
                <w:bCs/>
                <w:sz w:val="24"/>
                <w:szCs w:val="24"/>
              </w:rPr>
              <w:t>式中</w:t>
            </w:r>
            <w:r>
              <w:rPr>
                <w:rFonts w:hint="eastAsia" w:eastAsia="宋体" w:cs="Times New Roman"/>
                <w:bCs/>
                <w:sz w:val="24"/>
                <w:szCs w:val="24"/>
                <w:lang w:eastAsia="zh-CN"/>
              </w:rPr>
              <w:t>：</w:t>
            </w:r>
            <w:r>
              <w:rPr>
                <w:rFonts w:hint="eastAsia" w:eastAsia="宋体" w:cs="Times New Roman"/>
                <w:bCs/>
                <w:sz w:val="24"/>
                <w:szCs w:val="24"/>
              </w:rPr>
              <w:t>q</w:t>
            </w:r>
            <w:r>
              <w:rPr>
                <w:rFonts w:hint="eastAsia" w:eastAsia="宋体" w:cs="Times New Roman"/>
                <w:bCs/>
                <w:sz w:val="24"/>
                <w:szCs w:val="24"/>
                <w:lang w:val="en-US" w:eastAsia="zh-CN"/>
              </w:rPr>
              <w:t>-</w:t>
            </w:r>
            <w:r>
              <w:rPr>
                <w:rFonts w:hint="eastAsia" w:eastAsia="宋体" w:cs="Times New Roman"/>
                <w:bCs/>
                <w:sz w:val="24"/>
                <w:szCs w:val="24"/>
              </w:rPr>
              <w:t>暴雨强度，L/(s·hm</w:t>
            </w:r>
            <w:r>
              <w:rPr>
                <w:rFonts w:hint="eastAsia" w:eastAsia="宋体" w:cs="Times New Roman"/>
                <w:bCs/>
                <w:sz w:val="24"/>
                <w:szCs w:val="24"/>
                <w:vertAlign w:val="superscript"/>
              </w:rPr>
              <w:t>2</w:t>
            </w:r>
            <w:r>
              <w:rPr>
                <w:rFonts w:hint="eastAsia" w:eastAsia="宋体" w:cs="Times New Roman"/>
                <w:bCs/>
                <w:sz w:val="24"/>
                <w:szCs w:val="24"/>
              </w:rPr>
              <w:t>)</w:t>
            </w:r>
            <w:r>
              <w:rPr>
                <w:rFonts w:hint="eastAsia" w:eastAsia="宋体" w:cs="Times New Roman"/>
                <w:bCs/>
                <w:sz w:val="24"/>
                <w:szCs w:val="24"/>
                <w:lang w:eastAsia="zh-CN"/>
              </w:rPr>
              <w:t>；</w:t>
            </w:r>
          </w:p>
          <w:p>
            <w:pPr>
              <w:pStyle w:val="32"/>
              <w:ind w:firstLine="1200" w:firstLineChars="500"/>
              <w:rPr>
                <w:rFonts w:hint="default" w:eastAsia="宋体" w:cs="Times New Roman"/>
                <w:bCs/>
                <w:sz w:val="24"/>
                <w:szCs w:val="24"/>
                <w:lang w:val="en-US" w:eastAsia="zh-CN"/>
              </w:rPr>
            </w:pPr>
            <w:r>
              <w:rPr>
                <w:rFonts w:hint="eastAsia" w:eastAsia="宋体" w:cs="Times New Roman"/>
                <w:bCs/>
                <w:sz w:val="24"/>
                <w:szCs w:val="24"/>
              </w:rPr>
              <w:t>P</w:t>
            </w:r>
            <w:r>
              <w:rPr>
                <w:rFonts w:hint="eastAsia" w:eastAsia="宋体" w:cs="Times New Roman"/>
                <w:bCs/>
                <w:sz w:val="24"/>
                <w:szCs w:val="24"/>
                <w:lang w:val="en-US" w:eastAsia="zh-CN"/>
              </w:rPr>
              <w:t>-</w:t>
            </w:r>
            <w:r>
              <w:rPr>
                <w:rFonts w:hint="eastAsia" w:eastAsia="宋体" w:cs="Times New Roman"/>
                <w:bCs/>
                <w:sz w:val="24"/>
                <w:szCs w:val="24"/>
              </w:rPr>
              <w:t>重现期，</w:t>
            </w:r>
            <w:r>
              <w:rPr>
                <w:rFonts w:hint="eastAsia" w:eastAsia="宋体" w:cs="Times New Roman"/>
                <w:bCs/>
                <w:sz w:val="24"/>
                <w:szCs w:val="24"/>
                <w:lang w:val="en-US" w:eastAsia="zh-CN"/>
              </w:rPr>
              <w:t>本项目取值1年</w:t>
            </w:r>
          </w:p>
          <w:p>
            <w:pPr>
              <w:pStyle w:val="32"/>
              <w:ind w:firstLine="1200" w:firstLineChars="500"/>
              <w:rPr>
                <w:rFonts w:hint="eastAsia" w:eastAsia="宋体" w:cs="Times New Roman"/>
                <w:bCs/>
                <w:sz w:val="24"/>
                <w:szCs w:val="24"/>
              </w:rPr>
            </w:pPr>
            <w:r>
              <w:rPr>
                <w:rFonts w:hint="eastAsia" w:eastAsia="宋体" w:cs="Times New Roman"/>
                <w:bCs/>
                <w:sz w:val="24"/>
                <w:szCs w:val="24"/>
              </w:rPr>
              <w:t>T</w:t>
            </w:r>
            <w:r>
              <w:rPr>
                <w:rFonts w:hint="eastAsia" w:eastAsia="宋体" w:cs="Times New Roman"/>
                <w:bCs/>
                <w:sz w:val="24"/>
                <w:szCs w:val="24"/>
                <w:lang w:val="en-US" w:eastAsia="zh-CN"/>
              </w:rPr>
              <w:t>-</w:t>
            </w:r>
            <w:r>
              <w:rPr>
                <w:rFonts w:hint="eastAsia" w:eastAsia="宋体" w:cs="Times New Roman"/>
                <w:bCs/>
                <w:sz w:val="24"/>
                <w:szCs w:val="24"/>
              </w:rPr>
              <w:t>降雨历时，15min</w:t>
            </w:r>
          </w:p>
          <w:p>
            <w:pPr>
              <w:pStyle w:val="32"/>
              <w:ind w:firstLine="480"/>
              <w:jc w:val="center"/>
              <w:rPr>
                <w:rFonts w:hint="eastAsia" w:eastAsia="宋体" w:cs="Times New Roman"/>
                <w:bCs/>
                <w:sz w:val="24"/>
                <w:szCs w:val="24"/>
              </w:rPr>
            </w:pPr>
            <w:r>
              <w:rPr>
                <w:rFonts w:hint="eastAsia" w:eastAsia="宋体" w:cs="Times New Roman"/>
                <w:bCs/>
                <w:sz w:val="24"/>
                <w:szCs w:val="24"/>
              </w:rPr>
              <w:t>Q</w:t>
            </w:r>
            <w:r>
              <w:rPr>
                <w:rFonts w:hint="eastAsia" w:eastAsia="宋体" w:cs="Times New Roman"/>
                <w:bCs/>
                <w:sz w:val="24"/>
                <w:szCs w:val="24"/>
                <w:lang w:val="en-US" w:eastAsia="zh-CN"/>
              </w:rPr>
              <w:t>=</w:t>
            </w:r>
            <w:r>
              <w:rPr>
                <w:rFonts w:hint="eastAsia" w:eastAsia="宋体" w:cs="Times New Roman"/>
                <w:bCs/>
                <w:sz w:val="24"/>
                <w:szCs w:val="24"/>
              </w:rPr>
              <w:t>wqF</w:t>
            </w:r>
          </w:p>
          <w:p>
            <w:pPr>
              <w:pStyle w:val="32"/>
              <w:ind w:firstLine="480"/>
              <w:rPr>
                <w:rFonts w:hint="eastAsia" w:eastAsia="宋体" w:cs="Times New Roman"/>
                <w:bCs/>
                <w:sz w:val="24"/>
                <w:szCs w:val="24"/>
                <w:lang w:eastAsia="zh-CN"/>
              </w:rPr>
            </w:pPr>
            <w:r>
              <w:rPr>
                <w:rFonts w:hint="eastAsia" w:eastAsia="宋体" w:cs="Times New Roman"/>
                <w:bCs/>
                <w:sz w:val="24"/>
                <w:szCs w:val="24"/>
              </w:rPr>
              <w:t>其中</w:t>
            </w:r>
            <w:r>
              <w:rPr>
                <w:rFonts w:hint="eastAsia" w:eastAsia="宋体" w:cs="Times New Roman"/>
                <w:bCs/>
                <w:sz w:val="24"/>
                <w:szCs w:val="24"/>
                <w:lang w:eastAsia="zh-CN"/>
              </w:rPr>
              <w:t>：</w:t>
            </w:r>
            <w:r>
              <w:rPr>
                <w:rFonts w:hint="eastAsia" w:eastAsia="宋体" w:cs="Times New Roman"/>
                <w:bCs/>
                <w:sz w:val="24"/>
                <w:szCs w:val="24"/>
              </w:rPr>
              <w:t>Q</w:t>
            </w:r>
            <w:r>
              <w:rPr>
                <w:rFonts w:hint="eastAsia" w:eastAsia="宋体" w:cs="Times New Roman"/>
                <w:bCs/>
                <w:sz w:val="24"/>
                <w:szCs w:val="24"/>
                <w:lang w:val="en-US" w:eastAsia="zh-CN"/>
              </w:rPr>
              <w:t>-</w:t>
            </w:r>
            <w:r>
              <w:rPr>
                <w:rFonts w:hint="eastAsia" w:eastAsia="宋体" w:cs="Times New Roman"/>
                <w:bCs/>
                <w:sz w:val="24"/>
                <w:szCs w:val="24"/>
              </w:rPr>
              <w:t>设计雨水量(L/s)</w:t>
            </w:r>
            <w:r>
              <w:rPr>
                <w:rFonts w:hint="eastAsia" w:eastAsia="宋体" w:cs="Times New Roman"/>
                <w:bCs/>
                <w:sz w:val="24"/>
                <w:szCs w:val="24"/>
                <w:lang w:eastAsia="zh-CN"/>
              </w:rPr>
              <w:t>；</w:t>
            </w:r>
          </w:p>
          <w:p>
            <w:pPr>
              <w:pStyle w:val="32"/>
              <w:ind w:firstLine="960" w:firstLineChars="400"/>
              <w:rPr>
                <w:rFonts w:hint="eastAsia" w:eastAsia="宋体" w:cs="Times New Roman"/>
                <w:bCs/>
                <w:sz w:val="24"/>
                <w:szCs w:val="24"/>
                <w:lang w:eastAsia="zh-CN"/>
              </w:rPr>
            </w:pPr>
            <w:r>
              <w:rPr>
                <w:rFonts w:hint="eastAsia" w:eastAsia="宋体" w:cs="Times New Roman"/>
                <w:bCs/>
                <w:sz w:val="24"/>
                <w:szCs w:val="24"/>
              </w:rPr>
              <w:t>W</w:t>
            </w:r>
            <w:r>
              <w:rPr>
                <w:rFonts w:hint="eastAsia" w:eastAsia="宋体" w:cs="Times New Roman"/>
                <w:bCs/>
                <w:sz w:val="24"/>
                <w:szCs w:val="24"/>
                <w:lang w:val="en-US" w:eastAsia="zh-CN"/>
              </w:rPr>
              <w:t>-</w:t>
            </w:r>
            <w:r>
              <w:rPr>
                <w:rFonts w:hint="eastAsia" w:eastAsia="宋体" w:cs="Times New Roman"/>
                <w:bCs/>
                <w:sz w:val="24"/>
                <w:szCs w:val="24"/>
              </w:rPr>
              <w:t>设计径流系数，取0.9</w:t>
            </w:r>
            <w:r>
              <w:rPr>
                <w:rFonts w:hint="eastAsia" w:eastAsia="宋体" w:cs="Times New Roman"/>
                <w:bCs/>
                <w:sz w:val="24"/>
                <w:szCs w:val="24"/>
                <w:lang w:eastAsia="zh-CN"/>
              </w:rPr>
              <w:t>；</w:t>
            </w:r>
          </w:p>
          <w:p>
            <w:pPr>
              <w:pStyle w:val="32"/>
              <w:ind w:firstLine="960" w:firstLineChars="400"/>
              <w:rPr>
                <w:rFonts w:hint="eastAsia" w:eastAsia="宋体" w:cs="Times New Roman"/>
                <w:bCs/>
                <w:sz w:val="24"/>
                <w:szCs w:val="24"/>
                <w:lang w:val="en-US" w:eastAsia="zh-CN"/>
              </w:rPr>
            </w:pPr>
            <w:r>
              <w:rPr>
                <w:rFonts w:hint="eastAsia" w:eastAsia="宋体" w:cs="Times New Roman"/>
                <w:bCs/>
                <w:sz w:val="24"/>
                <w:szCs w:val="24"/>
                <w:lang w:val="en-US" w:eastAsia="zh-CN"/>
              </w:rPr>
              <w:t>q-</w:t>
            </w:r>
            <w:r>
              <w:rPr>
                <w:rFonts w:hint="eastAsia" w:eastAsia="宋体" w:cs="Times New Roman"/>
                <w:bCs/>
                <w:sz w:val="24"/>
                <w:szCs w:val="24"/>
              </w:rPr>
              <w:t>设计暴雨强度(L/s*hm</w:t>
            </w:r>
            <w:r>
              <w:rPr>
                <w:rFonts w:hint="eastAsia" w:eastAsia="宋体" w:cs="Times New Roman"/>
                <w:bCs/>
                <w:sz w:val="24"/>
                <w:szCs w:val="24"/>
                <w:vertAlign w:val="superscript"/>
              </w:rPr>
              <w:t>2</w:t>
            </w:r>
            <w:r>
              <w:rPr>
                <w:rFonts w:hint="eastAsia" w:eastAsia="宋体" w:cs="Times New Roman"/>
                <w:bCs/>
                <w:sz w:val="24"/>
                <w:szCs w:val="24"/>
              </w:rPr>
              <w:t>)</w:t>
            </w:r>
            <w:r>
              <w:rPr>
                <w:rFonts w:hint="eastAsia" w:eastAsia="宋体" w:cs="Times New Roman"/>
                <w:bCs/>
                <w:sz w:val="24"/>
                <w:szCs w:val="24"/>
                <w:lang w:eastAsia="zh-CN"/>
              </w:rPr>
              <w:t>；</w:t>
            </w:r>
          </w:p>
          <w:p>
            <w:pPr>
              <w:pStyle w:val="32"/>
              <w:ind w:firstLine="960" w:firstLineChars="400"/>
              <w:rPr>
                <w:rFonts w:hint="eastAsia" w:eastAsia="宋体" w:cs="Times New Roman"/>
                <w:bCs/>
                <w:sz w:val="24"/>
                <w:szCs w:val="24"/>
                <w:lang w:val="en-US" w:eastAsia="zh-CN"/>
              </w:rPr>
            </w:pPr>
            <w:r>
              <w:rPr>
                <w:rFonts w:hint="eastAsia" w:eastAsia="宋体" w:cs="Times New Roman"/>
                <w:bCs/>
                <w:sz w:val="24"/>
                <w:szCs w:val="24"/>
              </w:rPr>
              <w:t>F-设计汇水面积，以厂区总面积计，为</w:t>
            </w:r>
            <w:r>
              <w:rPr>
                <w:rFonts w:hint="eastAsia" w:eastAsia="宋体" w:cs="Times New Roman"/>
                <w:bCs/>
                <w:sz w:val="24"/>
                <w:szCs w:val="24"/>
                <w:lang w:val="en-US" w:eastAsia="zh-CN"/>
              </w:rPr>
              <w:t>10666.67</w:t>
            </w:r>
            <w:r>
              <w:rPr>
                <w:rFonts w:hint="eastAsia" w:eastAsia="宋体" w:cs="Times New Roman"/>
                <w:bCs/>
                <w:sz w:val="24"/>
                <w:szCs w:val="24"/>
              </w:rPr>
              <w:t>m</w:t>
            </w:r>
            <w:r>
              <w:rPr>
                <w:rFonts w:hint="eastAsia" w:eastAsia="宋体" w:cs="Times New Roman"/>
                <w:bCs/>
                <w:sz w:val="24"/>
                <w:szCs w:val="24"/>
                <w:vertAlign w:val="superscript"/>
              </w:rPr>
              <w:t>2</w:t>
            </w:r>
            <w:r>
              <w:rPr>
                <w:rFonts w:hint="eastAsia" w:eastAsia="宋体" w:cs="Times New Roman"/>
                <w:bCs/>
                <w:sz w:val="24"/>
                <w:szCs w:val="24"/>
                <w:vertAlign w:val="baseline"/>
                <w:lang w:eastAsia="zh-CN"/>
              </w:rPr>
              <w:t>；</w:t>
            </w:r>
            <w:r>
              <w:rPr>
                <w:rFonts w:hint="eastAsia" w:ascii="宋体" w:hAnsi="宋体" w:cs="宋体"/>
                <w:sz w:val="24"/>
                <w:highlight w:val="none"/>
                <w:lang w:val="en-US" w:eastAsia="zh-CN"/>
              </w:rPr>
              <w:t>即</w:t>
            </w:r>
            <w:r>
              <w:rPr>
                <w:rFonts w:hint="default" w:ascii="Times New Roman" w:hAnsi="Times New Roman" w:cs="Times New Roman"/>
                <w:sz w:val="24"/>
                <w:highlight w:val="none"/>
                <w:lang w:val="en-US" w:eastAsia="zh-CN"/>
              </w:rPr>
              <w:t>1</w:t>
            </w:r>
            <w:r>
              <w:rPr>
                <w:rFonts w:hint="eastAsia" w:ascii="宋体" w:hAnsi="宋体" w:cs="宋体"/>
                <w:sz w:val="24"/>
                <w:highlight w:val="none"/>
                <w:lang w:val="en-US" w:eastAsia="zh-CN"/>
              </w:rPr>
              <w:t>公顷</w:t>
            </w:r>
          </w:p>
          <w:p>
            <w:pPr>
              <w:pStyle w:val="32"/>
              <w:ind w:firstLine="480"/>
              <w:rPr>
                <w:rFonts w:hint="eastAsia" w:ascii="宋体" w:hAnsi="宋体" w:eastAsia="宋体" w:cs="宋体"/>
                <w:color w:val="auto"/>
                <w:kern w:val="0"/>
                <w:sz w:val="24"/>
                <w:szCs w:val="24"/>
                <w:lang w:val="en-US" w:eastAsia="zh-CN" w:bidi="ar"/>
              </w:rPr>
            </w:pPr>
            <w:r>
              <w:rPr>
                <w:rFonts w:hint="eastAsia" w:eastAsia="宋体" w:cs="Times New Roman"/>
                <w:bCs/>
                <w:sz w:val="24"/>
                <w:szCs w:val="24"/>
              </w:rPr>
              <w:t>经计算，</w:t>
            </w:r>
            <w:r>
              <w:rPr>
                <w:rFonts w:hint="eastAsia" w:eastAsia="宋体" w:cs="Times New Roman"/>
                <w:bCs/>
                <w:sz w:val="24"/>
                <w:szCs w:val="24"/>
                <w:lang w:val="en-US" w:eastAsia="zh-CN"/>
              </w:rPr>
              <w:t>q</w:t>
            </w:r>
            <w:r>
              <w:rPr>
                <w:rFonts w:hint="eastAsia" w:eastAsia="宋体" w:cs="Times New Roman"/>
                <w:bCs/>
                <w:sz w:val="24"/>
                <w:szCs w:val="24"/>
              </w:rPr>
              <w:t>=190.54(L/s</w:t>
            </w:r>
            <w:r>
              <w:rPr>
                <w:rFonts w:hint="eastAsia" w:eastAsia="宋体" w:cs="Times New Roman"/>
                <w:bCs/>
                <w:sz w:val="24"/>
                <w:szCs w:val="24"/>
                <w:lang w:val="en-US" w:eastAsia="zh-CN"/>
              </w:rPr>
              <w:t>*</w:t>
            </w:r>
            <w:r>
              <w:rPr>
                <w:rFonts w:hint="eastAsia" w:eastAsia="宋体" w:cs="Times New Roman"/>
                <w:bCs/>
                <w:sz w:val="24"/>
                <w:szCs w:val="24"/>
              </w:rPr>
              <w:t>ha)，Q</w:t>
            </w:r>
            <w:r>
              <w:rPr>
                <w:rFonts w:hint="eastAsia" w:eastAsia="宋体" w:cs="Times New Roman"/>
                <w:bCs/>
                <w:sz w:val="24"/>
                <w:szCs w:val="24"/>
                <w:lang w:val="en-US" w:eastAsia="zh-CN"/>
              </w:rPr>
              <w:t>=171.486</w:t>
            </w:r>
            <w:r>
              <w:rPr>
                <w:rFonts w:hint="eastAsia" w:eastAsia="宋体" w:cs="Times New Roman"/>
                <w:bCs/>
                <w:sz w:val="24"/>
                <w:szCs w:val="24"/>
              </w:rPr>
              <w:t>L/s(</w:t>
            </w:r>
            <w:r>
              <w:rPr>
                <w:rFonts w:hint="eastAsia" w:eastAsia="宋体" w:cs="Times New Roman"/>
                <w:bCs/>
                <w:sz w:val="24"/>
                <w:szCs w:val="24"/>
                <w:lang w:val="en-US" w:eastAsia="zh-CN"/>
              </w:rPr>
              <w:t>617.35</w:t>
            </w:r>
            <w:r>
              <w:rPr>
                <w:rFonts w:hint="eastAsia" w:eastAsia="宋体" w:cs="Times New Roman"/>
                <w:bCs/>
                <w:sz w:val="24"/>
                <w:szCs w:val="24"/>
              </w:rPr>
              <w:t>m</w:t>
            </w:r>
            <w:r>
              <w:rPr>
                <w:rFonts w:hint="eastAsia" w:eastAsia="宋体" w:cs="Times New Roman"/>
                <w:bCs/>
                <w:sz w:val="24"/>
                <w:szCs w:val="24"/>
                <w:vertAlign w:val="superscript"/>
                <w:lang w:val="en-US" w:eastAsia="zh-CN"/>
              </w:rPr>
              <w:t>3</w:t>
            </w:r>
            <w:r>
              <w:rPr>
                <w:rFonts w:hint="eastAsia" w:eastAsia="宋体" w:cs="Times New Roman"/>
                <w:bCs/>
                <w:sz w:val="24"/>
                <w:szCs w:val="24"/>
              </w:rPr>
              <w:t>/h)，前15min初期雨水量为</w:t>
            </w:r>
            <w:r>
              <w:rPr>
                <w:rFonts w:hint="eastAsia" w:eastAsia="宋体" w:cs="Times New Roman"/>
                <w:bCs/>
                <w:sz w:val="24"/>
                <w:szCs w:val="24"/>
                <w:lang w:val="en-US" w:eastAsia="zh-CN"/>
              </w:rPr>
              <w:t>154.337</w:t>
            </w:r>
            <w:r>
              <w:rPr>
                <w:rFonts w:hint="eastAsia" w:eastAsia="宋体" w:cs="Times New Roman"/>
                <w:bCs/>
                <w:sz w:val="24"/>
                <w:szCs w:val="24"/>
              </w:rPr>
              <w:t>m</w:t>
            </w:r>
            <w:r>
              <w:rPr>
                <w:rFonts w:hint="eastAsia" w:eastAsia="宋体" w:cs="Times New Roman"/>
                <w:bCs/>
                <w:sz w:val="24"/>
                <w:szCs w:val="24"/>
                <w:vertAlign w:val="superscript"/>
              </w:rPr>
              <w:t>3</w:t>
            </w:r>
            <w:r>
              <w:rPr>
                <w:rFonts w:hint="eastAsia" w:eastAsia="宋体" w:cs="Times New Roman"/>
                <w:bCs/>
                <w:sz w:val="24"/>
                <w:szCs w:val="24"/>
              </w:rPr>
              <w:t>。初期雨水产生量约</w:t>
            </w:r>
            <w:r>
              <w:rPr>
                <w:rFonts w:hint="eastAsia" w:eastAsia="宋体" w:cs="Times New Roman"/>
                <w:bCs/>
                <w:sz w:val="24"/>
                <w:szCs w:val="24"/>
                <w:lang w:val="en-US" w:eastAsia="zh-CN"/>
              </w:rPr>
              <w:t>3086.74</w:t>
            </w:r>
            <w:r>
              <w:rPr>
                <w:rFonts w:hint="eastAsia" w:eastAsia="宋体" w:cs="Times New Roman"/>
                <w:bCs/>
                <w:sz w:val="24"/>
                <w:szCs w:val="24"/>
              </w:rPr>
              <w:t>m</w:t>
            </w:r>
            <w:r>
              <w:rPr>
                <w:rFonts w:hint="eastAsia" w:eastAsia="宋体" w:cs="Times New Roman"/>
                <w:bCs/>
                <w:sz w:val="24"/>
                <w:szCs w:val="24"/>
                <w:vertAlign w:val="superscript"/>
                <w:lang w:val="en-US" w:eastAsia="zh-CN"/>
              </w:rPr>
              <w:t>3</w:t>
            </w:r>
            <w:r>
              <w:rPr>
                <w:rFonts w:hint="eastAsia" w:eastAsia="宋体" w:cs="Times New Roman"/>
                <w:bCs/>
                <w:sz w:val="24"/>
                <w:szCs w:val="24"/>
              </w:rPr>
              <w:t>/a(</w:t>
            </w:r>
            <w:r>
              <w:rPr>
                <w:rFonts w:hint="eastAsia" w:eastAsia="宋体" w:cs="Times New Roman"/>
                <w:bCs/>
                <w:sz w:val="24"/>
                <w:szCs w:val="24"/>
                <w:lang w:val="en-US" w:eastAsia="zh-CN"/>
              </w:rPr>
              <w:t>154.337</w:t>
            </w:r>
            <w:r>
              <w:rPr>
                <w:rFonts w:hint="eastAsia" w:eastAsia="宋体" w:cs="Times New Roman"/>
                <w:bCs/>
                <w:sz w:val="24"/>
                <w:szCs w:val="24"/>
              </w:rPr>
              <w:t>m</w:t>
            </w:r>
            <w:r>
              <w:rPr>
                <w:rFonts w:hint="eastAsia" w:eastAsia="宋体" w:cs="Times New Roman"/>
                <w:bCs/>
                <w:sz w:val="24"/>
                <w:szCs w:val="24"/>
                <w:vertAlign w:val="superscript"/>
              </w:rPr>
              <w:t>3</w:t>
            </w:r>
            <w:r>
              <w:rPr>
                <w:rFonts w:hint="eastAsia" w:eastAsia="宋体" w:cs="Times New Roman"/>
                <w:bCs/>
                <w:sz w:val="24"/>
                <w:szCs w:val="24"/>
              </w:rPr>
              <w:t>/次</w:t>
            </w:r>
            <w:r>
              <w:rPr>
                <w:rFonts w:hint="eastAsia" w:eastAsia="宋体" w:cs="Times New Roman"/>
                <w:bCs/>
                <w:sz w:val="24"/>
                <w:szCs w:val="24"/>
                <w:lang w:eastAsia="zh-CN"/>
              </w:rPr>
              <w:t>，</w:t>
            </w:r>
            <w:r>
              <w:rPr>
                <w:rFonts w:hint="eastAsia" w:ascii="Times New Roman" w:hAnsi="Times New Roman" w:cs="Times New Roman"/>
                <w:sz w:val="24"/>
                <w:highlight w:val="none"/>
                <w:vertAlign w:val="baseline"/>
                <w:lang w:val="en-US" w:eastAsia="zh-CN"/>
              </w:rPr>
              <w:t>年暴雨次数取20次</w:t>
            </w:r>
            <w:r>
              <w:rPr>
                <w:rFonts w:hint="eastAsia" w:eastAsia="宋体" w:cs="Times New Roman"/>
                <w:bCs/>
                <w:sz w:val="24"/>
                <w:szCs w:val="24"/>
              </w:rPr>
              <w:t>)，</w:t>
            </w:r>
            <w:r>
              <w:rPr>
                <w:rFonts w:hint="eastAsia" w:cs="Times New Roman"/>
                <w:color w:val="auto"/>
                <w:kern w:val="2"/>
                <w:sz w:val="24"/>
                <w:szCs w:val="24"/>
                <w:u w:val="none" w:color="auto"/>
                <w:lang w:val="en-US" w:eastAsia="zh-CN" w:bidi="ar-SA"/>
              </w:rPr>
              <w:t>考虑到项目拆解车间与报废汽车暂存处之间生产活动频繁，物料转移路途中可能滴落少量油污，因此该区域初期雨水中不可避免地含有SS及石油类污染物，本项目在初期雨水和后期雨水排口处设置切换阀，</w:t>
            </w:r>
            <w:r>
              <w:rPr>
                <w:rFonts w:hint="eastAsia" w:eastAsia="宋体" w:cs="Times New Roman"/>
                <w:bCs/>
                <w:sz w:val="24"/>
                <w:szCs w:val="24"/>
                <w:u w:val="none" w:color="auto"/>
                <w:lang w:val="en-US" w:eastAsia="zh-CN"/>
              </w:rPr>
              <w:t>初期雨水拟建一个</w:t>
            </w:r>
            <w:r>
              <w:rPr>
                <w:rFonts w:hint="eastAsia" w:cs="Times New Roman"/>
                <w:color w:val="auto"/>
                <w:kern w:val="2"/>
                <w:sz w:val="24"/>
                <w:szCs w:val="24"/>
                <w:u w:val="none" w:color="auto"/>
                <w:lang w:val="en-US" w:eastAsia="zh-CN" w:bidi="ar-SA"/>
              </w:rPr>
              <w:t>容积为</w:t>
            </w:r>
            <w:r>
              <w:rPr>
                <w:rFonts w:hint="eastAsia" w:cs="Times New Roman"/>
                <w:bCs/>
                <w:sz w:val="24"/>
                <w:szCs w:val="24"/>
                <w:u w:val="none" w:color="auto"/>
                <w:lang w:val="en-US" w:eastAsia="zh-CN"/>
              </w:rPr>
              <w:t>180</w:t>
            </w:r>
            <w:r>
              <w:rPr>
                <w:rFonts w:hint="eastAsia" w:eastAsia="宋体" w:cs="Times New Roman"/>
                <w:bCs/>
                <w:sz w:val="24"/>
                <w:szCs w:val="24"/>
                <w:u w:val="none" w:color="auto"/>
                <w:lang w:val="en-US" w:eastAsia="zh-CN"/>
              </w:rPr>
              <w:t>m</w:t>
            </w:r>
            <w:r>
              <w:rPr>
                <w:rFonts w:hint="eastAsia" w:eastAsia="宋体" w:cs="Times New Roman"/>
                <w:bCs/>
                <w:sz w:val="24"/>
                <w:szCs w:val="24"/>
                <w:u w:val="none" w:color="auto"/>
                <w:vertAlign w:val="superscript"/>
                <w:lang w:val="en-US" w:eastAsia="zh-CN"/>
              </w:rPr>
              <w:t>3</w:t>
            </w:r>
            <w:r>
              <w:rPr>
                <w:rFonts w:hint="eastAsia" w:cs="Times New Roman"/>
                <w:color w:val="auto"/>
                <w:kern w:val="2"/>
                <w:sz w:val="24"/>
                <w:szCs w:val="24"/>
                <w:u w:val="none" w:color="auto"/>
                <w:lang w:val="en-US" w:eastAsia="zh-CN" w:bidi="ar-SA"/>
              </w:rPr>
              <w:t>的初期雨水收集池收集，再由隔油沉淀池（</w:t>
            </w:r>
            <w:r>
              <w:rPr>
                <w:rFonts w:hint="eastAsia" w:cs="Times New Roman"/>
                <w:color w:val="auto"/>
                <w:kern w:val="0"/>
                <w:sz w:val="24"/>
                <w:szCs w:val="24"/>
                <w:u w:color="auto"/>
                <w:lang w:val="en-US" w:eastAsia="zh-CN" w:bidi="ar"/>
              </w:rPr>
              <w:t>TW002，</w:t>
            </w:r>
            <w:r>
              <w:rPr>
                <w:rFonts w:hint="eastAsia" w:cs="Times New Roman"/>
                <w:color w:val="auto"/>
                <w:sz w:val="24"/>
                <w:szCs w:val="24"/>
                <w:u w:color="auto"/>
                <w:lang w:val="en-US" w:eastAsia="zh-CN"/>
              </w:rPr>
              <w:t>采用气浮+油水分离器技术</w:t>
            </w:r>
            <w:r>
              <w:rPr>
                <w:rFonts w:hint="eastAsia" w:cs="Times New Roman"/>
                <w:color w:val="auto"/>
                <w:kern w:val="2"/>
                <w:sz w:val="24"/>
                <w:szCs w:val="24"/>
                <w:u w:val="none" w:color="auto"/>
                <w:lang w:val="en-US" w:eastAsia="zh-CN" w:bidi="ar-SA"/>
              </w:rPr>
              <w:t>）处理后经市政污水管网排入归阳污水处理厂。</w:t>
            </w:r>
            <w:r>
              <w:rPr>
                <w:rFonts w:hint="eastAsia" w:ascii="宋体" w:hAnsi="宋体" w:eastAsia="宋体" w:cs="宋体"/>
                <w:color w:val="auto"/>
                <w:kern w:val="0"/>
                <w:sz w:val="24"/>
                <w:szCs w:val="24"/>
                <w:lang w:val="en-US" w:eastAsia="zh-CN" w:bidi="ar"/>
              </w:rPr>
              <w:t>初期雨水外的其他时期雨水打开直通阀门直接进入市政雨水管网后排入湘江。</w:t>
            </w:r>
          </w:p>
          <w:p>
            <w:pPr>
              <w:pStyle w:val="32"/>
              <w:ind w:firstLine="480"/>
              <w:rPr>
                <w:rFonts w:hint="eastAsia" w:ascii="宋体" w:hAnsi="宋体" w:eastAsia="宋体" w:cs="宋体"/>
                <w:color w:val="auto"/>
                <w:kern w:val="0"/>
                <w:sz w:val="24"/>
                <w:szCs w:val="24"/>
                <w:lang w:val="en-US" w:eastAsia="zh-CN" w:bidi="ar"/>
              </w:rPr>
            </w:pPr>
            <w:r>
              <w:rPr>
                <w:rFonts w:hint="eastAsia" w:ascii="宋体" w:hAnsi="宋体" w:eastAsia="宋体" w:cs="宋体"/>
                <w:color w:val="auto"/>
                <w:kern w:val="0"/>
                <w:sz w:val="24"/>
                <w:szCs w:val="24"/>
                <w:lang w:val="en-US" w:eastAsia="zh-CN" w:bidi="ar"/>
              </w:rPr>
              <w:t>本项目运营期废水产排情况见下表：</w:t>
            </w:r>
          </w:p>
          <w:p>
            <w:pPr>
              <w:pStyle w:val="45"/>
              <w:pageBreakBefore w:val="0"/>
              <w:kinsoku/>
              <w:overflowPunct/>
              <w:bidi w:val="0"/>
              <w:spacing w:line="240" w:lineRule="auto"/>
              <w:rPr>
                <w:rFonts w:hint="default" w:ascii="Times New Roman" w:hAnsi="Times New Roman" w:eastAsia="宋体" w:cs="Times New Roman"/>
                <w:color w:val="auto"/>
                <w:sz w:val="21"/>
                <w:szCs w:val="21"/>
                <w:lang w:val="en-US" w:eastAsia="zh-CN"/>
              </w:rPr>
            </w:pPr>
            <w:r>
              <w:rPr>
                <w:rFonts w:ascii="Times New Roman" w:hAnsi="Times New Roman" w:eastAsia="宋体" w:cs="Times New Roman"/>
                <w:color w:val="auto"/>
                <w:sz w:val="21"/>
                <w:szCs w:val="21"/>
              </w:rPr>
              <w:t>表4-</w:t>
            </w:r>
            <w:r>
              <w:rPr>
                <w:rFonts w:hint="eastAsia" w:ascii="Times New Roman" w:hAnsi="Times New Roman" w:eastAsia="宋体" w:cs="Times New Roman"/>
                <w:color w:val="auto"/>
                <w:sz w:val="21"/>
                <w:szCs w:val="21"/>
                <w:lang w:val="en-US" w:eastAsia="zh-CN"/>
              </w:rPr>
              <w:t>5</w:t>
            </w:r>
            <w:r>
              <w:rPr>
                <w:rFonts w:ascii="Times New Roman" w:hAnsi="Times New Roman" w:eastAsia="宋体" w:cs="Times New Roman"/>
                <w:color w:val="auto"/>
                <w:sz w:val="21"/>
                <w:szCs w:val="21"/>
              </w:rPr>
              <w:t xml:space="preserve"> 废水污染产排情况汇总一览表</w:t>
            </w:r>
          </w:p>
          <w:tbl>
            <w:tblPr>
              <w:tblStyle w:val="19"/>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26"/>
              <w:gridCol w:w="426"/>
              <w:gridCol w:w="728"/>
              <w:gridCol w:w="899"/>
              <w:gridCol w:w="899"/>
              <w:gridCol w:w="730"/>
              <w:gridCol w:w="1278"/>
              <w:gridCol w:w="426"/>
              <w:gridCol w:w="584"/>
              <w:gridCol w:w="1004"/>
              <w:gridCol w:w="73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pPr>
                    <w:pStyle w:val="28"/>
                    <w:pageBreakBefore w:val="0"/>
                    <w:kinsoku/>
                    <w:overflowPunct/>
                    <w:bidi w:val="0"/>
                    <w:spacing w:line="240" w:lineRule="auto"/>
                    <w:jc w:val="center"/>
                    <w:rPr>
                      <w:rFonts w:ascii="Times New Roman" w:hAnsi="Times New Roman" w:eastAsia="宋体" w:cs="Times New Roman"/>
                      <w:b w:val="0"/>
                      <w:bCs/>
                      <w:color w:val="auto"/>
                      <w:sz w:val="21"/>
                      <w:szCs w:val="21"/>
                    </w:rPr>
                  </w:pPr>
                  <w:r>
                    <w:rPr>
                      <w:rFonts w:hint="eastAsia" w:ascii="Times New Roman" w:hAnsi="Times New Roman" w:eastAsia="宋体" w:cs="Times New Roman"/>
                      <w:b w:val="0"/>
                      <w:bCs/>
                      <w:color w:val="auto"/>
                      <w:sz w:val="21"/>
                      <w:szCs w:val="21"/>
                      <w:lang w:val="en-US" w:eastAsia="zh-CN"/>
                    </w:rPr>
                    <w:t>产</w:t>
                  </w:r>
                </w:p>
                <w:p>
                  <w:pPr>
                    <w:pStyle w:val="28"/>
                    <w:pageBreakBefore w:val="0"/>
                    <w:kinsoku/>
                    <w:overflowPunct/>
                    <w:bidi w:val="0"/>
                    <w:spacing w:line="240" w:lineRule="auto"/>
                    <w:jc w:val="center"/>
                    <w:rPr>
                      <w:rFonts w:ascii="Times New Roman" w:hAnsi="Times New Roman" w:eastAsia="宋体" w:cs="Times New Roman"/>
                      <w:b w:val="0"/>
                      <w:bCs/>
                      <w:color w:val="auto"/>
                      <w:sz w:val="21"/>
                      <w:szCs w:val="21"/>
                    </w:rPr>
                  </w:pPr>
                  <w:r>
                    <w:rPr>
                      <w:rFonts w:hint="eastAsia" w:ascii="Times New Roman" w:hAnsi="Times New Roman" w:eastAsia="宋体" w:cs="Times New Roman"/>
                      <w:b w:val="0"/>
                      <w:bCs/>
                      <w:color w:val="auto"/>
                      <w:sz w:val="21"/>
                      <w:szCs w:val="21"/>
                      <w:lang w:val="en-US" w:eastAsia="zh-CN"/>
                    </w:rPr>
                    <w:t>排</w:t>
                  </w:r>
                </w:p>
                <w:p>
                  <w:pPr>
                    <w:pStyle w:val="28"/>
                    <w:pageBreakBefore w:val="0"/>
                    <w:kinsoku/>
                    <w:overflowPunct/>
                    <w:bidi w:val="0"/>
                    <w:spacing w:line="240" w:lineRule="auto"/>
                    <w:jc w:val="center"/>
                    <w:rPr>
                      <w:rFonts w:ascii="Times New Roman" w:hAnsi="Times New Roman" w:eastAsia="宋体" w:cs="Times New Roman"/>
                      <w:b w:val="0"/>
                      <w:bCs/>
                      <w:color w:val="auto"/>
                      <w:sz w:val="21"/>
                      <w:szCs w:val="21"/>
                    </w:rPr>
                  </w:pPr>
                  <w:r>
                    <w:rPr>
                      <w:rFonts w:hint="eastAsia" w:ascii="Times New Roman" w:hAnsi="Times New Roman" w:eastAsia="宋体" w:cs="Times New Roman"/>
                      <w:b w:val="0"/>
                      <w:bCs/>
                      <w:color w:val="auto"/>
                      <w:sz w:val="21"/>
                      <w:szCs w:val="21"/>
                      <w:lang w:val="en-US" w:eastAsia="zh-CN"/>
                    </w:rPr>
                    <w:t>污</w:t>
                  </w:r>
                </w:p>
                <w:p>
                  <w:pPr>
                    <w:pStyle w:val="28"/>
                    <w:pageBreakBefore w:val="0"/>
                    <w:kinsoku/>
                    <w:overflowPunct/>
                    <w:bidi w:val="0"/>
                    <w:spacing w:line="240" w:lineRule="auto"/>
                    <w:jc w:val="center"/>
                    <w:rPr>
                      <w:rFonts w:ascii="Times New Roman" w:hAnsi="Times New Roman" w:eastAsia="宋体" w:cs="Times New Roman"/>
                      <w:b w:val="0"/>
                      <w:bCs/>
                      <w:color w:val="auto"/>
                      <w:sz w:val="21"/>
                      <w:szCs w:val="21"/>
                    </w:rPr>
                  </w:pPr>
                  <w:r>
                    <w:rPr>
                      <w:rFonts w:hint="eastAsia" w:ascii="Times New Roman" w:hAnsi="Times New Roman" w:eastAsia="宋体" w:cs="Times New Roman"/>
                      <w:b w:val="0"/>
                      <w:bCs/>
                      <w:color w:val="auto"/>
                      <w:sz w:val="21"/>
                      <w:szCs w:val="21"/>
                      <w:lang w:val="en-US" w:eastAsia="zh-CN"/>
                    </w:rPr>
                    <w:t>环</w:t>
                  </w:r>
                </w:p>
                <w:p>
                  <w:pPr>
                    <w:pStyle w:val="28"/>
                    <w:pageBreakBefore w:val="0"/>
                    <w:kinsoku/>
                    <w:overflowPunct/>
                    <w:bidi w:val="0"/>
                    <w:spacing w:line="240" w:lineRule="auto"/>
                    <w:jc w:val="center"/>
                    <w:rPr>
                      <w:rFonts w:ascii="Times New Roman" w:hAnsi="Times New Roman" w:eastAsia="宋体" w:cs="Times New Roman"/>
                      <w:b w:val="0"/>
                      <w:bCs/>
                      <w:color w:val="auto"/>
                      <w:sz w:val="21"/>
                      <w:szCs w:val="21"/>
                    </w:rPr>
                  </w:pPr>
                  <w:r>
                    <w:rPr>
                      <w:rFonts w:hint="eastAsia" w:ascii="Times New Roman" w:hAnsi="Times New Roman" w:eastAsia="宋体" w:cs="Times New Roman"/>
                      <w:b w:val="0"/>
                      <w:bCs/>
                      <w:color w:val="auto"/>
                      <w:sz w:val="21"/>
                      <w:szCs w:val="21"/>
                      <w:lang w:val="en-US" w:eastAsia="zh-CN"/>
                    </w:rPr>
                    <w:t>节</w:t>
                  </w:r>
                </w:p>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c>
                <w:tcPr>
                  <w:tcW w:w="0" w:type="auto"/>
                  <w:vAlign w:val="center"/>
                </w:tcPr>
                <w:p>
                  <w:pPr>
                    <w:pStyle w:val="28"/>
                    <w:pageBreakBefore w:val="0"/>
                    <w:kinsoku/>
                    <w:overflowPunct/>
                    <w:bidi w:val="0"/>
                    <w:spacing w:line="240" w:lineRule="auto"/>
                    <w:jc w:val="center"/>
                    <w:rPr>
                      <w:rFonts w:ascii="Times New Roman" w:hAnsi="Times New Roman" w:eastAsia="宋体" w:cs="Times New Roman"/>
                      <w:b w:val="0"/>
                      <w:bCs/>
                      <w:color w:val="auto"/>
                      <w:sz w:val="21"/>
                      <w:szCs w:val="21"/>
                    </w:rPr>
                  </w:pPr>
                  <w:r>
                    <w:rPr>
                      <w:rFonts w:hint="eastAsia" w:ascii="Times New Roman" w:hAnsi="Times New Roman" w:eastAsia="宋体" w:cs="Times New Roman"/>
                      <w:b w:val="0"/>
                      <w:bCs/>
                      <w:color w:val="auto"/>
                      <w:sz w:val="21"/>
                      <w:szCs w:val="21"/>
                      <w:lang w:val="en-US" w:eastAsia="zh-CN"/>
                    </w:rPr>
                    <w:t>类</w:t>
                  </w:r>
                </w:p>
                <w:p>
                  <w:pPr>
                    <w:pStyle w:val="28"/>
                    <w:pageBreakBefore w:val="0"/>
                    <w:kinsoku/>
                    <w:overflowPunct/>
                    <w:bidi w:val="0"/>
                    <w:spacing w:line="240" w:lineRule="auto"/>
                    <w:jc w:val="center"/>
                    <w:rPr>
                      <w:rFonts w:ascii="Times New Roman" w:hAnsi="Times New Roman" w:eastAsia="宋体" w:cs="Times New Roman"/>
                      <w:b w:val="0"/>
                      <w:bCs/>
                      <w:color w:val="auto"/>
                      <w:sz w:val="21"/>
                      <w:szCs w:val="21"/>
                    </w:rPr>
                  </w:pPr>
                  <w:r>
                    <w:rPr>
                      <w:rFonts w:hint="eastAsia" w:ascii="Times New Roman" w:hAnsi="Times New Roman" w:eastAsia="宋体" w:cs="Times New Roman"/>
                      <w:b w:val="0"/>
                      <w:bCs/>
                      <w:color w:val="auto"/>
                      <w:sz w:val="21"/>
                      <w:szCs w:val="21"/>
                      <w:lang w:val="en-US" w:eastAsia="zh-CN"/>
                    </w:rPr>
                    <w:t>别</w:t>
                  </w:r>
                </w:p>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c>
                <w:tcPr>
                  <w:tcW w:w="0" w:type="auto"/>
                  <w:vAlign w:val="center"/>
                </w:tcPr>
                <w:p>
                  <w:pPr>
                    <w:pStyle w:val="28"/>
                    <w:pageBreakBefore w:val="0"/>
                    <w:kinsoku/>
                    <w:overflowPunct/>
                    <w:bidi w:val="0"/>
                    <w:spacing w:line="240" w:lineRule="auto"/>
                    <w:jc w:val="center"/>
                    <w:rPr>
                      <w:rFonts w:ascii="Times New Roman" w:hAnsi="Times New Roman" w:eastAsia="宋体" w:cs="Times New Roman"/>
                      <w:b w:val="0"/>
                      <w:bCs/>
                      <w:color w:val="auto"/>
                      <w:sz w:val="21"/>
                      <w:szCs w:val="21"/>
                    </w:rPr>
                  </w:pPr>
                  <w:r>
                    <w:rPr>
                      <w:rFonts w:hint="eastAsia" w:ascii="Times New Roman" w:hAnsi="Times New Roman" w:eastAsia="宋体" w:cs="Times New Roman"/>
                      <w:b w:val="0"/>
                      <w:bCs/>
                      <w:color w:val="auto"/>
                      <w:sz w:val="21"/>
                      <w:szCs w:val="21"/>
                      <w:lang w:val="en-US" w:eastAsia="zh-CN"/>
                    </w:rPr>
                    <w:t>污染</w:t>
                  </w:r>
                </w:p>
                <w:p>
                  <w:pPr>
                    <w:pStyle w:val="28"/>
                    <w:pageBreakBefore w:val="0"/>
                    <w:kinsoku/>
                    <w:overflowPunct/>
                    <w:bidi w:val="0"/>
                    <w:spacing w:line="240" w:lineRule="auto"/>
                    <w:jc w:val="center"/>
                    <w:rPr>
                      <w:rFonts w:ascii="Times New Roman" w:hAnsi="Times New Roman" w:eastAsia="宋体" w:cs="Times New Roman"/>
                      <w:b w:val="0"/>
                      <w:bCs/>
                      <w:color w:val="auto"/>
                      <w:sz w:val="21"/>
                      <w:szCs w:val="21"/>
                    </w:rPr>
                  </w:pPr>
                  <w:r>
                    <w:rPr>
                      <w:rFonts w:hint="eastAsia" w:ascii="Times New Roman" w:hAnsi="Times New Roman" w:eastAsia="宋体" w:cs="Times New Roman"/>
                      <w:b w:val="0"/>
                      <w:bCs/>
                      <w:color w:val="auto"/>
                      <w:sz w:val="21"/>
                      <w:szCs w:val="21"/>
                      <w:lang w:val="en-US" w:eastAsia="zh-CN"/>
                    </w:rPr>
                    <w:t>物种</w:t>
                  </w:r>
                </w:p>
                <w:p>
                  <w:pPr>
                    <w:pStyle w:val="28"/>
                    <w:pageBreakBefore w:val="0"/>
                    <w:kinsoku/>
                    <w:overflowPunct/>
                    <w:bidi w:val="0"/>
                    <w:spacing w:line="240" w:lineRule="auto"/>
                    <w:jc w:val="center"/>
                    <w:rPr>
                      <w:rFonts w:ascii="Times New Roman" w:hAnsi="Times New Roman" w:eastAsia="宋体" w:cs="Times New Roman"/>
                      <w:b w:val="0"/>
                      <w:bCs/>
                      <w:color w:val="auto"/>
                      <w:sz w:val="21"/>
                      <w:szCs w:val="21"/>
                    </w:rPr>
                  </w:pPr>
                  <w:r>
                    <w:rPr>
                      <w:rFonts w:hint="eastAsia" w:ascii="Times New Roman" w:hAnsi="Times New Roman" w:eastAsia="宋体" w:cs="Times New Roman"/>
                      <w:b w:val="0"/>
                      <w:bCs/>
                      <w:color w:val="auto"/>
                      <w:sz w:val="21"/>
                      <w:szCs w:val="21"/>
                      <w:lang w:val="en-US" w:eastAsia="zh-CN"/>
                    </w:rPr>
                    <w:t>类</w:t>
                  </w:r>
                </w:p>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c>
                <w:tcPr>
                  <w:tcW w:w="0" w:type="auto"/>
                  <w:vAlign w:val="center"/>
                </w:tcPr>
                <w:p>
                  <w:pPr>
                    <w:pStyle w:val="28"/>
                    <w:pageBreakBefore w:val="0"/>
                    <w:kinsoku/>
                    <w:overflowPunct/>
                    <w:bidi w:val="0"/>
                    <w:spacing w:line="240" w:lineRule="auto"/>
                    <w:jc w:val="center"/>
                    <w:rPr>
                      <w:rFonts w:ascii="Times New Roman" w:hAnsi="Times New Roman" w:eastAsia="宋体" w:cs="Times New Roman"/>
                      <w:b w:val="0"/>
                      <w:bCs/>
                      <w:color w:val="auto"/>
                      <w:sz w:val="21"/>
                      <w:szCs w:val="21"/>
                    </w:rPr>
                  </w:pPr>
                  <w:r>
                    <w:rPr>
                      <w:rFonts w:hint="eastAsia" w:ascii="Times New Roman" w:hAnsi="Times New Roman" w:eastAsia="宋体" w:cs="Times New Roman"/>
                      <w:b w:val="0"/>
                      <w:bCs/>
                      <w:color w:val="auto"/>
                      <w:sz w:val="21"/>
                      <w:szCs w:val="21"/>
                      <w:lang w:val="en-US" w:eastAsia="zh-CN"/>
                    </w:rPr>
                    <w:t>废水</w:t>
                  </w:r>
                </w:p>
                <w:p>
                  <w:pPr>
                    <w:pStyle w:val="28"/>
                    <w:pageBreakBefore w:val="0"/>
                    <w:kinsoku/>
                    <w:overflowPunct/>
                    <w:bidi w:val="0"/>
                    <w:spacing w:line="240" w:lineRule="auto"/>
                    <w:jc w:val="center"/>
                    <w:rPr>
                      <w:rFonts w:ascii="Times New Roman" w:hAnsi="Times New Roman" w:eastAsia="宋体" w:cs="Times New Roman"/>
                      <w:b w:val="0"/>
                      <w:bCs/>
                      <w:color w:val="auto"/>
                      <w:sz w:val="21"/>
                      <w:szCs w:val="21"/>
                    </w:rPr>
                  </w:pPr>
                  <w:r>
                    <w:rPr>
                      <w:rFonts w:hint="eastAsia" w:ascii="Times New Roman" w:hAnsi="Times New Roman" w:eastAsia="宋体" w:cs="Times New Roman"/>
                      <w:b w:val="0"/>
                      <w:bCs/>
                      <w:color w:val="auto"/>
                      <w:sz w:val="21"/>
                      <w:szCs w:val="21"/>
                      <w:lang w:val="en-US" w:eastAsia="zh-CN"/>
                    </w:rPr>
                    <w:t>排放</w:t>
                  </w:r>
                </w:p>
                <w:p>
                  <w:pPr>
                    <w:pStyle w:val="28"/>
                    <w:pageBreakBefore w:val="0"/>
                    <w:kinsoku/>
                    <w:overflowPunct/>
                    <w:bidi w:val="0"/>
                    <w:spacing w:line="240" w:lineRule="auto"/>
                    <w:jc w:val="center"/>
                    <w:rPr>
                      <w:rFonts w:ascii="Times New Roman" w:hAnsi="Times New Roman" w:eastAsia="宋体" w:cs="Times New Roman"/>
                      <w:b w:val="0"/>
                      <w:bCs/>
                      <w:color w:val="auto"/>
                      <w:sz w:val="21"/>
                      <w:szCs w:val="21"/>
                    </w:rPr>
                  </w:pPr>
                  <w:r>
                    <w:rPr>
                      <w:rFonts w:hint="eastAsia" w:ascii="Times New Roman" w:hAnsi="Times New Roman" w:eastAsia="宋体" w:cs="Times New Roman"/>
                      <w:b w:val="0"/>
                      <w:bCs/>
                      <w:color w:val="auto"/>
                      <w:sz w:val="21"/>
                      <w:szCs w:val="21"/>
                      <w:lang w:val="en-US" w:eastAsia="zh-CN"/>
                    </w:rPr>
                    <w:t>量</w:t>
                  </w:r>
                </w:p>
                <w:p>
                  <w:pPr>
                    <w:pStyle w:val="28"/>
                    <w:pageBreakBefore w:val="0"/>
                    <w:kinsoku/>
                    <w:overflowPunct/>
                    <w:bidi w:val="0"/>
                    <w:spacing w:line="240" w:lineRule="auto"/>
                    <w:jc w:val="center"/>
                    <w:rPr>
                      <w:rFonts w:ascii="Times New Roman" w:hAnsi="Times New Roman" w:eastAsia="宋体" w:cs="Times New Roman"/>
                      <w:b w:val="0"/>
                      <w:bCs/>
                      <w:color w:val="auto"/>
                      <w:sz w:val="21"/>
                      <w:szCs w:val="21"/>
                    </w:rPr>
                  </w:pPr>
                  <w:r>
                    <w:rPr>
                      <w:rFonts w:hint="default" w:ascii="Times New Roman" w:hAnsi="Times New Roman" w:eastAsia="宋体" w:cs="Times New Roman"/>
                      <w:b w:val="0"/>
                      <w:bCs/>
                      <w:color w:val="auto"/>
                      <w:sz w:val="21"/>
                      <w:szCs w:val="21"/>
                      <w:lang w:val="en-US" w:eastAsia="zh-CN"/>
                    </w:rPr>
                    <w:t>/t/a</w:t>
                  </w:r>
                </w:p>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c>
                <w:tcPr>
                  <w:tcW w:w="0" w:type="auto"/>
                  <w:vAlign w:val="center"/>
                </w:tcPr>
                <w:p>
                  <w:pPr>
                    <w:pStyle w:val="28"/>
                    <w:pageBreakBefore w:val="0"/>
                    <w:kinsoku/>
                    <w:overflowPunct/>
                    <w:bidi w:val="0"/>
                    <w:spacing w:line="240" w:lineRule="auto"/>
                    <w:jc w:val="center"/>
                    <w:rPr>
                      <w:rFonts w:ascii="Times New Roman" w:hAnsi="Times New Roman" w:eastAsia="宋体" w:cs="Times New Roman"/>
                      <w:b w:val="0"/>
                      <w:bCs/>
                      <w:color w:val="auto"/>
                      <w:sz w:val="21"/>
                      <w:szCs w:val="21"/>
                    </w:rPr>
                  </w:pPr>
                  <w:r>
                    <w:rPr>
                      <w:rFonts w:hint="eastAsia" w:ascii="Times New Roman" w:hAnsi="Times New Roman" w:eastAsia="宋体" w:cs="Times New Roman"/>
                      <w:b w:val="0"/>
                      <w:bCs/>
                      <w:color w:val="auto"/>
                      <w:sz w:val="21"/>
                      <w:szCs w:val="21"/>
                      <w:lang w:val="en-US" w:eastAsia="zh-CN"/>
                    </w:rPr>
                    <w:t>污染</w:t>
                  </w:r>
                </w:p>
                <w:p>
                  <w:pPr>
                    <w:pStyle w:val="28"/>
                    <w:pageBreakBefore w:val="0"/>
                    <w:kinsoku/>
                    <w:overflowPunct/>
                    <w:bidi w:val="0"/>
                    <w:spacing w:line="240" w:lineRule="auto"/>
                    <w:jc w:val="center"/>
                    <w:rPr>
                      <w:rFonts w:ascii="Times New Roman" w:hAnsi="Times New Roman" w:eastAsia="宋体" w:cs="Times New Roman"/>
                      <w:b w:val="0"/>
                      <w:bCs/>
                      <w:color w:val="auto"/>
                      <w:sz w:val="21"/>
                      <w:szCs w:val="21"/>
                    </w:rPr>
                  </w:pPr>
                  <w:r>
                    <w:rPr>
                      <w:rFonts w:hint="eastAsia" w:ascii="Times New Roman" w:hAnsi="Times New Roman" w:eastAsia="宋体" w:cs="Times New Roman"/>
                      <w:b w:val="0"/>
                      <w:bCs/>
                      <w:color w:val="auto"/>
                      <w:sz w:val="21"/>
                      <w:szCs w:val="21"/>
                      <w:lang w:val="en-US" w:eastAsia="zh-CN"/>
                    </w:rPr>
                    <w:t>物产</w:t>
                  </w:r>
                </w:p>
                <w:p>
                  <w:pPr>
                    <w:pStyle w:val="28"/>
                    <w:pageBreakBefore w:val="0"/>
                    <w:kinsoku/>
                    <w:overflowPunct/>
                    <w:bidi w:val="0"/>
                    <w:spacing w:line="240" w:lineRule="auto"/>
                    <w:jc w:val="center"/>
                    <w:rPr>
                      <w:rFonts w:ascii="Times New Roman" w:hAnsi="Times New Roman" w:eastAsia="宋体" w:cs="Times New Roman"/>
                      <w:b w:val="0"/>
                      <w:bCs/>
                      <w:color w:val="auto"/>
                      <w:sz w:val="21"/>
                      <w:szCs w:val="21"/>
                    </w:rPr>
                  </w:pPr>
                  <w:r>
                    <w:rPr>
                      <w:rFonts w:hint="eastAsia" w:ascii="Times New Roman" w:hAnsi="Times New Roman" w:eastAsia="宋体" w:cs="Times New Roman"/>
                      <w:b w:val="0"/>
                      <w:bCs/>
                      <w:color w:val="auto"/>
                      <w:sz w:val="21"/>
                      <w:szCs w:val="21"/>
                      <w:lang w:val="en-US" w:eastAsia="zh-CN"/>
                    </w:rPr>
                    <w:t>生量</w:t>
                  </w:r>
                </w:p>
                <w:p>
                  <w:pPr>
                    <w:pStyle w:val="28"/>
                    <w:pageBreakBefore w:val="0"/>
                    <w:kinsoku/>
                    <w:overflowPunct/>
                    <w:bidi w:val="0"/>
                    <w:spacing w:line="240" w:lineRule="auto"/>
                    <w:jc w:val="center"/>
                    <w:rPr>
                      <w:rFonts w:ascii="Times New Roman" w:hAnsi="Times New Roman" w:eastAsia="宋体" w:cs="Times New Roman"/>
                      <w:b w:val="0"/>
                      <w:bCs/>
                      <w:color w:val="auto"/>
                      <w:sz w:val="21"/>
                      <w:szCs w:val="21"/>
                    </w:rPr>
                  </w:pPr>
                  <w:r>
                    <w:rPr>
                      <w:rFonts w:hint="default" w:ascii="Times New Roman" w:hAnsi="Times New Roman" w:eastAsia="宋体" w:cs="Times New Roman"/>
                      <w:b w:val="0"/>
                      <w:bCs/>
                      <w:color w:val="auto"/>
                      <w:sz w:val="21"/>
                      <w:szCs w:val="21"/>
                      <w:lang w:val="en-US" w:eastAsia="zh-CN"/>
                    </w:rPr>
                    <w:t>/t/a</w:t>
                  </w:r>
                </w:p>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c>
                <w:tcPr>
                  <w:tcW w:w="0" w:type="auto"/>
                  <w:vAlign w:val="center"/>
                </w:tcPr>
                <w:p>
                  <w:pPr>
                    <w:pStyle w:val="28"/>
                    <w:pageBreakBefore w:val="0"/>
                    <w:kinsoku/>
                    <w:overflowPunct/>
                    <w:bidi w:val="0"/>
                    <w:spacing w:line="240" w:lineRule="auto"/>
                    <w:jc w:val="center"/>
                    <w:rPr>
                      <w:rFonts w:ascii="Times New Roman" w:hAnsi="Times New Roman" w:eastAsia="宋体" w:cs="Times New Roman"/>
                      <w:b w:val="0"/>
                      <w:bCs/>
                      <w:color w:val="auto"/>
                      <w:sz w:val="21"/>
                      <w:szCs w:val="21"/>
                    </w:rPr>
                  </w:pPr>
                  <w:r>
                    <w:rPr>
                      <w:rFonts w:hint="eastAsia" w:ascii="Times New Roman" w:hAnsi="Times New Roman" w:eastAsia="宋体" w:cs="Times New Roman"/>
                      <w:b w:val="0"/>
                      <w:bCs/>
                      <w:color w:val="auto"/>
                      <w:sz w:val="21"/>
                      <w:szCs w:val="21"/>
                      <w:lang w:val="en-US" w:eastAsia="zh-CN"/>
                    </w:rPr>
                    <w:t>污染</w:t>
                  </w:r>
                </w:p>
                <w:p>
                  <w:pPr>
                    <w:pStyle w:val="28"/>
                    <w:pageBreakBefore w:val="0"/>
                    <w:kinsoku/>
                    <w:overflowPunct/>
                    <w:bidi w:val="0"/>
                    <w:spacing w:line="240" w:lineRule="auto"/>
                    <w:jc w:val="center"/>
                    <w:rPr>
                      <w:rFonts w:ascii="Times New Roman" w:hAnsi="Times New Roman" w:eastAsia="宋体" w:cs="Times New Roman"/>
                      <w:b w:val="0"/>
                      <w:bCs/>
                      <w:color w:val="auto"/>
                      <w:sz w:val="21"/>
                      <w:szCs w:val="21"/>
                    </w:rPr>
                  </w:pPr>
                  <w:r>
                    <w:rPr>
                      <w:rFonts w:hint="eastAsia" w:ascii="Times New Roman" w:hAnsi="Times New Roman" w:eastAsia="宋体" w:cs="Times New Roman"/>
                      <w:b w:val="0"/>
                      <w:bCs/>
                      <w:color w:val="auto"/>
                      <w:sz w:val="21"/>
                      <w:szCs w:val="21"/>
                      <w:lang w:val="en-US" w:eastAsia="zh-CN"/>
                    </w:rPr>
                    <w:t>物产</w:t>
                  </w:r>
                </w:p>
                <w:p>
                  <w:pPr>
                    <w:pStyle w:val="28"/>
                    <w:pageBreakBefore w:val="0"/>
                    <w:kinsoku/>
                    <w:overflowPunct/>
                    <w:bidi w:val="0"/>
                    <w:spacing w:line="240" w:lineRule="auto"/>
                    <w:jc w:val="center"/>
                    <w:rPr>
                      <w:rFonts w:ascii="Times New Roman" w:hAnsi="Times New Roman" w:eastAsia="宋体" w:cs="Times New Roman"/>
                      <w:b w:val="0"/>
                      <w:bCs/>
                      <w:color w:val="auto"/>
                      <w:sz w:val="21"/>
                      <w:szCs w:val="21"/>
                    </w:rPr>
                  </w:pPr>
                  <w:r>
                    <w:rPr>
                      <w:rFonts w:hint="eastAsia" w:ascii="Times New Roman" w:hAnsi="Times New Roman" w:eastAsia="宋体" w:cs="Times New Roman"/>
                      <w:b w:val="0"/>
                      <w:bCs/>
                      <w:color w:val="auto"/>
                      <w:sz w:val="21"/>
                      <w:szCs w:val="21"/>
                      <w:lang w:val="en-US" w:eastAsia="zh-CN"/>
                    </w:rPr>
                    <w:t>生浓</w:t>
                  </w:r>
                </w:p>
                <w:p>
                  <w:pPr>
                    <w:pStyle w:val="28"/>
                    <w:pageBreakBefore w:val="0"/>
                    <w:kinsoku/>
                    <w:overflowPunct/>
                    <w:bidi w:val="0"/>
                    <w:spacing w:line="240" w:lineRule="auto"/>
                    <w:jc w:val="center"/>
                    <w:rPr>
                      <w:rFonts w:ascii="Times New Roman" w:hAnsi="Times New Roman" w:eastAsia="宋体" w:cs="Times New Roman"/>
                      <w:b w:val="0"/>
                      <w:bCs/>
                      <w:color w:val="auto"/>
                      <w:sz w:val="21"/>
                      <w:szCs w:val="21"/>
                    </w:rPr>
                  </w:pPr>
                  <w:r>
                    <w:rPr>
                      <w:rFonts w:hint="eastAsia" w:ascii="Times New Roman" w:hAnsi="Times New Roman" w:eastAsia="宋体" w:cs="Times New Roman"/>
                      <w:b w:val="0"/>
                      <w:bCs/>
                      <w:color w:val="auto"/>
                      <w:sz w:val="21"/>
                      <w:szCs w:val="21"/>
                      <w:lang w:val="en-US" w:eastAsia="zh-CN"/>
                    </w:rPr>
                    <w:t>度</w:t>
                  </w:r>
                </w:p>
                <w:p>
                  <w:pPr>
                    <w:pStyle w:val="28"/>
                    <w:pageBreakBefore w:val="0"/>
                    <w:kinsoku/>
                    <w:overflowPunct/>
                    <w:bidi w:val="0"/>
                    <w:spacing w:line="240" w:lineRule="auto"/>
                    <w:jc w:val="center"/>
                    <w:rPr>
                      <w:rFonts w:ascii="Times New Roman" w:hAnsi="Times New Roman" w:eastAsia="宋体" w:cs="Times New Roman"/>
                      <w:b w:val="0"/>
                      <w:bCs/>
                      <w:color w:val="auto"/>
                      <w:sz w:val="21"/>
                      <w:szCs w:val="21"/>
                    </w:rPr>
                  </w:pPr>
                  <w:r>
                    <w:rPr>
                      <w:rFonts w:hint="default" w:ascii="Times New Roman" w:hAnsi="Times New Roman" w:eastAsia="宋体" w:cs="Times New Roman"/>
                      <w:b w:val="0"/>
                      <w:bCs/>
                      <w:color w:val="auto"/>
                      <w:sz w:val="21"/>
                      <w:szCs w:val="21"/>
                      <w:lang w:val="en-US" w:eastAsia="zh-CN"/>
                    </w:rPr>
                    <w:t>/mg/L</w:t>
                  </w:r>
                </w:p>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c>
                <w:tcPr>
                  <w:tcW w:w="0" w:type="auto"/>
                  <w:vAlign w:val="center"/>
                </w:tcPr>
                <w:p>
                  <w:pPr>
                    <w:pStyle w:val="28"/>
                    <w:pageBreakBefore w:val="0"/>
                    <w:kinsoku/>
                    <w:overflowPunct/>
                    <w:bidi w:val="0"/>
                    <w:spacing w:line="240" w:lineRule="auto"/>
                    <w:jc w:val="center"/>
                    <w:rPr>
                      <w:rFonts w:ascii="Times New Roman" w:hAnsi="Times New Roman" w:eastAsia="宋体" w:cs="Times New Roman"/>
                      <w:b w:val="0"/>
                      <w:bCs/>
                      <w:color w:val="auto"/>
                      <w:sz w:val="21"/>
                      <w:szCs w:val="21"/>
                    </w:rPr>
                  </w:pPr>
                  <w:r>
                    <w:rPr>
                      <w:rFonts w:hint="eastAsia" w:ascii="Times New Roman" w:hAnsi="Times New Roman" w:eastAsia="宋体" w:cs="Times New Roman"/>
                      <w:b w:val="0"/>
                      <w:bCs/>
                      <w:color w:val="auto"/>
                      <w:sz w:val="21"/>
                      <w:szCs w:val="21"/>
                      <w:lang w:val="en-US" w:eastAsia="zh-CN"/>
                    </w:rPr>
                    <w:t>治</w:t>
                  </w:r>
                </w:p>
                <w:p>
                  <w:pPr>
                    <w:pStyle w:val="28"/>
                    <w:pageBreakBefore w:val="0"/>
                    <w:kinsoku/>
                    <w:overflowPunct/>
                    <w:bidi w:val="0"/>
                    <w:spacing w:line="240" w:lineRule="auto"/>
                    <w:jc w:val="center"/>
                    <w:rPr>
                      <w:rFonts w:ascii="Times New Roman" w:hAnsi="Times New Roman" w:eastAsia="宋体" w:cs="Times New Roman"/>
                      <w:b w:val="0"/>
                      <w:bCs/>
                      <w:color w:val="auto"/>
                      <w:sz w:val="21"/>
                      <w:szCs w:val="21"/>
                    </w:rPr>
                  </w:pPr>
                  <w:r>
                    <w:rPr>
                      <w:rFonts w:hint="eastAsia" w:ascii="Times New Roman" w:hAnsi="Times New Roman" w:eastAsia="宋体" w:cs="Times New Roman"/>
                      <w:b w:val="0"/>
                      <w:bCs/>
                      <w:color w:val="auto"/>
                      <w:sz w:val="21"/>
                      <w:szCs w:val="21"/>
                      <w:lang w:val="en-US" w:eastAsia="zh-CN"/>
                    </w:rPr>
                    <w:t>理</w:t>
                  </w:r>
                </w:p>
                <w:p>
                  <w:pPr>
                    <w:pStyle w:val="28"/>
                    <w:pageBreakBefore w:val="0"/>
                    <w:kinsoku/>
                    <w:overflowPunct/>
                    <w:bidi w:val="0"/>
                    <w:spacing w:line="240" w:lineRule="auto"/>
                    <w:jc w:val="center"/>
                    <w:rPr>
                      <w:rFonts w:ascii="Times New Roman" w:hAnsi="Times New Roman" w:eastAsia="宋体" w:cs="Times New Roman"/>
                      <w:b w:val="0"/>
                      <w:bCs/>
                      <w:color w:val="auto"/>
                      <w:sz w:val="21"/>
                      <w:szCs w:val="21"/>
                    </w:rPr>
                  </w:pPr>
                  <w:r>
                    <w:rPr>
                      <w:rFonts w:hint="eastAsia" w:ascii="Times New Roman" w:hAnsi="Times New Roman" w:eastAsia="宋体" w:cs="Times New Roman"/>
                      <w:b w:val="0"/>
                      <w:bCs/>
                      <w:color w:val="auto"/>
                      <w:sz w:val="21"/>
                      <w:szCs w:val="21"/>
                      <w:lang w:val="en-US" w:eastAsia="zh-CN"/>
                    </w:rPr>
                    <w:t>措</w:t>
                  </w:r>
                </w:p>
                <w:p>
                  <w:pPr>
                    <w:pStyle w:val="28"/>
                    <w:pageBreakBefore w:val="0"/>
                    <w:kinsoku/>
                    <w:overflowPunct/>
                    <w:bidi w:val="0"/>
                    <w:spacing w:line="240" w:lineRule="auto"/>
                    <w:jc w:val="center"/>
                    <w:rPr>
                      <w:rFonts w:ascii="Times New Roman" w:hAnsi="Times New Roman" w:eastAsia="宋体" w:cs="Times New Roman"/>
                      <w:b w:val="0"/>
                      <w:bCs/>
                      <w:color w:val="auto"/>
                      <w:sz w:val="21"/>
                      <w:szCs w:val="21"/>
                    </w:rPr>
                  </w:pPr>
                  <w:r>
                    <w:rPr>
                      <w:rFonts w:hint="eastAsia" w:ascii="Times New Roman" w:hAnsi="Times New Roman" w:eastAsia="宋体" w:cs="Times New Roman"/>
                      <w:b w:val="0"/>
                      <w:bCs/>
                      <w:color w:val="auto"/>
                      <w:sz w:val="21"/>
                      <w:szCs w:val="21"/>
                      <w:lang w:val="en-US" w:eastAsia="zh-CN"/>
                    </w:rPr>
                    <w:t>施</w:t>
                  </w:r>
                </w:p>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c>
                <w:tcPr>
                  <w:tcW w:w="0" w:type="auto"/>
                  <w:vAlign w:val="center"/>
                </w:tcPr>
                <w:p>
                  <w:pPr>
                    <w:pStyle w:val="28"/>
                    <w:pageBreakBefore w:val="0"/>
                    <w:kinsoku/>
                    <w:overflowPunct/>
                    <w:bidi w:val="0"/>
                    <w:spacing w:line="240" w:lineRule="auto"/>
                    <w:jc w:val="center"/>
                    <w:rPr>
                      <w:rFonts w:ascii="Times New Roman" w:hAnsi="Times New Roman" w:eastAsia="宋体" w:cs="Times New Roman"/>
                      <w:b w:val="0"/>
                      <w:bCs/>
                      <w:color w:val="auto"/>
                      <w:sz w:val="21"/>
                      <w:szCs w:val="21"/>
                    </w:rPr>
                  </w:pPr>
                  <w:r>
                    <w:rPr>
                      <w:rFonts w:hint="eastAsia" w:ascii="Times New Roman" w:hAnsi="Times New Roman" w:eastAsia="宋体" w:cs="Times New Roman"/>
                      <w:b w:val="0"/>
                      <w:bCs/>
                      <w:color w:val="auto"/>
                      <w:sz w:val="21"/>
                      <w:szCs w:val="21"/>
                      <w:lang w:val="en-US" w:eastAsia="zh-CN"/>
                    </w:rPr>
                    <w:t>是</w:t>
                  </w:r>
                </w:p>
                <w:p>
                  <w:pPr>
                    <w:pStyle w:val="28"/>
                    <w:pageBreakBefore w:val="0"/>
                    <w:kinsoku/>
                    <w:overflowPunct/>
                    <w:bidi w:val="0"/>
                    <w:spacing w:line="240" w:lineRule="auto"/>
                    <w:jc w:val="center"/>
                    <w:rPr>
                      <w:rFonts w:ascii="Times New Roman" w:hAnsi="Times New Roman" w:eastAsia="宋体" w:cs="Times New Roman"/>
                      <w:b w:val="0"/>
                      <w:bCs/>
                      <w:color w:val="auto"/>
                      <w:sz w:val="21"/>
                      <w:szCs w:val="21"/>
                    </w:rPr>
                  </w:pPr>
                  <w:r>
                    <w:rPr>
                      <w:rFonts w:hint="eastAsia" w:ascii="Times New Roman" w:hAnsi="Times New Roman" w:eastAsia="宋体" w:cs="Times New Roman"/>
                      <w:b w:val="0"/>
                      <w:bCs/>
                      <w:color w:val="auto"/>
                      <w:sz w:val="21"/>
                      <w:szCs w:val="21"/>
                      <w:lang w:val="en-US" w:eastAsia="zh-CN"/>
                    </w:rPr>
                    <w:t>否</w:t>
                  </w:r>
                </w:p>
                <w:p>
                  <w:pPr>
                    <w:pStyle w:val="28"/>
                    <w:pageBreakBefore w:val="0"/>
                    <w:kinsoku/>
                    <w:overflowPunct/>
                    <w:bidi w:val="0"/>
                    <w:spacing w:line="240" w:lineRule="auto"/>
                    <w:jc w:val="center"/>
                    <w:rPr>
                      <w:rFonts w:ascii="Times New Roman" w:hAnsi="Times New Roman" w:eastAsia="宋体" w:cs="Times New Roman"/>
                      <w:b w:val="0"/>
                      <w:bCs/>
                      <w:color w:val="auto"/>
                      <w:sz w:val="21"/>
                      <w:szCs w:val="21"/>
                    </w:rPr>
                  </w:pPr>
                  <w:r>
                    <w:rPr>
                      <w:rFonts w:hint="eastAsia" w:ascii="Times New Roman" w:hAnsi="Times New Roman" w:eastAsia="宋体" w:cs="Times New Roman"/>
                      <w:b w:val="0"/>
                      <w:bCs/>
                      <w:color w:val="auto"/>
                      <w:sz w:val="21"/>
                      <w:szCs w:val="21"/>
                      <w:lang w:val="en-US" w:eastAsia="zh-CN"/>
                    </w:rPr>
                    <w:t>为</w:t>
                  </w:r>
                </w:p>
                <w:p>
                  <w:pPr>
                    <w:pStyle w:val="28"/>
                    <w:pageBreakBefore w:val="0"/>
                    <w:kinsoku/>
                    <w:overflowPunct/>
                    <w:bidi w:val="0"/>
                    <w:spacing w:line="240" w:lineRule="auto"/>
                    <w:jc w:val="center"/>
                    <w:rPr>
                      <w:rFonts w:ascii="Times New Roman" w:hAnsi="Times New Roman" w:eastAsia="宋体" w:cs="Times New Roman"/>
                      <w:b w:val="0"/>
                      <w:bCs/>
                      <w:color w:val="auto"/>
                      <w:sz w:val="21"/>
                      <w:szCs w:val="21"/>
                    </w:rPr>
                  </w:pPr>
                  <w:r>
                    <w:rPr>
                      <w:rFonts w:hint="eastAsia" w:ascii="Times New Roman" w:hAnsi="Times New Roman" w:eastAsia="宋体" w:cs="Times New Roman"/>
                      <w:b w:val="0"/>
                      <w:bCs/>
                      <w:color w:val="auto"/>
                      <w:sz w:val="21"/>
                      <w:szCs w:val="21"/>
                      <w:lang w:val="en-US" w:eastAsia="zh-CN"/>
                    </w:rPr>
                    <w:t>可</w:t>
                  </w:r>
                </w:p>
                <w:p>
                  <w:pPr>
                    <w:pStyle w:val="28"/>
                    <w:pageBreakBefore w:val="0"/>
                    <w:kinsoku/>
                    <w:overflowPunct/>
                    <w:bidi w:val="0"/>
                    <w:spacing w:line="240" w:lineRule="auto"/>
                    <w:jc w:val="center"/>
                    <w:rPr>
                      <w:rFonts w:ascii="Times New Roman" w:hAnsi="Times New Roman" w:eastAsia="宋体" w:cs="Times New Roman"/>
                      <w:b w:val="0"/>
                      <w:bCs/>
                      <w:color w:val="auto"/>
                      <w:sz w:val="21"/>
                      <w:szCs w:val="21"/>
                    </w:rPr>
                  </w:pPr>
                  <w:r>
                    <w:rPr>
                      <w:rFonts w:hint="eastAsia" w:ascii="Times New Roman" w:hAnsi="Times New Roman" w:eastAsia="宋体" w:cs="Times New Roman"/>
                      <w:b w:val="0"/>
                      <w:bCs/>
                      <w:color w:val="auto"/>
                      <w:sz w:val="21"/>
                      <w:szCs w:val="21"/>
                      <w:lang w:val="en-US" w:eastAsia="zh-CN"/>
                    </w:rPr>
                    <w:t>行</w:t>
                  </w:r>
                </w:p>
                <w:p>
                  <w:pPr>
                    <w:pStyle w:val="28"/>
                    <w:pageBreakBefore w:val="0"/>
                    <w:kinsoku/>
                    <w:overflowPunct/>
                    <w:bidi w:val="0"/>
                    <w:spacing w:line="240" w:lineRule="auto"/>
                    <w:jc w:val="center"/>
                    <w:rPr>
                      <w:rFonts w:ascii="Times New Roman" w:hAnsi="Times New Roman" w:eastAsia="宋体" w:cs="Times New Roman"/>
                      <w:b w:val="0"/>
                      <w:bCs/>
                      <w:color w:val="auto"/>
                      <w:sz w:val="21"/>
                      <w:szCs w:val="21"/>
                    </w:rPr>
                  </w:pPr>
                  <w:r>
                    <w:rPr>
                      <w:rFonts w:hint="eastAsia" w:ascii="Times New Roman" w:hAnsi="Times New Roman" w:eastAsia="宋体" w:cs="Times New Roman"/>
                      <w:b w:val="0"/>
                      <w:bCs/>
                      <w:color w:val="auto"/>
                      <w:sz w:val="21"/>
                      <w:szCs w:val="21"/>
                      <w:lang w:val="en-US" w:eastAsia="zh-CN"/>
                    </w:rPr>
                    <w:t>技</w:t>
                  </w:r>
                </w:p>
                <w:p>
                  <w:pPr>
                    <w:pStyle w:val="28"/>
                    <w:pageBreakBefore w:val="0"/>
                    <w:kinsoku/>
                    <w:overflowPunct/>
                    <w:bidi w:val="0"/>
                    <w:spacing w:line="240" w:lineRule="auto"/>
                    <w:jc w:val="center"/>
                    <w:rPr>
                      <w:rFonts w:ascii="Times New Roman" w:hAnsi="Times New Roman" w:eastAsia="宋体" w:cs="Times New Roman"/>
                      <w:b w:val="0"/>
                      <w:bCs/>
                      <w:color w:val="auto"/>
                      <w:sz w:val="21"/>
                      <w:szCs w:val="21"/>
                    </w:rPr>
                  </w:pPr>
                  <w:r>
                    <w:rPr>
                      <w:rFonts w:hint="eastAsia" w:ascii="Times New Roman" w:hAnsi="Times New Roman" w:eastAsia="宋体" w:cs="Times New Roman"/>
                      <w:b w:val="0"/>
                      <w:bCs/>
                      <w:color w:val="auto"/>
                      <w:sz w:val="21"/>
                      <w:szCs w:val="21"/>
                      <w:lang w:val="en-US" w:eastAsia="zh-CN"/>
                    </w:rPr>
                    <w:t>术</w:t>
                  </w:r>
                </w:p>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c>
                <w:tcPr>
                  <w:tcW w:w="584" w:type="dxa"/>
                  <w:vAlign w:val="center"/>
                </w:tcPr>
                <w:p>
                  <w:pPr>
                    <w:pStyle w:val="28"/>
                    <w:pageBreakBefore w:val="0"/>
                    <w:kinsoku/>
                    <w:overflowPunct/>
                    <w:bidi w:val="0"/>
                    <w:spacing w:line="240" w:lineRule="auto"/>
                    <w:jc w:val="center"/>
                    <w:rPr>
                      <w:rFonts w:ascii="Times New Roman" w:hAnsi="Times New Roman" w:eastAsia="宋体" w:cs="Times New Roman"/>
                      <w:b w:val="0"/>
                      <w:bCs/>
                      <w:color w:val="auto"/>
                      <w:sz w:val="21"/>
                      <w:szCs w:val="21"/>
                    </w:rPr>
                  </w:pPr>
                  <w:r>
                    <w:rPr>
                      <w:rFonts w:hint="eastAsia" w:ascii="Times New Roman" w:hAnsi="Times New Roman" w:eastAsia="宋体" w:cs="Times New Roman"/>
                      <w:b w:val="0"/>
                      <w:bCs/>
                      <w:color w:val="auto"/>
                      <w:sz w:val="21"/>
                      <w:szCs w:val="21"/>
                      <w:lang w:val="en-US" w:eastAsia="zh-CN"/>
                    </w:rPr>
                    <w:t>处</w:t>
                  </w:r>
                </w:p>
                <w:p>
                  <w:pPr>
                    <w:pStyle w:val="28"/>
                    <w:pageBreakBefore w:val="0"/>
                    <w:kinsoku/>
                    <w:overflowPunct/>
                    <w:bidi w:val="0"/>
                    <w:spacing w:line="240" w:lineRule="auto"/>
                    <w:jc w:val="center"/>
                    <w:rPr>
                      <w:rFonts w:ascii="Times New Roman" w:hAnsi="Times New Roman" w:eastAsia="宋体" w:cs="Times New Roman"/>
                      <w:b w:val="0"/>
                      <w:bCs/>
                      <w:color w:val="auto"/>
                      <w:sz w:val="21"/>
                      <w:szCs w:val="21"/>
                    </w:rPr>
                  </w:pPr>
                  <w:r>
                    <w:rPr>
                      <w:rFonts w:hint="eastAsia" w:ascii="Times New Roman" w:hAnsi="Times New Roman" w:eastAsia="宋体" w:cs="Times New Roman"/>
                      <w:b w:val="0"/>
                      <w:bCs/>
                      <w:color w:val="auto"/>
                      <w:sz w:val="21"/>
                      <w:szCs w:val="21"/>
                      <w:lang w:val="en-US" w:eastAsia="zh-CN"/>
                    </w:rPr>
                    <w:t>理</w:t>
                  </w:r>
                </w:p>
                <w:p>
                  <w:pPr>
                    <w:pStyle w:val="28"/>
                    <w:pageBreakBefore w:val="0"/>
                    <w:kinsoku/>
                    <w:overflowPunct/>
                    <w:bidi w:val="0"/>
                    <w:spacing w:line="240" w:lineRule="auto"/>
                    <w:jc w:val="center"/>
                    <w:rPr>
                      <w:rFonts w:ascii="Times New Roman" w:hAnsi="Times New Roman" w:eastAsia="宋体" w:cs="Times New Roman"/>
                      <w:b w:val="0"/>
                      <w:bCs/>
                      <w:color w:val="auto"/>
                      <w:sz w:val="21"/>
                      <w:szCs w:val="21"/>
                    </w:rPr>
                  </w:pPr>
                  <w:r>
                    <w:rPr>
                      <w:rFonts w:hint="eastAsia" w:ascii="Times New Roman" w:hAnsi="Times New Roman" w:eastAsia="宋体" w:cs="Times New Roman"/>
                      <w:b w:val="0"/>
                      <w:bCs/>
                      <w:color w:val="auto"/>
                      <w:sz w:val="21"/>
                      <w:szCs w:val="21"/>
                      <w:lang w:val="en-US" w:eastAsia="zh-CN"/>
                    </w:rPr>
                    <w:t>效</w:t>
                  </w:r>
                </w:p>
                <w:p>
                  <w:pPr>
                    <w:pStyle w:val="28"/>
                    <w:pageBreakBefore w:val="0"/>
                    <w:kinsoku/>
                    <w:overflowPunct/>
                    <w:bidi w:val="0"/>
                    <w:spacing w:line="240" w:lineRule="auto"/>
                    <w:jc w:val="center"/>
                    <w:rPr>
                      <w:rFonts w:ascii="Times New Roman" w:hAnsi="Times New Roman" w:eastAsia="宋体" w:cs="Times New Roman"/>
                      <w:b w:val="0"/>
                      <w:bCs/>
                      <w:color w:val="auto"/>
                      <w:sz w:val="21"/>
                      <w:szCs w:val="21"/>
                    </w:rPr>
                  </w:pPr>
                  <w:r>
                    <w:rPr>
                      <w:rFonts w:hint="eastAsia" w:ascii="Times New Roman" w:hAnsi="Times New Roman" w:eastAsia="宋体" w:cs="Times New Roman"/>
                      <w:b w:val="0"/>
                      <w:bCs/>
                      <w:color w:val="auto"/>
                      <w:sz w:val="21"/>
                      <w:szCs w:val="21"/>
                      <w:lang w:val="en-US" w:eastAsia="zh-CN"/>
                    </w:rPr>
                    <w:t>率</w:t>
                  </w:r>
                </w:p>
                <w:p>
                  <w:pPr>
                    <w:pStyle w:val="28"/>
                    <w:pageBreakBefore w:val="0"/>
                    <w:kinsoku/>
                    <w:overflowPunct/>
                    <w:bidi w:val="0"/>
                    <w:spacing w:line="240" w:lineRule="auto"/>
                    <w:jc w:val="center"/>
                    <w:rPr>
                      <w:rFonts w:ascii="Times New Roman" w:hAnsi="Times New Roman" w:eastAsia="宋体" w:cs="Times New Roman"/>
                      <w:b w:val="0"/>
                      <w:bCs/>
                      <w:color w:val="auto"/>
                      <w:sz w:val="21"/>
                      <w:szCs w:val="21"/>
                    </w:rPr>
                  </w:pPr>
                  <w:r>
                    <w:rPr>
                      <w:rFonts w:hint="default" w:ascii="Times New Roman" w:hAnsi="Times New Roman" w:eastAsia="宋体" w:cs="Times New Roman"/>
                      <w:b w:val="0"/>
                      <w:bCs/>
                      <w:color w:val="auto"/>
                      <w:sz w:val="21"/>
                      <w:szCs w:val="21"/>
                      <w:lang w:val="en-US" w:eastAsia="zh-CN"/>
                    </w:rPr>
                    <w:t>/%</w:t>
                  </w:r>
                </w:p>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c>
                <w:tcPr>
                  <w:tcW w:w="1005" w:type="dxa"/>
                  <w:vAlign w:val="center"/>
                </w:tcPr>
                <w:p>
                  <w:pPr>
                    <w:pStyle w:val="28"/>
                    <w:pageBreakBefore w:val="0"/>
                    <w:kinsoku/>
                    <w:overflowPunct/>
                    <w:bidi w:val="0"/>
                    <w:spacing w:line="240" w:lineRule="auto"/>
                    <w:jc w:val="center"/>
                    <w:rPr>
                      <w:rFonts w:ascii="Times New Roman" w:hAnsi="Times New Roman" w:eastAsia="宋体" w:cs="Times New Roman"/>
                      <w:b w:val="0"/>
                      <w:bCs/>
                      <w:color w:val="auto"/>
                      <w:sz w:val="21"/>
                      <w:szCs w:val="21"/>
                    </w:rPr>
                  </w:pPr>
                  <w:r>
                    <w:rPr>
                      <w:rFonts w:hint="eastAsia" w:ascii="Times New Roman" w:hAnsi="Times New Roman" w:eastAsia="宋体" w:cs="Times New Roman"/>
                      <w:b w:val="0"/>
                      <w:bCs/>
                      <w:color w:val="auto"/>
                      <w:sz w:val="21"/>
                      <w:szCs w:val="21"/>
                      <w:lang w:val="en-US" w:eastAsia="zh-CN"/>
                    </w:rPr>
                    <w:t>污染物</w:t>
                  </w:r>
                </w:p>
                <w:p>
                  <w:pPr>
                    <w:pStyle w:val="28"/>
                    <w:pageBreakBefore w:val="0"/>
                    <w:kinsoku/>
                    <w:overflowPunct/>
                    <w:bidi w:val="0"/>
                    <w:spacing w:line="240" w:lineRule="auto"/>
                    <w:jc w:val="center"/>
                    <w:rPr>
                      <w:rFonts w:ascii="Times New Roman" w:hAnsi="Times New Roman" w:eastAsia="宋体" w:cs="Times New Roman"/>
                      <w:b w:val="0"/>
                      <w:bCs/>
                      <w:color w:val="auto"/>
                      <w:sz w:val="21"/>
                      <w:szCs w:val="21"/>
                    </w:rPr>
                  </w:pPr>
                  <w:r>
                    <w:rPr>
                      <w:rFonts w:hint="eastAsia" w:ascii="Times New Roman" w:hAnsi="Times New Roman" w:eastAsia="宋体" w:cs="Times New Roman"/>
                      <w:b w:val="0"/>
                      <w:bCs/>
                      <w:color w:val="auto"/>
                      <w:sz w:val="21"/>
                      <w:szCs w:val="21"/>
                      <w:lang w:val="en-US" w:eastAsia="zh-CN"/>
                    </w:rPr>
                    <w:t>排放量</w:t>
                  </w:r>
                </w:p>
                <w:p>
                  <w:pPr>
                    <w:pStyle w:val="28"/>
                    <w:pageBreakBefore w:val="0"/>
                    <w:kinsoku/>
                    <w:overflowPunct/>
                    <w:bidi w:val="0"/>
                    <w:spacing w:line="240" w:lineRule="auto"/>
                    <w:jc w:val="center"/>
                    <w:rPr>
                      <w:rFonts w:ascii="Times New Roman" w:hAnsi="Times New Roman" w:eastAsia="宋体" w:cs="Times New Roman"/>
                      <w:b w:val="0"/>
                      <w:bCs/>
                      <w:color w:val="auto"/>
                      <w:sz w:val="21"/>
                      <w:szCs w:val="21"/>
                    </w:rPr>
                  </w:pPr>
                  <w:r>
                    <w:rPr>
                      <w:rFonts w:hint="default" w:ascii="Times New Roman" w:hAnsi="Times New Roman" w:eastAsia="宋体" w:cs="Times New Roman"/>
                      <w:b w:val="0"/>
                      <w:bCs/>
                      <w:color w:val="auto"/>
                      <w:sz w:val="21"/>
                      <w:szCs w:val="21"/>
                      <w:lang w:val="en-US" w:eastAsia="zh-CN"/>
                    </w:rPr>
                    <w:t>/t/a</w:t>
                  </w:r>
                </w:p>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c>
                <w:tcPr>
                  <w:tcW w:w="0" w:type="auto"/>
                  <w:vAlign w:val="center"/>
                </w:tcPr>
                <w:p>
                  <w:pPr>
                    <w:pStyle w:val="28"/>
                    <w:pageBreakBefore w:val="0"/>
                    <w:kinsoku/>
                    <w:overflowPunct/>
                    <w:bidi w:val="0"/>
                    <w:spacing w:line="240" w:lineRule="auto"/>
                    <w:jc w:val="center"/>
                    <w:rPr>
                      <w:rFonts w:ascii="Times New Roman" w:hAnsi="Times New Roman" w:eastAsia="宋体" w:cs="Times New Roman"/>
                      <w:b w:val="0"/>
                      <w:bCs/>
                      <w:color w:val="auto"/>
                      <w:sz w:val="21"/>
                      <w:szCs w:val="21"/>
                    </w:rPr>
                  </w:pPr>
                  <w:r>
                    <w:rPr>
                      <w:rFonts w:hint="eastAsia" w:ascii="Times New Roman" w:hAnsi="Times New Roman" w:eastAsia="宋体" w:cs="Times New Roman"/>
                      <w:b w:val="0"/>
                      <w:bCs/>
                      <w:color w:val="auto"/>
                      <w:sz w:val="21"/>
                      <w:szCs w:val="21"/>
                      <w:lang w:val="en-US" w:eastAsia="zh-CN"/>
                    </w:rPr>
                    <w:t>污染</w:t>
                  </w:r>
                </w:p>
                <w:p>
                  <w:pPr>
                    <w:pStyle w:val="28"/>
                    <w:pageBreakBefore w:val="0"/>
                    <w:kinsoku/>
                    <w:overflowPunct/>
                    <w:bidi w:val="0"/>
                    <w:spacing w:line="240" w:lineRule="auto"/>
                    <w:jc w:val="center"/>
                    <w:rPr>
                      <w:rFonts w:ascii="Times New Roman" w:hAnsi="Times New Roman" w:eastAsia="宋体" w:cs="Times New Roman"/>
                      <w:b w:val="0"/>
                      <w:bCs/>
                      <w:color w:val="auto"/>
                      <w:sz w:val="21"/>
                      <w:szCs w:val="21"/>
                    </w:rPr>
                  </w:pPr>
                  <w:r>
                    <w:rPr>
                      <w:rFonts w:hint="eastAsia" w:ascii="Times New Roman" w:hAnsi="Times New Roman" w:eastAsia="宋体" w:cs="Times New Roman"/>
                      <w:b w:val="0"/>
                      <w:bCs/>
                      <w:color w:val="auto"/>
                      <w:sz w:val="21"/>
                      <w:szCs w:val="21"/>
                      <w:lang w:val="en-US" w:eastAsia="zh-CN"/>
                    </w:rPr>
                    <w:t>物排</w:t>
                  </w:r>
                </w:p>
                <w:p>
                  <w:pPr>
                    <w:pStyle w:val="28"/>
                    <w:pageBreakBefore w:val="0"/>
                    <w:kinsoku/>
                    <w:overflowPunct/>
                    <w:bidi w:val="0"/>
                    <w:spacing w:line="240" w:lineRule="auto"/>
                    <w:jc w:val="center"/>
                    <w:rPr>
                      <w:rFonts w:ascii="Times New Roman" w:hAnsi="Times New Roman" w:eastAsia="宋体" w:cs="Times New Roman"/>
                      <w:b w:val="0"/>
                      <w:bCs/>
                      <w:color w:val="auto"/>
                      <w:sz w:val="21"/>
                      <w:szCs w:val="21"/>
                    </w:rPr>
                  </w:pPr>
                  <w:r>
                    <w:rPr>
                      <w:rFonts w:hint="eastAsia" w:ascii="Times New Roman" w:hAnsi="Times New Roman" w:eastAsia="宋体" w:cs="Times New Roman"/>
                      <w:b w:val="0"/>
                      <w:bCs/>
                      <w:color w:val="auto"/>
                      <w:sz w:val="21"/>
                      <w:szCs w:val="21"/>
                      <w:lang w:val="en-US" w:eastAsia="zh-CN"/>
                    </w:rPr>
                    <w:t>放浓</w:t>
                  </w:r>
                </w:p>
                <w:p>
                  <w:pPr>
                    <w:pStyle w:val="28"/>
                    <w:pageBreakBefore w:val="0"/>
                    <w:kinsoku/>
                    <w:overflowPunct/>
                    <w:bidi w:val="0"/>
                    <w:spacing w:line="240" w:lineRule="auto"/>
                    <w:jc w:val="center"/>
                    <w:rPr>
                      <w:rFonts w:ascii="Times New Roman" w:hAnsi="Times New Roman" w:eastAsia="宋体" w:cs="Times New Roman"/>
                      <w:b w:val="0"/>
                      <w:bCs/>
                      <w:color w:val="auto"/>
                      <w:sz w:val="21"/>
                      <w:szCs w:val="21"/>
                    </w:rPr>
                  </w:pPr>
                  <w:r>
                    <w:rPr>
                      <w:rFonts w:hint="eastAsia" w:ascii="Times New Roman" w:hAnsi="Times New Roman" w:eastAsia="宋体" w:cs="Times New Roman"/>
                      <w:b w:val="0"/>
                      <w:bCs/>
                      <w:color w:val="auto"/>
                      <w:sz w:val="21"/>
                      <w:szCs w:val="21"/>
                      <w:lang w:val="en-US" w:eastAsia="zh-CN"/>
                    </w:rPr>
                    <w:t>度</w:t>
                  </w:r>
                </w:p>
                <w:p>
                  <w:pPr>
                    <w:pStyle w:val="28"/>
                    <w:pageBreakBefore w:val="0"/>
                    <w:kinsoku/>
                    <w:overflowPunct/>
                    <w:bidi w:val="0"/>
                    <w:spacing w:line="240" w:lineRule="auto"/>
                    <w:jc w:val="center"/>
                    <w:rPr>
                      <w:rFonts w:ascii="Times New Roman" w:hAnsi="Times New Roman" w:eastAsia="宋体" w:cs="Times New Roman"/>
                      <w:b w:val="0"/>
                      <w:bCs/>
                      <w:color w:val="auto"/>
                      <w:sz w:val="21"/>
                      <w:szCs w:val="21"/>
                    </w:rPr>
                  </w:pPr>
                  <w:r>
                    <w:rPr>
                      <w:rFonts w:hint="default" w:ascii="Times New Roman" w:hAnsi="Times New Roman" w:eastAsia="宋体" w:cs="Times New Roman"/>
                      <w:b w:val="0"/>
                      <w:bCs/>
                      <w:color w:val="auto"/>
                      <w:sz w:val="21"/>
                      <w:szCs w:val="21"/>
                      <w:lang w:val="en-US" w:eastAsia="zh-CN"/>
                    </w:rPr>
                    <w:t>/mg/L</w:t>
                  </w:r>
                </w:p>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restart"/>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员工生活</w:t>
                  </w:r>
                </w:p>
              </w:tc>
              <w:tc>
                <w:tcPr>
                  <w:tcW w:w="0" w:type="auto"/>
                  <w:vMerge w:val="restart"/>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生活污水</w:t>
                  </w:r>
                </w:p>
              </w:tc>
              <w:tc>
                <w:tcPr>
                  <w:tcW w:w="0" w:type="auto"/>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COD</w:t>
                  </w:r>
                </w:p>
              </w:tc>
              <w:tc>
                <w:tcPr>
                  <w:tcW w:w="0" w:type="auto"/>
                  <w:vMerge w:val="restart"/>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default" w:ascii="Times New Roman" w:hAnsi="Times New Roman" w:eastAsia="宋体" w:cs="Times New Roman"/>
                      <w:b w:val="0"/>
                      <w:bCs/>
                      <w:color w:val="auto"/>
                      <w:sz w:val="21"/>
                      <w:szCs w:val="21"/>
                      <w:lang w:val="en-US" w:eastAsia="zh-CN"/>
                    </w:rPr>
                    <w:t>1176</w:t>
                  </w:r>
                </w:p>
              </w:tc>
              <w:tc>
                <w:tcPr>
                  <w:tcW w:w="0" w:type="auto"/>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0.353</w:t>
                  </w:r>
                </w:p>
              </w:tc>
              <w:tc>
                <w:tcPr>
                  <w:tcW w:w="0" w:type="auto"/>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300</w:t>
                  </w:r>
                </w:p>
              </w:tc>
              <w:tc>
                <w:tcPr>
                  <w:tcW w:w="0" w:type="auto"/>
                  <w:vMerge w:val="restart"/>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隔油池+化粪池</w:t>
                  </w:r>
                  <w:r>
                    <w:rPr>
                      <w:rFonts w:hint="eastAsia" w:cs="Times New Roman"/>
                      <w:b w:val="0"/>
                      <w:bCs/>
                      <w:color w:val="auto"/>
                      <w:sz w:val="21"/>
                      <w:szCs w:val="21"/>
                      <w:lang w:val="en-US" w:eastAsia="zh-CN"/>
                    </w:rPr>
                    <w:t>（TW001)</w:t>
                  </w:r>
                </w:p>
              </w:tc>
              <w:tc>
                <w:tcPr>
                  <w:tcW w:w="0" w:type="auto"/>
                  <w:vMerge w:val="restart"/>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是</w:t>
                  </w:r>
                </w:p>
              </w:tc>
              <w:tc>
                <w:tcPr>
                  <w:tcW w:w="584" w:type="dxa"/>
                  <w:vAlign w:val="center"/>
                </w:tcPr>
                <w:p>
                  <w:pPr>
                    <w:keepNext w:val="0"/>
                    <w:keepLines w:val="0"/>
                    <w:widowControl/>
                    <w:suppressLineNumbers w:val="0"/>
                    <w:jc w:val="left"/>
                    <w:rPr>
                      <w:rFonts w:hint="default" w:ascii="Times New Roman" w:hAnsi="Times New Roman" w:eastAsia="宋体" w:cs="Times New Roman"/>
                      <w:b w:val="0"/>
                      <w:bCs/>
                      <w:color w:val="auto"/>
                      <w:sz w:val="21"/>
                      <w:szCs w:val="21"/>
                      <w:lang w:val="en-US" w:eastAsia="zh-CN"/>
                    </w:rPr>
                  </w:pPr>
                  <w:r>
                    <w:rPr>
                      <w:rFonts w:hint="default" w:ascii="Times New Roman" w:hAnsi="Times New Roman" w:eastAsia="宋体" w:cs="Times New Roman"/>
                      <w:color w:val="000000"/>
                      <w:kern w:val="0"/>
                      <w:sz w:val="21"/>
                      <w:szCs w:val="21"/>
                      <w:lang w:val="en-US" w:eastAsia="zh-CN" w:bidi="ar"/>
                    </w:rPr>
                    <w:t xml:space="preserve">10 </w:t>
                  </w:r>
                </w:p>
              </w:tc>
              <w:tc>
                <w:tcPr>
                  <w:tcW w:w="1005" w:type="dxa"/>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0.318</w:t>
                  </w:r>
                </w:p>
              </w:tc>
              <w:tc>
                <w:tcPr>
                  <w:tcW w:w="0" w:type="auto"/>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270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c>
                <w:tcPr>
                  <w:tcW w:w="0" w:type="auto"/>
                  <w:vMerge w:val="continue"/>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c>
                <w:tcPr>
                  <w:tcW w:w="0" w:type="auto"/>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BOD</w:t>
                  </w:r>
                  <w:r>
                    <w:rPr>
                      <w:rFonts w:hint="eastAsia" w:ascii="Times New Roman" w:hAnsi="Times New Roman" w:eastAsia="宋体" w:cs="Times New Roman"/>
                      <w:b w:val="0"/>
                      <w:bCs/>
                      <w:color w:val="auto"/>
                      <w:sz w:val="21"/>
                      <w:szCs w:val="21"/>
                      <w:vertAlign w:val="subscript"/>
                      <w:lang w:val="en-US" w:eastAsia="zh-CN"/>
                    </w:rPr>
                    <w:t>5</w:t>
                  </w:r>
                </w:p>
              </w:tc>
              <w:tc>
                <w:tcPr>
                  <w:tcW w:w="0" w:type="auto"/>
                  <w:vMerge w:val="continue"/>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c>
                <w:tcPr>
                  <w:tcW w:w="0" w:type="auto"/>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0.176</w:t>
                  </w:r>
                </w:p>
              </w:tc>
              <w:tc>
                <w:tcPr>
                  <w:tcW w:w="0" w:type="auto"/>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150</w:t>
                  </w:r>
                </w:p>
              </w:tc>
              <w:tc>
                <w:tcPr>
                  <w:tcW w:w="0" w:type="auto"/>
                  <w:vMerge w:val="continue"/>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c>
                <w:tcPr>
                  <w:tcW w:w="0" w:type="auto"/>
                  <w:vMerge w:val="continue"/>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c>
                <w:tcPr>
                  <w:tcW w:w="584" w:type="dxa"/>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3.3</w:t>
                  </w:r>
                </w:p>
              </w:tc>
              <w:tc>
                <w:tcPr>
                  <w:tcW w:w="1005" w:type="dxa"/>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0.171</w:t>
                  </w:r>
                </w:p>
              </w:tc>
              <w:tc>
                <w:tcPr>
                  <w:tcW w:w="0" w:type="auto"/>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145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c>
                <w:tcPr>
                  <w:tcW w:w="0" w:type="auto"/>
                  <w:vMerge w:val="continue"/>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c>
                <w:tcPr>
                  <w:tcW w:w="0" w:type="auto"/>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SS</w:t>
                  </w:r>
                </w:p>
              </w:tc>
              <w:tc>
                <w:tcPr>
                  <w:tcW w:w="0" w:type="auto"/>
                  <w:vMerge w:val="continue"/>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c>
                <w:tcPr>
                  <w:tcW w:w="0" w:type="auto"/>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0.176</w:t>
                  </w:r>
                </w:p>
              </w:tc>
              <w:tc>
                <w:tcPr>
                  <w:tcW w:w="0" w:type="auto"/>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150</w:t>
                  </w:r>
                </w:p>
              </w:tc>
              <w:tc>
                <w:tcPr>
                  <w:tcW w:w="0" w:type="auto"/>
                  <w:vMerge w:val="continue"/>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c>
                <w:tcPr>
                  <w:tcW w:w="0" w:type="auto"/>
                  <w:vMerge w:val="continue"/>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c>
                <w:tcPr>
                  <w:tcW w:w="584" w:type="dxa"/>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33.3</w:t>
                  </w:r>
                </w:p>
              </w:tc>
              <w:tc>
                <w:tcPr>
                  <w:tcW w:w="1005" w:type="dxa"/>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0.118</w:t>
                  </w:r>
                </w:p>
              </w:tc>
              <w:tc>
                <w:tcPr>
                  <w:tcW w:w="0" w:type="auto"/>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c>
                <w:tcPr>
                  <w:tcW w:w="0" w:type="auto"/>
                  <w:vMerge w:val="continue"/>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c>
                <w:tcPr>
                  <w:tcW w:w="0" w:type="auto"/>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氨氮</w:t>
                  </w:r>
                </w:p>
              </w:tc>
              <w:tc>
                <w:tcPr>
                  <w:tcW w:w="0" w:type="auto"/>
                  <w:vMerge w:val="continue"/>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c>
                <w:tcPr>
                  <w:tcW w:w="0" w:type="auto"/>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0.041</w:t>
                  </w:r>
                </w:p>
              </w:tc>
              <w:tc>
                <w:tcPr>
                  <w:tcW w:w="0" w:type="auto"/>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35</w:t>
                  </w:r>
                </w:p>
              </w:tc>
              <w:tc>
                <w:tcPr>
                  <w:tcW w:w="0" w:type="auto"/>
                  <w:vMerge w:val="continue"/>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c>
                <w:tcPr>
                  <w:tcW w:w="0" w:type="auto"/>
                  <w:vMerge w:val="continue"/>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c>
                <w:tcPr>
                  <w:tcW w:w="584" w:type="dxa"/>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5.71</w:t>
                  </w:r>
                </w:p>
              </w:tc>
              <w:tc>
                <w:tcPr>
                  <w:tcW w:w="1005" w:type="dxa"/>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0.038</w:t>
                  </w:r>
                </w:p>
              </w:tc>
              <w:tc>
                <w:tcPr>
                  <w:tcW w:w="0" w:type="auto"/>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33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c>
                <w:tcPr>
                  <w:tcW w:w="0" w:type="auto"/>
                  <w:vMerge w:val="continue"/>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c>
                <w:tcPr>
                  <w:tcW w:w="0" w:type="auto"/>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动植物油</w:t>
                  </w:r>
                </w:p>
              </w:tc>
              <w:tc>
                <w:tcPr>
                  <w:tcW w:w="0" w:type="auto"/>
                  <w:vMerge w:val="continue"/>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c>
                <w:tcPr>
                  <w:tcW w:w="0" w:type="auto"/>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0.035</w:t>
                  </w:r>
                </w:p>
              </w:tc>
              <w:tc>
                <w:tcPr>
                  <w:tcW w:w="0" w:type="auto"/>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30</w:t>
                  </w:r>
                </w:p>
              </w:tc>
              <w:tc>
                <w:tcPr>
                  <w:tcW w:w="0" w:type="auto"/>
                  <w:vMerge w:val="continue"/>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c>
                <w:tcPr>
                  <w:tcW w:w="0" w:type="auto"/>
                  <w:vMerge w:val="continue"/>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c>
                <w:tcPr>
                  <w:tcW w:w="584" w:type="dxa"/>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33.3</w:t>
                  </w:r>
                </w:p>
              </w:tc>
              <w:tc>
                <w:tcPr>
                  <w:tcW w:w="1005" w:type="dxa"/>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0.024</w:t>
                  </w:r>
                </w:p>
              </w:tc>
              <w:tc>
                <w:tcPr>
                  <w:tcW w:w="0" w:type="auto"/>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restart"/>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雨水</w:t>
                  </w:r>
                </w:p>
              </w:tc>
              <w:tc>
                <w:tcPr>
                  <w:tcW w:w="0" w:type="auto"/>
                  <w:vMerge w:val="restart"/>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初期雨水</w:t>
                  </w:r>
                </w:p>
              </w:tc>
              <w:tc>
                <w:tcPr>
                  <w:tcW w:w="0" w:type="auto"/>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COD</w:t>
                  </w:r>
                </w:p>
              </w:tc>
              <w:tc>
                <w:tcPr>
                  <w:tcW w:w="0" w:type="auto"/>
                  <w:vMerge w:val="restart"/>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3086.74</w:t>
                  </w:r>
                </w:p>
              </w:tc>
              <w:tc>
                <w:tcPr>
                  <w:tcW w:w="0" w:type="auto"/>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0.589</w:t>
                  </w:r>
                </w:p>
              </w:tc>
              <w:tc>
                <w:tcPr>
                  <w:tcW w:w="0" w:type="auto"/>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default" w:ascii="Times New Roman" w:hAnsi="Times New Roman" w:eastAsia="宋体" w:cs="Times New Roman"/>
                      <w:b w:val="0"/>
                      <w:bCs/>
                      <w:color w:val="auto"/>
                      <w:sz w:val="21"/>
                      <w:szCs w:val="21"/>
                      <w:lang w:val="en-US" w:eastAsia="zh-CN"/>
                    </w:rPr>
                    <w:t xml:space="preserve">191 </w:t>
                  </w:r>
                </w:p>
              </w:tc>
              <w:tc>
                <w:tcPr>
                  <w:tcW w:w="0" w:type="auto"/>
                  <w:vMerge w:val="restart"/>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初期雨水收集池+隔油沉淀池（TW002，采用气浮+油水分离器技术）</w:t>
                  </w:r>
                </w:p>
              </w:tc>
              <w:tc>
                <w:tcPr>
                  <w:tcW w:w="0" w:type="auto"/>
                  <w:vMerge w:val="restart"/>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是</w:t>
                  </w:r>
                </w:p>
              </w:tc>
              <w:tc>
                <w:tcPr>
                  <w:tcW w:w="584" w:type="dxa"/>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83.8</w:t>
                  </w:r>
                </w:p>
              </w:tc>
              <w:tc>
                <w:tcPr>
                  <w:tcW w:w="1005" w:type="dxa"/>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0.096</w:t>
                  </w:r>
                </w:p>
              </w:tc>
              <w:tc>
                <w:tcPr>
                  <w:tcW w:w="730" w:type="dxa"/>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31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c>
                <w:tcPr>
                  <w:tcW w:w="0" w:type="auto"/>
                  <w:vMerge w:val="continue"/>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sz w:val="21"/>
                      <w:szCs w:val="21"/>
                      <w:lang w:val="en-US" w:eastAsia="zh-CN"/>
                    </w:rPr>
                  </w:pPr>
                </w:p>
              </w:tc>
              <w:tc>
                <w:tcPr>
                  <w:tcW w:w="0" w:type="auto"/>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BOD</w:t>
                  </w:r>
                  <w:r>
                    <w:rPr>
                      <w:rFonts w:hint="eastAsia" w:ascii="Times New Roman" w:hAnsi="Times New Roman" w:eastAsia="宋体" w:cs="Times New Roman"/>
                      <w:b w:val="0"/>
                      <w:bCs/>
                      <w:color w:val="auto"/>
                      <w:sz w:val="21"/>
                      <w:szCs w:val="21"/>
                      <w:vertAlign w:val="subscript"/>
                      <w:lang w:val="en-US" w:eastAsia="zh-CN"/>
                    </w:rPr>
                    <w:t>5</w:t>
                  </w:r>
                </w:p>
              </w:tc>
              <w:tc>
                <w:tcPr>
                  <w:tcW w:w="0" w:type="auto"/>
                  <w:vMerge w:val="continue"/>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c>
                <w:tcPr>
                  <w:tcW w:w="0" w:type="auto"/>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0.155</w:t>
                  </w:r>
                </w:p>
              </w:tc>
              <w:tc>
                <w:tcPr>
                  <w:tcW w:w="0" w:type="auto"/>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50.1</w:t>
                  </w:r>
                </w:p>
              </w:tc>
              <w:tc>
                <w:tcPr>
                  <w:tcW w:w="0" w:type="auto"/>
                  <w:vMerge w:val="continue"/>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c>
                <w:tcPr>
                  <w:tcW w:w="0" w:type="auto"/>
                  <w:vMerge w:val="continue"/>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c>
                <w:tcPr>
                  <w:tcW w:w="584" w:type="dxa"/>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88</w:t>
                  </w:r>
                </w:p>
              </w:tc>
              <w:tc>
                <w:tcPr>
                  <w:tcW w:w="1005" w:type="dxa"/>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0.019</w:t>
                  </w:r>
                </w:p>
              </w:tc>
              <w:tc>
                <w:tcPr>
                  <w:tcW w:w="730" w:type="dxa"/>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c>
                <w:tcPr>
                  <w:tcW w:w="0" w:type="auto"/>
                  <w:vMerge w:val="continue"/>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sz w:val="21"/>
                      <w:szCs w:val="21"/>
                      <w:lang w:val="en-US" w:eastAsia="zh-CN"/>
                    </w:rPr>
                  </w:pPr>
                </w:p>
              </w:tc>
              <w:tc>
                <w:tcPr>
                  <w:tcW w:w="0" w:type="auto"/>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SS</w:t>
                  </w:r>
                </w:p>
              </w:tc>
              <w:tc>
                <w:tcPr>
                  <w:tcW w:w="0" w:type="auto"/>
                  <w:vMerge w:val="continue"/>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c>
                <w:tcPr>
                  <w:tcW w:w="0" w:type="auto"/>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0.136</w:t>
                  </w:r>
                </w:p>
              </w:tc>
              <w:tc>
                <w:tcPr>
                  <w:tcW w:w="0" w:type="auto"/>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44</w:t>
                  </w:r>
                </w:p>
              </w:tc>
              <w:tc>
                <w:tcPr>
                  <w:tcW w:w="0" w:type="auto"/>
                  <w:vMerge w:val="continue"/>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c>
                <w:tcPr>
                  <w:tcW w:w="0" w:type="auto"/>
                  <w:vMerge w:val="continue"/>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c>
                <w:tcPr>
                  <w:tcW w:w="584" w:type="dxa"/>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65.9</w:t>
                  </w:r>
                </w:p>
              </w:tc>
              <w:tc>
                <w:tcPr>
                  <w:tcW w:w="1005" w:type="dxa"/>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0.046</w:t>
                  </w:r>
                </w:p>
              </w:tc>
              <w:tc>
                <w:tcPr>
                  <w:tcW w:w="730" w:type="dxa"/>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0" w:type="auto"/>
                  <w:vMerge w:val="continue"/>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c>
                <w:tcPr>
                  <w:tcW w:w="0" w:type="auto"/>
                  <w:vMerge w:val="continue"/>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sz w:val="21"/>
                      <w:szCs w:val="21"/>
                      <w:lang w:val="en-US" w:eastAsia="zh-CN"/>
                    </w:rPr>
                  </w:pPr>
                </w:p>
              </w:tc>
              <w:tc>
                <w:tcPr>
                  <w:tcW w:w="0" w:type="auto"/>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氨氮</w:t>
                  </w:r>
                </w:p>
              </w:tc>
              <w:tc>
                <w:tcPr>
                  <w:tcW w:w="0" w:type="auto"/>
                  <w:vMerge w:val="continue"/>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c>
                <w:tcPr>
                  <w:tcW w:w="0" w:type="auto"/>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0.0027</w:t>
                  </w:r>
                </w:p>
              </w:tc>
              <w:tc>
                <w:tcPr>
                  <w:tcW w:w="0" w:type="auto"/>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0.86</w:t>
                  </w:r>
                </w:p>
              </w:tc>
              <w:tc>
                <w:tcPr>
                  <w:tcW w:w="0" w:type="auto"/>
                  <w:vMerge w:val="continue"/>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c>
                <w:tcPr>
                  <w:tcW w:w="0" w:type="auto"/>
                  <w:vMerge w:val="continue"/>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c>
                <w:tcPr>
                  <w:tcW w:w="584" w:type="dxa"/>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86.9</w:t>
                  </w:r>
                </w:p>
              </w:tc>
              <w:tc>
                <w:tcPr>
                  <w:tcW w:w="1005" w:type="dxa"/>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0.00035</w:t>
                  </w:r>
                </w:p>
              </w:tc>
              <w:tc>
                <w:tcPr>
                  <w:tcW w:w="730" w:type="dxa"/>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0.113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c>
                <w:tcPr>
                  <w:tcW w:w="0" w:type="auto"/>
                  <w:vMerge w:val="continue"/>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c>
                <w:tcPr>
                  <w:tcW w:w="0" w:type="auto"/>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石油类</w:t>
                  </w:r>
                </w:p>
              </w:tc>
              <w:tc>
                <w:tcPr>
                  <w:tcW w:w="0" w:type="auto"/>
                  <w:vMerge w:val="continue"/>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c>
                <w:tcPr>
                  <w:tcW w:w="0" w:type="auto"/>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0.078</w:t>
                  </w:r>
                </w:p>
              </w:tc>
              <w:tc>
                <w:tcPr>
                  <w:tcW w:w="0" w:type="auto"/>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25.4</w:t>
                  </w:r>
                </w:p>
              </w:tc>
              <w:tc>
                <w:tcPr>
                  <w:tcW w:w="0" w:type="auto"/>
                  <w:vMerge w:val="continue"/>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c>
                <w:tcPr>
                  <w:tcW w:w="0" w:type="auto"/>
                  <w:vMerge w:val="continue"/>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c>
                <w:tcPr>
                  <w:tcW w:w="584" w:type="dxa"/>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82.9</w:t>
                  </w:r>
                </w:p>
              </w:tc>
              <w:tc>
                <w:tcPr>
                  <w:tcW w:w="1005" w:type="dxa"/>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0.0133</w:t>
                  </w:r>
                </w:p>
              </w:tc>
              <w:tc>
                <w:tcPr>
                  <w:tcW w:w="730" w:type="dxa"/>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4.34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restart"/>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拖把清洗废水</w:t>
                  </w:r>
                </w:p>
              </w:tc>
              <w:tc>
                <w:tcPr>
                  <w:tcW w:w="0" w:type="auto"/>
                  <w:vMerge w:val="restart"/>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生产废水</w:t>
                  </w:r>
                </w:p>
              </w:tc>
              <w:tc>
                <w:tcPr>
                  <w:tcW w:w="0" w:type="auto"/>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COD</w:t>
                  </w:r>
                </w:p>
              </w:tc>
              <w:tc>
                <w:tcPr>
                  <w:tcW w:w="0" w:type="auto"/>
                  <w:vMerge w:val="restart"/>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27</w:t>
                  </w:r>
                </w:p>
              </w:tc>
              <w:tc>
                <w:tcPr>
                  <w:tcW w:w="0" w:type="auto"/>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0.0065</w:t>
                  </w:r>
                </w:p>
              </w:tc>
              <w:tc>
                <w:tcPr>
                  <w:tcW w:w="0" w:type="auto"/>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240</w:t>
                  </w:r>
                </w:p>
              </w:tc>
              <w:tc>
                <w:tcPr>
                  <w:tcW w:w="0" w:type="auto"/>
                  <w:vMerge w:val="restart"/>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隔油沉淀池（TW002，采用气浮+油水分离器技术）</w:t>
                  </w:r>
                </w:p>
              </w:tc>
              <w:tc>
                <w:tcPr>
                  <w:tcW w:w="0" w:type="auto"/>
                  <w:vMerge w:val="restart"/>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是</w:t>
                  </w:r>
                </w:p>
              </w:tc>
              <w:tc>
                <w:tcPr>
                  <w:tcW w:w="584" w:type="dxa"/>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83.8</w:t>
                  </w:r>
                </w:p>
              </w:tc>
              <w:tc>
                <w:tcPr>
                  <w:tcW w:w="1005" w:type="dxa"/>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0.00105</w:t>
                  </w:r>
                </w:p>
              </w:tc>
              <w:tc>
                <w:tcPr>
                  <w:tcW w:w="730" w:type="dxa"/>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38.88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c>
                <w:tcPr>
                  <w:tcW w:w="0" w:type="auto"/>
                  <w:vMerge w:val="continue"/>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sz w:val="21"/>
                      <w:szCs w:val="21"/>
                      <w:lang w:val="en-US" w:eastAsia="zh-CN"/>
                    </w:rPr>
                  </w:pPr>
                </w:p>
              </w:tc>
              <w:tc>
                <w:tcPr>
                  <w:tcW w:w="0" w:type="auto"/>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BOD</w:t>
                  </w:r>
                  <w:r>
                    <w:rPr>
                      <w:rFonts w:hint="eastAsia" w:ascii="Times New Roman" w:hAnsi="Times New Roman" w:eastAsia="宋体" w:cs="Times New Roman"/>
                      <w:b w:val="0"/>
                      <w:bCs/>
                      <w:color w:val="auto"/>
                      <w:sz w:val="21"/>
                      <w:szCs w:val="21"/>
                      <w:vertAlign w:val="subscript"/>
                      <w:lang w:val="en-US" w:eastAsia="zh-CN"/>
                    </w:rPr>
                    <w:t>5</w:t>
                  </w:r>
                </w:p>
              </w:tc>
              <w:tc>
                <w:tcPr>
                  <w:tcW w:w="0" w:type="auto"/>
                  <w:vMerge w:val="continue"/>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c>
                <w:tcPr>
                  <w:tcW w:w="0" w:type="auto"/>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0.0038</w:t>
                  </w:r>
                </w:p>
              </w:tc>
              <w:tc>
                <w:tcPr>
                  <w:tcW w:w="0" w:type="auto"/>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140</w:t>
                  </w:r>
                </w:p>
              </w:tc>
              <w:tc>
                <w:tcPr>
                  <w:tcW w:w="0" w:type="auto"/>
                  <w:vMerge w:val="continue"/>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c>
                <w:tcPr>
                  <w:tcW w:w="0" w:type="auto"/>
                  <w:vMerge w:val="continue"/>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c>
                <w:tcPr>
                  <w:tcW w:w="584" w:type="dxa"/>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88</w:t>
                  </w:r>
                </w:p>
              </w:tc>
              <w:tc>
                <w:tcPr>
                  <w:tcW w:w="1005" w:type="dxa"/>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0.00045</w:t>
                  </w:r>
                </w:p>
              </w:tc>
              <w:tc>
                <w:tcPr>
                  <w:tcW w:w="730" w:type="dxa"/>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16.8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c>
                <w:tcPr>
                  <w:tcW w:w="0" w:type="auto"/>
                  <w:vMerge w:val="continue"/>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sz w:val="21"/>
                      <w:szCs w:val="21"/>
                      <w:lang w:val="en-US" w:eastAsia="zh-CN"/>
                    </w:rPr>
                  </w:pPr>
                </w:p>
              </w:tc>
              <w:tc>
                <w:tcPr>
                  <w:tcW w:w="0" w:type="auto"/>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SS</w:t>
                  </w:r>
                </w:p>
              </w:tc>
              <w:tc>
                <w:tcPr>
                  <w:tcW w:w="0" w:type="auto"/>
                  <w:vMerge w:val="continue"/>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c>
                <w:tcPr>
                  <w:tcW w:w="0" w:type="auto"/>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0.0081</w:t>
                  </w:r>
                </w:p>
              </w:tc>
              <w:tc>
                <w:tcPr>
                  <w:tcW w:w="0" w:type="auto"/>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300</w:t>
                  </w:r>
                </w:p>
              </w:tc>
              <w:tc>
                <w:tcPr>
                  <w:tcW w:w="0" w:type="auto"/>
                  <w:vMerge w:val="continue"/>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c>
                <w:tcPr>
                  <w:tcW w:w="0" w:type="auto"/>
                  <w:vMerge w:val="continue"/>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c>
                <w:tcPr>
                  <w:tcW w:w="584" w:type="dxa"/>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65.9</w:t>
                  </w:r>
                </w:p>
              </w:tc>
              <w:tc>
                <w:tcPr>
                  <w:tcW w:w="1005" w:type="dxa"/>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0.0028</w:t>
                  </w:r>
                </w:p>
              </w:tc>
              <w:tc>
                <w:tcPr>
                  <w:tcW w:w="730" w:type="dxa"/>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102.3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c>
                <w:tcPr>
                  <w:tcW w:w="0" w:type="auto"/>
                  <w:vMerge w:val="continue"/>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sz w:val="21"/>
                      <w:szCs w:val="21"/>
                      <w:lang w:val="en-US" w:eastAsia="zh-CN"/>
                    </w:rPr>
                  </w:pPr>
                </w:p>
              </w:tc>
              <w:tc>
                <w:tcPr>
                  <w:tcW w:w="0" w:type="auto"/>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氨氮</w:t>
                  </w:r>
                </w:p>
              </w:tc>
              <w:tc>
                <w:tcPr>
                  <w:tcW w:w="0" w:type="auto"/>
                  <w:vMerge w:val="continue"/>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c>
                <w:tcPr>
                  <w:tcW w:w="0" w:type="auto"/>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0.00003</w:t>
                  </w:r>
                </w:p>
              </w:tc>
              <w:tc>
                <w:tcPr>
                  <w:tcW w:w="0" w:type="auto"/>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1</w:t>
                  </w:r>
                </w:p>
              </w:tc>
              <w:tc>
                <w:tcPr>
                  <w:tcW w:w="0" w:type="auto"/>
                  <w:vMerge w:val="continue"/>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c>
                <w:tcPr>
                  <w:tcW w:w="0" w:type="auto"/>
                  <w:vMerge w:val="continue"/>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c>
                <w:tcPr>
                  <w:tcW w:w="584" w:type="dxa"/>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86.9</w:t>
                  </w:r>
                </w:p>
              </w:tc>
              <w:tc>
                <w:tcPr>
                  <w:tcW w:w="1005" w:type="dxa"/>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0.000003</w:t>
                  </w:r>
                </w:p>
              </w:tc>
              <w:tc>
                <w:tcPr>
                  <w:tcW w:w="730" w:type="dxa"/>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0.131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Merge w:val="continue"/>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c>
                <w:tcPr>
                  <w:tcW w:w="0" w:type="auto"/>
                  <w:vMerge w:val="continue"/>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sz w:val="21"/>
                      <w:szCs w:val="21"/>
                      <w:lang w:val="en-US" w:eastAsia="zh-CN"/>
                    </w:rPr>
                  </w:pPr>
                </w:p>
              </w:tc>
              <w:tc>
                <w:tcPr>
                  <w:tcW w:w="0" w:type="auto"/>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石油类</w:t>
                  </w:r>
                </w:p>
              </w:tc>
              <w:tc>
                <w:tcPr>
                  <w:tcW w:w="0" w:type="auto"/>
                  <w:vMerge w:val="continue"/>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c>
                <w:tcPr>
                  <w:tcW w:w="0" w:type="auto"/>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0.0027</w:t>
                  </w:r>
                </w:p>
              </w:tc>
              <w:tc>
                <w:tcPr>
                  <w:tcW w:w="0" w:type="auto"/>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100</w:t>
                  </w:r>
                </w:p>
              </w:tc>
              <w:tc>
                <w:tcPr>
                  <w:tcW w:w="0" w:type="auto"/>
                  <w:vMerge w:val="continue"/>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c>
                <w:tcPr>
                  <w:tcW w:w="0" w:type="auto"/>
                  <w:vMerge w:val="continue"/>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p>
              </w:tc>
              <w:tc>
                <w:tcPr>
                  <w:tcW w:w="584" w:type="dxa"/>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82.9</w:t>
                  </w:r>
                </w:p>
              </w:tc>
              <w:tc>
                <w:tcPr>
                  <w:tcW w:w="1005" w:type="dxa"/>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0.00046</w:t>
                  </w:r>
                </w:p>
              </w:tc>
              <w:tc>
                <w:tcPr>
                  <w:tcW w:w="730" w:type="dxa"/>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17.1</w:t>
                  </w:r>
                </w:p>
              </w:tc>
            </w:tr>
          </w:tbl>
          <w:p>
            <w:pPr>
              <w:pageBreakBefore w:val="0"/>
              <w:kinsoku/>
              <w:overflowPunct/>
              <w:bidi w:val="0"/>
              <w:ind w:firstLine="482" w:firstLineChars="200"/>
              <w:rPr>
                <w:rFonts w:hint="default" w:ascii="Times New Roman" w:hAnsi="Times New Roman" w:eastAsia="宋体" w:cs="Times New Roman"/>
                <w:b/>
                <w:bCs/>
                <w:color w:val="auto"/>
                <w:sz w:val="24"/>
                <w:szCs w:val="24"/>
                <w:u w:val="none" w:color="auto"/>
                <w:lang w:val="en-US" w:eastAsia="zh-CN"/>
              </w:rPr>
            </w:pPr>
            <w:r>
              <w:rPr>
                <w:rFonts w:hint="eastAsia" w:cs="Times New Roman"/>
                <w:b/>
                <w:bCs/>
                <w:color w:val="auto"/>
                <w:sz w:val="24"/>
                <w:szCs w:val="24"/>
                <w:u w:val="none" w:color="auto"/>
                <w:lang w:val="en-US" w:eastAsia="zh-CN"/>
              </w:rPr>
              <w:t>2、</w:t>
            </w:r>
            <w:r>
              <w:rPr>
                <w:rFonts w:hint="default" w:ascii="Times New Roman" w:hAnsi="Times New Roman" w:eastAsia="宋体" w:cs="Times New Roman"/>
                <w:b/>
                <w:bCs/>
                <w:color w:val="auto"/>
                <w:sz w:val="24"/>
                <w:szCs w:val="24"/>
                <w:u w:val="none" w:color="auto"/>
                <w:lang w:val="en-US" w:eastAsia="zh-CN"/>
              </w:rPr>
              <w:t>污水处理设施的可行性分析</w:t>
            </w:r>
          </w:p>
          <w:p>
            <w:pPr>
              <w:keepNext w:val="0"/>
              <w:keepLines w:val="0"/>
              <w:widowControl/>
              <w:suppressLineNumbers w:val="0"/>
              <w:ind w:firstLine="480" w:firstLineChars="200"/>
              <w:jc w:val="left"/>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（1）水污染控制和水环境影响减缓措施有效性评价</w:t>
            </w:r>
          </w:p>
          <w:p>
            <w:pPr>
              <w:pStyle w:val="32"/>
              <w:ind w:firstLine="480"/>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本项目员工生活污水经隔油池、化粪池</w:t>
            </w:r>
            <w:r>
              <w:rPr>
                <w:rFonts w:hint="eastAsia" w:cs="Times New Roman"/>
                <w:bCs/>
                <w:sz w:val="24"/>
                <w:szCs w:val="24"/>
                <w:lang w:val="en-US" w:eastAsia="zh-CN"/>
              </w:rPr>
              <w:t>(TW001)</w:t>
            </w:r>
            <w:r>
              <w:rPr>
                <w:rFonts w:hint="eastAsia" w:ascii="Times New Roman" w:hAnsi="Times New Roman" w:eastAsia="宋体" w:cs="Times New Roman"/>
                <w:bCs/>
                <w:sz w:val="24"/>
                <w:szCs w:val="24"/>
                <w:lang w:val="en-US" w:eastAsia="zh-CN"/>
              </w:rPr>
              <w:t>处理后经园区污水</w:t>
            </w:r>
            <w:r>
              <w:rPr>
                <w:rFonts w:hint="eastAsia" w:cs="Times New Roman"/>
                <w:bCs/>
                <w:sz w:val="24"/>
                <w:szCs w:val="24"/>
                <w:lang w:val="en-US" w:eastAsia="zh-CN"/>
              </w:rPr>
              <w:t>管</w:t>
            </w:r>
            <w:r>
              <w:rPr>
                <w:rFonts w:hint="eastAsia" w:ascii="Times New Roman" w:hAnsi="Times New Roman" w:eastAsia="宋体" w:cs="Times New Roman"/>
                <w:bCs/>
                <w:sz w:val="24"/>
                <w:szCs w:val="24"/>
                <w:lang w:val="en-US" w:eastAsia="zh-CN"/>
              </w:rPr>
              <w:t>网排入归阳污水处理厂处理；初期雨水经初期雨水收集池收集，再由隔油沉淀池（TW002，采用气浮+油水分离器技术）处理后经市政污水管网排入归阳污水处理厂进行处理，项目拖把清洗废水经隔油沉淀池（TW002，采用气浮+油水分离器技术）处理后经园区污水</w:t>
            </w:r>
            <w:r>
              <w:rPr>
                <w:rFonts w:hint="eastAsia" w:cs="Times New Roman"/>
                <w:bCs/>
                <w:sz w:val="24"/>
                <w:szCs w:val="24"/>
                <w:lang w:val="en-US" w:eastAsia="zh-CN"/>
              </w:rPr>
              <w:t>管</w:t>
            </w:r>
            <w:r>
              <w:rPr>
                <w:rFonts w:hint="eastAsia" w:ascii="Times New Roman" w:hAnsi="Times New Roman" w:eastAsia="宋体" w:cs="Times New Roman"/>
                <w:bCs/>
                <w:sz w:val="24"/>
                <w:szCs w:val="24"/>
                <w:lang w:val="en-US" w:eastAsia="zh-CN"/>
              </w:rPr>
              <w:t>网排入归阳污水处理厂进行处理。</w:t>
            </w:r>
          </w:p>
          <w:p>
            <w:pPr>
              <w:pStyle w:val="32"/>
              <w:ind w:firstLine="480"/>
              <w:rPr>
                <w:rFonts w:hint="eastAsia" w:ascii="Times New Roman" w:hAnsi="Times New Roman" w:eastAsia="宋体" w:cs="Times New Roman"/>
                <w:bCs/>
                <w:sz w:val="24"/>
                <w:szCs w:val="24"/>
                <w:lang w:val="en-US" w:eastAsia="zh-CN"/>
              </w:rPr>
            </w:pPr>
            <w:r>
              <w:rPr>
                <w:rFonts w:hint="eastAsia" w:ascii="Times New Roman" w:hAnsi="Times New Roman" w:eastAsia="宋体" w:cs="Times New Roman"/>
                <w:bCs/>
                <w:sz w:val="24"/>
                <w:szCs w:val="24"/>
                <w:lang w:val="en-US" w:eastAsia="zh-CN"/>
              </w:rPr>
              <w:t>本项目生活污水产生量较少，污染性质简单，可生化性较好。生活污水经隔油池、化粪池预处理后可</w:t>
            </w:r>
            <w:r>
              <w:rPr>
                <w:rFonts w:hint="eastAsia" w:ascii="Times New Roman" w:hAnsi="Times New Roman" w:cs="Times New Roman"/>
                <w:color w:val="auto"/>
                <w:u w:val="none" w:color="auto"/>
                <w:lang w:val="en-US" w:eastAsia="zh-CN"/>
              </w:rPr>
              <w:t>达到</w:t>
            </w:r>
            <w:r>
              <w:rPr>
                <w:rFonts w:hint="default" w:ascii="Times New Roman" w:hAnsi="Times New Roman" w:cs="Times New Roman"/>
                <w:color w:val="auto"/>
                <w:u w:val="none" w:color="auto"/>
                <w:lang w:eastAsia="zh-CN"/>
              </w:rPr>
              <w:t>《污水综合排放标准》（G8978-1996）表4中三级标准</w:t>
            </w:r>
            <w:r>
              <w:rPr>
                <w:rFonts w:hint="eastAsia" w:ascii="Times New Roman" w:hAnsi="Times New Roman" w:eastAsia="宋体" w:cs="Times New Roman"/>
                <w:bCs/>
                <w:sz w:val="24"/>
                <w:szCs w:val="24"/>
                <w:lang w:val="en-US" w:eastAsia="zh-CN"/>
              </w:rPr>
              <w:t>。</w:t>
            </w:r>
          </w:p>
          <w:p>
            <w:pPr>
              <w:pStyle w:val="31"/>
              <w:pageBreakBefore w:val="0"/>
              <w:kinsoku/>
              <w:overflowPunct/>
              <w:bidi w:val="0"/>
              <w:rPr>
                <w:rFonts w:hint="default" w:ascii="Times New Roman" w:hAnsi="Times New Roman" w:cs="Times New Roman"/>
                <w:color w:val="auto"/>
                <w:kern w:val="0"/>
                <w:sz w:val="24"/>
                <w:szCs w:val="24"/>
                <w:u w:val="none" w:color="auto"/>
                <w:lang w:val="en-US" w:eastAsia="zh-CN" w:bidi="ar"/>
              </w:rPr>
            </w:pPr>
            <w:r>
              <w:rPr>
                <w:rFonts w:hint="eastAsia" w:ascii="Times New Roman" w:hAnsi="Times New Roman" w:eastAsia="宋体" w:cs="Times New Roman"/>
                <w:bCs/>
                <w:sz w:val="24"/>
                <w:szCs w:val="24"/>
                <w:lang w:val="en-US" w:eastAsia="zh-CN"/>
              </w:rPr>
              <w:t>本项目生产废水主要为拆解厂房拖把清洗废水，和初期雨水，只有污染因子为COD、SS和石油类，本项目拟建一个初期雨水收集池用作收集初期雨水，和一个隔油沉淀池用作处理拖把清洗废水和初期雨水。初期雨水收集池、</w:t>
            </w:r>
            <w:r>
              <w:rPr>
                <w:rFonts w:hint="eastAsia" w:cs="Times New Roman"/>
                <w:color w:val="auto"/>
                <w:kern w:val="0"/>
                <w:sz w:val="24"/>
                <w:szCs w:val="24"/>
                <w:u w:val="none" w:color="auto"/>
                <w:lang w:val="en-US" w:eastAsia="zh-CN" w:bidi="ar"/>
              </w:rPr>
              <w:t>隔油沉淀池</w:t>
            </w:r>
            <w:r>
              <w:rPr>
                <w:rFonts w:hint="eastAsia" w:ascii="Times New Roman" w:hAnsi="Times New Roman" w:cs="Times New Roman"/>
                <w:color w:val="auto"/>
                <w:kern w:val="0"/>
                <w:sz w:val="24"/>
                <w:szCs w:val="24"/>
                <w:u w:val="none" w:color="auto"/>
                <w:lang w:val="en-US" w:eastAsia="zh-CN" w:bidi="ar"/>
              </w:rPr>
              <w:t>具体配置参数如下：</w:t>
            </w:r>
          </w:p>
          <w:p>
            <w:pPr>
              <w:pStyle w:val="31"/>
              <w:pageBreakBefore w:val="0"/>
              <w:kinsoku/>
              <w:overflowPunct/>
              <w:bidi w:val="0"/>
              <w:rPr>
                <w:rFonts w:hint="eastAsia" w:ascii="Times New Roman" w:hAnsi="Times New Roman" w:cs="Times New Roman"/>
                <w:color w:val="auto"/>
                <w:kern w:val="0"/>
                <w:sz w:val="24"/>
                <w:szCs w:val="24"/>
                <w:u w:val="none" w:color="auto"/>
                <w:lang w:val="en-US" w:eastAsia="zh-CN" w:bidi="ar"/>
              </w:rPr>
            </w:pPr>
            <w:r>
              <w:rPr>
                <w:rFonts w:hint="eastAsia" w:ascii="Times New Roman" w:hAnsi="Times New Roman" w:cs="Times New Roman"/>
                <w:color w:val="auto"/>
                <w:kern w:val="0"/>
                <w:sz w:val="24"/>
                <w:szCs w:val="24"/>
                <w:u w:val="none" w:color="auto"/>
                <w:lang w:val="en-US" w:eastAsia="zh-CN" w:bidi="ar"/>
              </w:rPr>
              <w:t>①初期雨水收集池（兼</w:t>
            </w:r>
            <w:r>
              <w:rPr>
                <w:rFonts w:hint="eastAsia" w:cs="Times New Roman"/>
                <w:color w:val="auto"/>
                <w:kern w:val="0"/>
                <w:sz w:val="24"/>
                <w:szCs w:val="24"/>
                <w:u w:val="none" w:color="auto"/>
                <w:lang w:val="en-US" w:eastAsia="zh-CN" w:bidi="ar"/>
              </w:rPr>
              <w:t>事故废水收集池</w:t>
            </w:r>
            <w:r>
              <w:rPr>
                <w:rFonts w:hint="eastAsia" w:ascii="Times New Roman" w:hAnsi="Times New Roman" w:cs="Times New Roman"/>
                <w:color w:val="auto"/>
                <w:kern w:val="0"/>
                <w:sz w:val="24"/>
                <w:szCs w:val="24"/>
                <w:u w:val="none" w:color="auto"/>
                <w:lang w:val="en-US" w:eastAsia="zh-CN" w:bidi="ar"/>
              </w:rPr>
              <w:t>），容积约</w:t>
            </w:r>
            <w:r>
              <w:rPr>
                <w:rFonts w:hint="eastAsia" w:cs="Times New Roman"/>
                <w:color w:val="auto"/>
                <w:kern w:val="0"/>
                <w:sz w:val="24"/>
                <w:szCs w:val="24"/>
                <w:u w:val="none" w:color="auto"/>
                <w:lang w:val="en-US" w:eastAsia="zh-CN" w:bidi="ar"/>
              </w:rPr>
              <w:t>180</w:t>
            </w:r>
            <w:r>
              <w:rPr>
                <w:rFonts w:hint="eastAsia" w:ascii="Times New Roman" w:hAnsi="Times New Roman" w:cs="Times New Roman"/>
                <w:color w:val="auto"/>
                <w:kern w:val="0"/>
                <w:sz w:val="24"/>
                <w:szCs w:val="24"/>
                <w:u w:val="none" w:color="auto"/>
                <w:lang w:val="en-US" w:eastAsia="zh-CN" w:bidi="ar"/>
              </w:rPr>
              <w:t>m</w:t>
            </w:r>
            <w:r>
              <w:rPr>
                <w:rFonts w:hint="eastAsia" w:ascii="Times New Roman" w:hAnsi="Times New Roman" w:cs="Times New Roman"/>
                <w:color w:val="auto"/>
                <w:kern w:val="0"/>
                <w:sz w:val="24"/>
                <w:szCs w:val="24"/>
                <w:u w:val="none" w:color="auto"/>
                <w:vertAlign w:val="superscript"/>
                <w:lang w:val="en-US" w:eastAsia="zh-CN" w:bidi="ar"/>
              </w:rPr>
              <w:t>3</w:t>
            </w:r>
            <w:r>
              <w:rPr>
                <w:rFonts w:hint="eastAsia" w:ascii="Times New Roman" w:hAnsi="Times New Roman" w:cs="Times New Roman"/>
                <w:color w:val="auto"/>
                <w:kern w:val="0"/>
                <w:sz w:val="24"/>
                <w:szCs w:val="24"/>
                <w:u w:val="none" w:color="auto"/>
                <w:lang w:val="en-US" w:eastAsia="zh-CN" w:bidi="ar"/>
              </w:rPr>
              <w:t>，尺寸约为</w:t>
            </w:r>
            <w:r>
              <w:rPr>
                <w:rFonts w:hint="eastAsia" w:cs="Times New Roman"/>
                <w:color w:val="auto"/>
                <w:kern w:val="0"/>
                <w:sz w:val="24"/>
                <w:szCs w:val="24"/>
                <w:u w:val="none" w:color="auto"/>
                <w:lang w:val="en-US" w:eastAsia="zh-CN" w:bidi="ar"/>
              </w:rPr>
              <w:t>6</w:t>
            </w:r>
            <w:r>
              <w:rPr>
                <w:rFonts w:hint="eastAsia" w:ascii="Times New Roman" w:hAnsi="Times New Roman" w:cs="Times New Roman"/>
                <w:color w:val="auto"/>
                <w:kern w:val="0"/>
                <w:sz w:val="24"/>
                <w:szCs w:val="24"/>
                <w:u w:val="none" w:color="auto"/>
                <w:lang w:val="en-US" w:eastAsia="zh-CN" w:bidi="ar"/>
              </w:rPr>
              <w:t>8m×</w:t>
            </w:r>
            <w:r>
              <w:rPr>
                <w:rFonts w:hint="eastAsia" w:cs="Times New Roman"/>
                <w:color w:val="auto"/>
                <w:kern w:val="0"/>
                <w:sz w:val="24"/>
                <w:szCs w:val="24"/>
                <w:u w:val="none" w:color="auto"/>
                <w:lang w:val="en-US" w:eastAsia="zh-CN" w:bidi="ar"/>
              </w:rPr>
              <w:t>6</w:t>
            </w:r>
            <w:r>
              <w:rPr>
                <w:rFonts w:hint="eastAsia" w:ascii="Times New Roman" w:hAnsi="Times New Roman" w:cs="Times New Roman"/>
                <w:color w:val="auto"/>
                <w:kern w:val="0"/>
                <w:sz w:val="24"/>
                <w:szCs w:val="24"/>
                <w:u w:val="none" w:color="auto"/>
                <w:lang w:val="en-US" w:eastAsia="zh-CN" w:bidi="ar"/>
              </w:rPr>
              <w:t>m×</w:t>
            </w:r>
            <w:r>
              <w:rPr>
                <w:rFonts w:hint="eastAsia" w:cs="Times New Roman"/>
                <w:color w:val="auto"/>
                <w:kern w:val="0"/>
                <w:sz w:val="24"/>
                <w:szCs w:val="24"/>
                <w:u w:val="none" w:color="auto"/>
                <w:lang w:val="en-US" w:eastAsia="zh-CN" w:bidi="ar"/>
              </w:rPr>
              <w:t>5</w:t>
            </w:r>
            <w:r>
              <w:rPr>
                <w:rFonts w:hint="eastAsia" w:ascii="Times New Roman" w:hAnsi="Times New Roman" w:cs="Times New Roman"/>
                <w:color w:val="auto"/>
                <w:kern w:val="0"/>
                <w:sz w:val="24"/>
                <w:szCs w:val="24"/>
                <w:u w:val="none" w:color="auto"/>
                <w:lang w:val="en-US" w:eastAsia="zh-CN" w:bidi="ar"/>
              </w:rPr>
              <w:t>m；</w:t>
            </w:r>
          </w:p>
          <w:p>
            <w:pPr>
              <w:pStyle w:val="31"/>
              <w:pageBreakBefore w:val="0"/>
              <w:kinsoku/>
              <w:overflowPunct/>
              <w:bidi w:val="0"/>
              <w:rPr>
                <w:rFonts w:hint="eastAsia" w:cs="Times New Roman"/>
                <w:color w:val="auto"/>
                <w:kern w:val="0"/>
                <w:sz w:val="24"/>
                <w:szCs w:val="24"/>
                <w:u w:val="none" w:color="auto"/>
                <w:lang w:val="en-US" w:eastAsia="zh-CN" w:bidi="ar"/>
              </w:rPr>
            </w:pPr>
            <w:r>
              <w:rPr>
                <w:rFonts w:hint="eastAsia" w:ascii="Times New Roman" w:hAnsi="Times New Roman" w:cs="Times New Roman"/>
                <w:color w:val="auto"/>
                <w:kern w:val="0"/>
                <w:sz w:val="24"/>
                <w:szCs w:val="24"/>
                <w:u w:val="none" w:color="auto"/>
                <w:lang w:val="en-US" w:eastAsia="zh-CN" w:bidi="ar"/>
              </w:rPr>
              <w:t>②</w:t>
            </w:r>
            <w:r>
              <w:rPr>
                <w:rFonts w:hint="eastAsia" w:cs="Times New Roman"/>
                <w:color w:val="auto"/>
                <w:kern w:val="0"/>
                <w:sz w:val="24"/>
                <w:szCs w:val="24"/>
                <w:u w:val="none" w:color="auto"/>
                <w:lang w:val="en-US" w:eastAsia="zh-CN" w:bidi="ar"/>
              </w:rPr>
              <w:t>隔油沉淀池</w:t>
            </w:r>
            <w:r>
              <w:rPr>
                <w:rFonts w:hint="eastAsia" w:ascii="Times New Roman" w:hAnsi="Times New Roman" w:cs="Times New Roman"/>
                <w:color w:val="auto"/>
                <w:kern w:val="0"/>
                <w:sz w:val="24"/>
                <w:szCs w:val="24"/>
                <w:u w:val="none" w:color="auto"/>
                <w:lang w:val="en-US" w:eastAsia="zh-CN" w:bidi="ar"/>
              </w:rPr>
              <w:t>：油水分离器1台</w:t>
            </w:r>
            <w:r>
              <w:rPr>
                <w:rFonts w:hint="eastAsia" w:cs="Times New Roman"/>
                <w:color w:val="auto"/>
                <w:kern w:val="0"/>
                <w:sz w:val="24"/>
                <w:szCs w:val="24"/>
                <w:u w:val="none" w:color="auto"/>
                <w:lang w:val="en-US" w:eastAsia="zh-CN" w:bidi="ar"/>
              </w:rPr>
              <w:t>、气浮机1台</w:t>
            </w:r>
            <w:r>
              <w:rPr>
                <w:rFonts w:hint="eastAsia" w:ascii="Times New Roman" w:hAnsi="Times New Roman" w:cs="Times New Roman"/>
                <w:color w:val="auto"/>
                <w:kern w:val="0"/>
                <w:sz w:val="24"/>
                <w:szCs w:val="24"/>
                <w:u w:val="none" w:color="auto"/>
                <w:lang w:val="en-US" w:eastAsia="zh-CN" w:bidi="ar"/>
              </w:rPr>
              <w:t>，配套隔油</w:t>
            </w:r>
            <w:r>
              <w:rPr>
                <w:rFonts w:hint="eastAsia" w:cs="Times New Roman"/>
                <w:color w:val="auto"/>
                <w:kern w:val="0"/>
                <w:sz w:val="24"/>
                <w:szCs w:val="24"/>
                <w:u w:val="none" w:color="auto"/>
                <w:lang w:val="en-US" w:eastAsia="zh-CN" w:bidi="ar"/>
              </w:rPr>
              <w:t>沉淀</w:t>
            </w:r>
            <w:r>
              <w:rPr>
                <w:rFonts w:hint="eastAsia" w:ascii="Times New Roman" w:hAnsi="Times New Roman" w:cs="Times New Roman"/>
                <w:color w:val="auto"/>
                <w:kern w:val="0"/>
                <w:sz w:val="24"/>
                <w:szCs w:val="24"/>
                <w:u w:val="none" w:color="auto"/>
                <w:lang w:val="en-US" w:eastAsia="zh-CN" w:bidi="ar"/>
              </w:rPr>
              <w:t>池1个，容积约36m</w:t>
            </w:r>
            <w:r>
              <w:rPr>
                <w:rFonts w:hint="eastAsia" w:ascii="Times New Roman" w:hAnsi="Times New Roman" w:cs="Times New Roman"/>
                <w:color w:val="auto"/>
                <w:kern w:val="0"/>
                <w:sz w:val="24"/>
                <w:szCs w:val="24"/>
                <w:u w:val="none" w:color="auto"/>
                <w:vertAlign w:val="superscript"/>
                <w:lang w:val="en-US" w:eastAsia="zh-CN" w:bidi="ar"/>
              </w:rPr>
              <w:t>3</w:t>
            </w:r>
            <w:r>
              <w:rPr>
                <w:rFonts w:hint="eastAsia" w:ascii="Times New Roman" w:hAnsi="Times New Roman" w:cs="Times New Roman"/>
                <w:color w:val="auto"/>
                <w:kern w:val="0"/>
                <w:sz w:val="24"/>
                <w:szCs w:val="24"/>
                <w:u w:val="none" w:color="auto"/>
                <w:lang w:val="en-US" w:eastAsia="zh-CN" w:bidi="ar"/>
              </w:rPr>
              <w:t>，尺寸约为</w:t>
            </w:r>
            <w:r>
              <w:rPr>
                <w:rFonts w:hint="eastAsia" w:cs="Times New Roman"/>
                <w:color w:val="auto"/>
                <w:kern w:val="0"/>
                <w:sz w:val="24"/>
                <w:szCs w:val="24"/>
                <w:u w:val="none" w:color="auto"/>
                <w:lang w:val="en-US" w:eastAsia="zh-CN" w:bidi="ar"/>
              </w:rPr>
              <w:t>3</w:t>
            </w:r>
            <w:r>
              <w:rPr>
                <w:rFonts w:hint="eastAsia" w:ascii="Times New Roman" w:hAnsi="Times New Roman" w:cs="Times New Roman"/>
                <w:color w:val="auto"/>
                <w:kern w:val="0"/>
                <w:sz w:val="24"/>
                <w:szCs w:val="24"/>
                <w:u w:val="none" w:color="auto"/>
                <w:lang w:val="en-US" w:eastAsia="zh-CN" w:bidi="ar"/>
              </w:rPr>
              <w:t>m×3m×4m</w:t>
            </w:r>
            <w:r>
              <w:rPr>
                <w:rFonts w:hint="eastAsia" w:cs="Times New Roman"/>
                <w:color w:val="auto"/>
                <w:kern w:val="0"/>
                <w:sz w:val="24"/>
                <w:szCs w:val="24"/>
                <w:u w:val="none" w:color="auto"/>
                <w:lang w:val="en-US" w:eastAsia="zh-CN" w:bidi="ar"/>
              </w:rPr>
              <w:t>；</w:t>
            </w:r>
          </w:p>
          <w:p>
            <w:pPr>
              <w:pStyle w:val="31"/>
              <w:pageBreakBefore w:val="0"/>
              <w:kinsoku/>
              <w:overflowPunct/>
              <w:bidi w:val="0"/>
              <w:rPr>
                <w:rFonts w:hint="eastAsia" w:cs="Times New Roman"/>
                <w:color w:val="auto"/>
                <w:kern w:val="0"/>
                <w:sz w:val="24"/>
                <w:szCs w:val="24"/>
                <w:u w:val="none" w:color="auto"/>
                <w:lang w:val="en-US" w:eastAsia="zh-CN" w:bidi="ar"/>
              </w:rPr>
            </w:pPr>
            <w:r>
              <w:rPr>
                <w:rFonts w:hint="eastAsia" w:cs="Times New Roman"/>
                <w:color w:val="auto"/>
                <w:kern w:val="0"/>
                <w:sz w:val="24"/>
                <w:szCs w:val="24"/>
                <w:u w:val="none" w:color="auto"/>
                <w:lang w:val="en-US" w:eastAsia="zh-CN" w:bidi="ar"/>
              </w:rPr>
              <w:t>气浮机工艺：利用小气泡或微小气泡使介质中的杂质浮出水面机器。对水体中含有的一些比重接近于水的细微籍其自重难于下沉或上浮即可采用该气浮装置。主要处理悬浮物。</w:t>
            </w:r>
          </w:p>
          <w:p>
            <w:pPr>
              <w:pStyle w:val="31"/>
              <w:pageBreakBefore w:val="0"/>
              <w:kinsoku/>
              <w:overflowPunct/>
              <w:bidi w:val="0"/>
              <w:rPr>
                <w:rFonts w:hint="default" w:cs="Times New Roman"/>
                <w:color w:val="auto"/>
                <w:kern w:val="0"/>
                <w:sz w:val="24"/>
                <w:szCs w:val="24"/>
                <w:u w:val="none" w:color="auto"/>
                <w:lang w:val="en-US" w:eastAsia="zh-CN" w:bidi="ar"/>
              </w:rPr>
            </w:pPr>
            <w:r>
              <w:rPr>
                <w:rFonts w:hint="default" w:cs="Times New Roman"/>
                <w:color w:val="auto"/>
                <w:kern w:val="0"/>
                <w:sz w:val="24"/>
                <w:szCs w:val="24"/>
                <w:u w:val="none" w:color="auto"/>
                <w:lang w:val="en-US" w:eastAsia="zh-CN" w:bidi="ar"/>
              </w:rPr>
              <w:t xml:space="preserve">油水分离器工艺：含有油脂和浮渣的污水经进水管道流入除渣筐，大颗粒油脂和浮渣被渣筐拦截并沉积下来，除渣后的污水经过隔板进入除油区，此时悬浮类油脂很快上升至水表面，重力作用下污水流速逐渐趋于稳定，利用油水的密度差，污水中浮油很快分离至污水表面，漂浮油脂得以初步分离。此时漂浮油脂聚集越多，达到一定量时类油脂将通过排油阀自然流出，排油处需设有盛油容器。去除浮油后的污水经阻流隔板与分 离隔板的再次强行作用，污水从处理滤芯的下端入口自下而上进行过滤处理，被油脂包裹的细小渣滓微粒得以拦截过滤，然后污水从各芯片溢出口汇集到纵向出水通道，最后从纵向出水通道经过滤器出口流出。 </w:t>
            </w:r>
          </w:p>
          <w:p>
            <w:pPr>
              <w:pStyle w:val="25"/>
              <w:bidi w:val="0"/>
              <w:rPr>
                <w:rFonts w:hint="eastAsia"/>
                <w:lang w:val="en-US" w:eastAsia="zh-CN"/>
              </w:rPr>
            </w:pPr>
            <w:r>
              <w:rPr>
                <w:rFonts w:hint="eastAsia"/>
                <w:lang w:val="en-US" w:eastAsia="zh-CN"/>
              </w:rPr>
              <w:t>根据厂家提供资料，油水分离器、气浮机处理效率为 60%~90%，初期雨水和拖把清洗废水经油水分离器、气浮机处理后可</w:t>
            </w:r>
            <w:r>
              <w:rPr>
                <w:rFonts w:hint="eastAsia" w:ascii="Times New Roman" w:hAnsi="Times New Roman" w:cs="Times New Roman"/>
                <w:color w:val="auto"/>
                <w:u w:val="none" w:color="auto"/>
                <w:lang w:val="en-US" w:eastAsia="zh-CN"/>
              </w:rPr>
              <w:t>达到</w:t>
            </w:r>
            <w:r>
              <w:rPr>
                <w:rFonts w:hint="default" w:ascii="Times New Roman" w:hAnsi="Times New Roman" w:cs="Times New Roman"/>
                <w:color w:val="auto"/>
                <w:u w:val="none" w:color="auto"/>
                <w:lang w:eastAsia="zh-CN"/>
              </w:rPr>
              <w:t>《污水综合排放标准》（G8978-1996）表4中三级标准</w:t>
            </w:r>
            <w:r>
              <w:rPr>
                <w:rFonts w:hint="eastAsia" w:ascii="Times New Roman" w:hAnsi="Times New Roman" w:eastAsia="宋体" w:cs="Times New Roman"/>
                <w:bCs/>
                <w:sz w:val="24"/>
                <w:szCs w:val="24"/>
                <w:lang w:val="en-US" w:eastAsia="zh-CN"/>
              </w:rPr>
              <w:t>。</w:t>
            </w:r>
            <w:r>
              <w:rPr>
                <w:rFonts w:hint="eastAsia"/>
                <w:lang w:val="en-US" w:eastAsia="zh-CN"/>
              </w:rPr>
              <w:t xml:space="preserve"> </w:t>
            </w:r>
          </w:p>
          <w:p>
            <w:pPr>
              <w:pStyle w:val="25"/>
              <w:bidi w:val="0"/>
              <w:rPr>
                <w:rFonts w:hint="eastAsia"/>
                <w:lang w:val="en-US" w:eastAsia="zh-CN"/>
              </w:rPr>
            </w:pPr>
            <w:r>
              <w:rPr>
                <w:rFonts w:hint="eastAsia"/>
                <w:lang w:val="en-US" w:eastAsia="zh-CN"/>
              </w:rPr>
              <w:t>根据《排污许可证申请与核发技术规范 废弃资源加工工业》（HJ1034-2019）表9中的可行性技术</w:t>
            </w:r>
            <w:r>
              <w:rPr>
                <w:rFonts w:hint="eastAsia" w:ascii="宋体" w:hAnsi="宋体" w:eastAsia="宋体" w:cs="宋体"/>
                <w:lang w:val="en-US" w:eastAsia="zh-CN"/>
              </w:rPr>
              <w:t>“</w:t>
            </w:r>
            <w:r>
              <w:rPr>
                <w:rFonts w:hint="eastAsia"/>
                <w:lang w:val="en-US" w:eastAsia="zh-CN"/>
              </w:rPr>
              <w:t>均质+隔油池+絮凝+沉淀</w:t>
            </w:r>
            <w:r>
              <w:rPr>
                <w:rFonts w:hint="eastAsia" w:ascii="宋体" w:hAnsi="宋体" w:eastAsia="宋体" w:cs="宋体"/>
                <w:lang w:val="en-US" w:eastAsia="zh-CN"/>
              </w:rPr>
              <w:t>，</w:t>
            </w:r>
            <w:r>
              <w:rPr>
                <w:rFonts w:hint="eastAsia"/>
                <w:lang w:val="en-US" w:eastAsia="zh-CN"/>
              </w:rPr>
              <w:t>均质+隔油池+絮凝+沉淀+过滤等组合处理技术</w:t>
            </w:r>
            <w:r>
              <w:rPr>
                <w:rFonts w:hint="eastAsia" w:ascii="宋体" w:hAnsi="宋体" w:eastAsia="宋体" w:cs="宋体"/>
                <w:lang w:val="en-US" w:eastAsia="zh-CN"/>
              </w:rPr>
              <w:t>，</w:t>
            </w:r>
            <w:r>
              <w:rPr>
                <w:rFonts w:hint="eastAsia"/>
                <w:lang w:val="en-US" w:eastAsia="zh-CN"/>
              </w:rPr>
              <w:t>其他</w:t>
            </w:r>
            <w:r>
              <w:rPr>
                <w:rFonts w:hint="eastAsia" w:ascii="宋体" w:hAnsi="宋体" w:eastAsia="宋体" w:cs="宋体"/>
                <w:lang w:val="en-US" w:eastAsia="zh-CN"/>
              </w:rPr>
              <w:t>”。</w:t>
            </w:r>
            <w:r>
              <w:rPr>
                <w:rFonts w:hint="eastAsia"/>
                <w:lang w:val="en-US" w:eastAsia="zh-CN"/>
              </w:rPr>
              <w:t>本项目废水处理措施隔油沉淀池（</w:t>
            </w:r>
            <w:r>
              <w:rPr>
                <w:rFonts w:hint="default"/>
                <w:lang w:val="en-US" w:eastAsia="zh-CN"/>
              </w:rPr>
              <w:t>油水分离</w:t>
            </w:r>
            <w:r>
              <w:rPr>
                <w:rFonts w:hint="eastAsia"/>
                <w:lang w:val="en-US" w:eastAsia="zh-CN"/>
              </w:rPr>
              <w:t>器+气浮机）为可行技术</w:t>
            </w:r>
            <w:r>
              <w:rPr>
                <w:rFonts w:hint="eastAsia" w:ascii="宋体" w:hAnsi="宋体" w:eastAsia="宋体" w:cs="宋体"/>
                <w:lang w:val="en-US" w:eastAsia="zh-CN"/>
              </w:rPr>
              <w:t>。</w:t>
            </w:r>
          </w:p>
          <w:p>
            <w:pPr>
              <w:keepNext w:val="0"/>
              <w:keepLines w:val="0"/>
              <w:widowControl/>
              <w:suppressLineNumbers w:val="0"/>
              <w:ind w:firstLine="480" w:firstLineChars="200"/>
              <w:jc w:val="left"/>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（2）依托污水处理设施的环境可行性分析</w:t>
            </w:r>
          </w:p>
          <w:p>
            <w:pPr>
              <w:pStyle w:val="2"/>
              <w:rPr>
                <w:color w:val="auto"/>
              </w:rPr>
            </w:pPr>
            <w:r>
              <w:rPr>
                <w:color w:val="auto"/>
              </w:rPr>
              <w:t>归阳污水处理厂位于归阳工业园东南约1km处，总设计处理能力为2万m</w:t>
            </w:r>
            <w:r>
              <w:rPr>
                <w:color w:val="auto"/>
                <w:vertAlign w:val="superscript"/>
              </w:rPr>
              <w:t>3</w:t>
            </w:r>
            <w:r>
              <w:rPr>
                <w:color w:val="auto"/>
              </w:rPr>
              <w:t>/d，污水厂及管网分两期建设，一期规模为1万m</w:t>
            </w:r>
            <w:r>
              <w:rPr>
                <w:color w:val="auto"/>
                <w:vertAlign w:val="superscript"/>
              </w:rPr>
              <w:t>3</w:t>
            </w:r>
            <w:r>
              <w:rPr>
                <w:color w:val="auto"/>
              </w:rPr>
              <w:t>/d，主要纳污范围为园区近期规划范围内的生产、生活废水和归阳镇中心城区的生活污水。二期拟扩容至2万m</w:t>
            </w:r>
            <w:r>
              <w:rPr>
                <w:color w:val="auto"/>
                <w:vertAlign w:val="superscript"/>
              </w:rPr>
              <w:t>3</w:t>
            </w:r>
            <w:r>
              <w:rPr>
                <w:color w:val="auto"/>
              </w:rPr>
              <w:t>/d，主要纳污范围为整个园区内的生产、生活废水和归阳镇的生活污水。根据园区废水特征，采用改良型A2/O处理工艺，最终处理达到《城镇污水处理厂污染物排放标准》（GB18918-2002）中的一级B标准后外排湘江。关于A2/O工艺流程如下所示：</w:t>
            </w:r>
          </w:p>
          <w:p>
            <w:pPr>
              <w:keepNext w:val="0"/>
              <w:keepLines w:val="0"/>
              <w:widowControl/>
              <w:suppressLineNumbers w:val="0"/>
              <w:ind w:firstLine="480" w:firstLineChars="200"/>
              <w:jc w:val="left"/>
              <w:rPr>
                <w:rFonts w:hint="eastAsia" w:ascii="Times New Roman" w:hAnsi="Times New Roman" w:eastAsia="宋体" w:cs="Times New Roman"/>
                <w:bCs/>
                <w:kern w:val="2"/>
                <w:sz w:val="24"/>
                <w:szCs w:val="24"/>
                <w:lang w:val="en-US" w:eastAsia="zh-CN" w:bidi="ar-SA"/>
              </w:rPr>
            </w:pPr>
          </w:p>
          <w:p>
            <w:pPr>
              <w:pStyle w:val="31"/>
              <w:pageBreakBefore w:val="0"/>
              <w:kinsoku/>
              <w:overflowPunct/>
              <w:bidi w:val="0"/>
              <w:rPr>
                <w:rFonts w:hint="default" w:cs="Times New Roman"/>
                <w:color w:val="auto"/>
                <w:kern w:val="0"/>
                <w:sz w:val="24"/>
                <w:szCs w:val="24"/>
                <w:u w:val="none" w:color="auto"/>
                <w:lang w:val="en-US" w:eastAsia="zh-CN" w:bidi="ar"/>
              </w:rPr>
            </w:pPr>
          </w:p>
          <w:p>
            <w:pPr>
              <w:pStyle w:val="31"/>
              <w:pageBreakBefore w:val="0"/>
              <w:kinsoku/>
              <w:overflowPunct/>
              <w:bidi w:val="0"/>
              <w:rPr>
                <w:rFonts w:hint="default" w:cs="Times New Roman"/>
                <w:color w:val="auto"/>
                <w:kern w:val="0"/>
                <w:sz w:val="24"/>
                <w:szCs w:val="24"/>
                <w:u w:val="none" w:color="auto"/>
                <w:lang w:val="en-US" w:eastAsia="zh-CN" w:bidi="ar"/>
              </w:rPr>
            </w:pPr>
          </w:p>
          <w:p>
            <w:pPr>
              <w:pStyle w:val="31"/>
              <w:pageBreakBefore w:val="0"/>
              <w:kinsoku/>
              <w:overflowPunct/>
              <w:bidi w:val="0"/>
              <w:rPr>
                <w:rFonts w:hint="default" w:cs="Times New Roman"/>
                <w:color w:val="auto"/>
                <w:kern w:val="0"/>
                <w:sz w:val="24"/>
                <w:szCs w:val="24"/>
                <w:u w:val="none" w:color="auto"/>
                <w:lang w:val="en-US" w:eastAsia="zh-CN" w:bidi="ar"/>
              </w:rPr>
            </w:pPr>
          </w:p>
          <w:p>
            <w:pPr>
              <w:pStyle w:val="32"/>
              <w:ind w:firstLine="480"/>
              <w:rPr>
                <w:rFonts w:hint="default" w:ascii="Times New Roman" w:hAnsi="Times New Roman" w:eastAsia="宋体" w:cs="Times New Roman"/>
                <w:bCs/>
                <w:sz w:val="24"/>
                <w:szCs w:val="24"/>
                <w:lang w:val="en-US" w:eastAsia="zh-CN"/>
              </w:rPr>
            </w:pPr>
            <w:r>
              <w:rPr>
                <w:color w:val="auto"/>
                <w:highlight w:val="none"/>
              </w:rPr>
              <w:drawing>
                <wp:anchor distT="0" distB="0" distL="114300" distR="114300" simplePos="0" relativeHeight="251664384" behindDoc="1" locked="0" layoutInCell="1" allowOverlap="1">
                  <wp:simplePos x="0" y="0"/>
                  <wp:positionH relativeFrom="column">
                    <wp:posOffset>64135</wp:posOffset>
                  </wp:positionH>
                  <wp:positionV relativeFrom="paragraph">
                    <wp:posOffset>-531495</wp:posOffset>
                  </wp:positionV>
                  <wp:extent cx="4897120" cy="1642110"/>
                  <wp:effectExtent l="0" t="0" r="10160" b="3810"/>
                  <wp:wrapNone/>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7"/>
                          <a:stretch>
                            <a:fillRect/>
                          </a:stretch>
                        </pic:blipFill>
                        <pic:spPr>
                          <a:xfrm>
                            <a:off x="0" y="0"/>
                            <a:ext cx="4897120" cy="1642110"/>
                          </a:xfrm>
                          <a:prstGeom prst="rect">
                            <a:avLst/>
                          </a:prstGeom>
                          <a:noFill/>
                          <a:ln w="9525">
                            <a:noFill/>
                            <a:miter/>
                          </a:ln>
                        </pic:spPr>
                      </pic:pic>
                    </a:graphicData>
                  </a:graphic>
                </wp:anchor>
              </w:drawing>
            </w:r>
          </w:p>
          <w:p>
            <w:pPr>
              <w:pStyle w:val="5"/>
            </w:pPr>
          </w:p>
          <w:p>
            <w:pPr>
              <w:pStyle w:val="32"/>
              <w:ind w:firstLine="480"/>
              <w:rPr>
                <w:rFonts w:hint="default" w:ascii="宋体" w:hAnsi="宋体" w:eastAsia="宋体" w:cs="宋体"/>
                <w:color w:val="auto"/>
                <w:kern w:val="0"/>
                <w:sz w:val="24"/>
                <w:szCs w:val="24"/>
                <w:lang w:val="en-US" w:eastAsia="zh-CN" w:bidi="ar"/>
              </w:rPr>
            </w:pPr>
          </w:p>
          <w:p>
            <w:pPr>
              <w:pStyle w:val="40"/>
              <w:ind w:firstLine="420"/>
              <w:rPr>
                <w:rFonts w:hint="default" w:ascii="Times New Roman" w:hAnsi="Times New Roman" w:eastAsia="宋体" w:cs="Times New Roman"/>
                <w:b/>
                <w:bCs/>
                <w:color w:val="auto"/>
                <w:sz w:val="24"/>
                <w:szCs w:val="24"/>
                <w:u w:val="none" w:color="auto"/>
              </w:rPr>
            </w:pPr>
          </w:p>
          <w:p>
            <w:pPr>
              <w:pStyle w:val="5"/>
              <w:jc w:val="center"/>
              <w:rPr>
                <w:rFonts w:hint="eastAsia" w:ascii="Times New Roman" w:hAnsi="Times New Roman" w:eastAsia="宋体" w:cs="Times New Roman"/>
                <w:b/>
                <w:bCs/>
                <w:color w:val="auto"/>
                <w:kern w:val="2"/>
                <w:sz w:val="21"/>
                <w:szCs w:val="21"/>
                <w:lang w:val="en-US" w:eastAsia="zh-CN" w:bidi="ar-SA"/>
              </w:rPr>
            </w:pPr>
            <w:r>
              <w:rPr>
                <w:rFonts w:hint="eastAsia" w:ascii="Times New Roman" w:hAnsi="Times New Roman" w:eastAsia="宋体" w:cs="Times New Roman"/>
                <w:b/>
                <w:bCs/>
                <w:color w:val="auto"/>
                <w:kern w:val="2"/>
                <w:sz w:val="21"/>
                <w:szCs w:val="21"/>
                <w:lang w:val="en-US" w:eastAsia="zh-CN" w:bidi="ar-SA"/>
              </w:rPr>
              <w:t>图4-1归阳污水处理厂污水处理工艺流程说明</w:t>
            </w:r>
          </w:p>
          <w:p>
            <w:pPr>
              <w:keepNext w:val="0"/>
              <w:keepLines w:val="0"/>
              <w:widowControl/>
              <w:suppressLineNumbers w:val="0"/>
              <w:ind w:firstLine="480" w:firstLineChars="200"/>
              <w:jc w:val="left"/>
              <w:rPr>
                <w:rFonts w:hint="default" w:ascii="Times New Roman" w:hAnsi="Times New Roman" w:eastAsia="宋体" w:cs="Times New Roman"/>
                <w:bCs/>
                <w:kern w:val="2"/>
                <w:sz w:val="24"/>
                <w:szCs w:val="24"/>
                <w:lang w:val="en-US" w:eastAsia="zh-CN" w:bidi="ar-SA"/>
              </w:rPr>
            </w:pPr>
            <w:r>
              <w:rPr>
                <w:rFonts w:hint="default" w:ascii="Times New Roman" w:hAnsi="Times New Roman" w:eastAsia="宋体" w:cs="Times New Roman"/>
                <w:bCs/>
                <w:kern w:val="2"/>
                <w:sz w:val="24"/>
                <w:szCs w:val="24"/>
                <w:lang w:val="en-US" w:eastAsia="zh-CN" w:bidi="ar-SA"/>
              </w:rPr>
              <w:fldChar w:fldCharType="begin"/>
            </w:r>
            <w:r>
              <w:rPr>
                <w:rFonts w:hint="default" w:ascii="Times New Roman" w:hAnsi="Times New Roman" w:eastAsia="宋体" w:cs="Times New Roman"/>
                <w:bCs/>
                <w:kern w:val="2"/>
                <w:sz w:val="24"/>
                <w:szCs w:val="24"/>
                <w:lang w:val="en-US" w:eastAsia="zh-CN" w:bidi="ar-SA"/>
              </w:rPr>
              <w:instrText xml:space="preserve"> = 1 \* GB3 </w:instrText>
            </w:r>
            <w:r>
              <w:rPr>
                <w:rFonts w:hint="default" w:ascii="Times New Roman" w:hAnsi="Times New Roman" w:eastAsia="宋体" w:cs="Times New Roman"/>
                <w:bCs/>
                <w:kern w:val="2"/>
                <w:sz w:val="24"/>
                <w:szCs w:val="24"/>
                <w:lang w:val="en-US" w:eastAsia="zh-CN" w:bidi="ar-SA"/>
              </w:rPr>
              <w:fldChar w:fldCharType="separate"/>
            </w:r>
            <w:r>
              <w:rPr>
                <w:rFonts w:hint="default" w:ascii="Times New Roman" w:hAnsi="Times New Roman" w:eastAsia="宋体" w:cs="Times New Roman"/>
                <w:bCs/>
                <w:kern w:val="2"/>
                <w:sz w:val="24"/>
                <w:szCs w:val="24"/>
                <w:lang w:val="en-US" w:eastAsia="zh-CN" w:bidi="ar-SA"/>
              </w:rPr>
              <w:t>①</w:t>
            </w:r>
            <w:r>
              <w:rPr>
                <w:rFonts w:hint="default" w:ascii="Times New Roman" w:hAnsi="Times New Roman" w:eastAsia="宋体" w:cs="Times New Roman"/>
                <w:bCs/>
                <w:kern w:val="2"/>
                <w:sz w:val="24"/>
                <w:szCs w:val="24"/>
                <w:lang w:val="en-US" w:eastAsia="zh-CN" w:bidi="ar-SA"/>
              </w:rPr>
              <w:fldChar w:fldCharType="end"/>
            </w:r>
            <w:r>
              <w:rPr>
                <w:rFonts w:hint="default" w:ascii="Times New Roman" w:hAnsi="Times New Roman" w:eastAsia="宋体" w:cs="Times New Roman"/>
                <w:bCs/>
                <w:kern w:val="2"/>
                <w:sz w:val="24"/>
                <w:szCs w:val="24"/>
                <w:lang w:val="en-US" w:eastAsia="zh-CN" w:bidi="ar-SA"/>
              </w:rPr>
              <w:t>废水外排路径分析</w:t>
            </w:r>
          </w:p>
          <w:p>
            <w:pPr>
              <w:keepNext w:val="0"/>
              <w:keepLines w:val="0"/>
              <w:widowControl/>
              <w:suppressLineNumbers w:val="0"/>
              <w:ind w:firstLine="480" w:firstLineChars="200"/>
              <w:jc w:val="left"/>
              <w:rPr>
                <w:rFonts w:hint="eastAsia" w:ascii="Times New Roman" w:hAnsi="Times New Roman" w:eastAsia="宋体" w:cs="Times New Roman"/>
                <w:bCs/>
                <w:kern w:val="2"/>
                <w:sz w:val="24"/>
                <w:szCs w:val="24"/>
                <w:lang w:val="en-US" w:eastAsia="zh-CN" w:bidi="ar-SA"/>
              </w:rPr>
            </w:pPr>
            <w:r>
              <w:rPr>
                <w:rFonts w:hint="default" w:ascii="Times New Roman" w:hAnsi="Times New Roman" w:eastAsia="宋体" w:cs="Times New Roman"/>
                <w:bCs/>
                <w:kern w:val="2"/>
                <w:sz w:val="24"/>
                <w:szCs w:val="24"/>
                <w:lang w:val="en-US" w:eastAsia="zh-CN" w:bidi="ar-SA"/>
              </w:rPr>
              <w:t>本项目所在地位于</w:t>
            </w:r>
            <w:r>
              <w:rPr>
                <w:rFonts w:hint="eastAsia" w:ascii="Times New Roman" w:hAnsi="Times New Roman" w:eastAsia="宋体" w:cs="Times New Roman"/>
                <w:bCs/>
                <w:kern w:val="2"/>
                <w:sz w:val="24"/>
                <w:szCs w:val="24"/>
                <w:lang w:val="en-US" w:eastAsia="zh-CN" w:bidi="ar-SA"/>
              </w:rPr>
              <w:t>归阳污水处理厂</w:t>
            </w:r>
            <w:r>
              <w:rPr>
                <w:rFonts w:hint="default" w:ascii="Times New Roman" w:hAnsi="Times New Roman" w:eastAsia="宋体" w:cs="Times New Roman"/>
                <w:bCs/>
                <w:kern w:val="2"/>
                <w:sz w:val="24"/>
                <w:szCs w:val="24"/>
                <w:lang w:val="en-US" w:eastAsia="zh-CN" w:bidi="ar-SA"/>
              </w:rPr>
              <w:t>服务范围，项目建成后，厂区</w:t>
            </w:r>
            <w:r>
              <w:rPr>
                <w:rFonts w:hint="eastAsia" w:ascii="Times New Roman" w:hAnsi="Times New Roman" w:eastAsia="宋体" w:cs="Times New Roman"/>
                <w:bCs/>
                <w:kern w:val="2"/>
                <w:sz w:val="24"/>
                <w:szCs w:val="24"/>
                <w:lang w:val="en-US" w:eastAsia="zh-CN" w:bidi="ar-SA"/>
              </w:rPr>
              <w:t>生活污水经化粪池处理达到《污水综合排放标准》（G8978-1996）表4中三级标准</w:t>
            </w:r>
            <w:r>
              <w:rPr>
                <w:rFonts w:hint="default" w:ascii="Times New Roman" w:hAnsi="Times New Roman" w:eastAsia="宋体" w:cs="Times New Roman"/>
                <w:bCs/>
                <w:kern w:val="2"/>
                <w:sz w:val="24"/>
                <w:szCs w:val="24"/>
                <w:lang w:val="en-US" w:eastAsia="zh-CN" w:bidi="ar-SA"/>
              </w:rPr>
              <w:t>从厂区</w:t>
            </w:r>
            <w:r>
              <w:rPr>
                <w:rFonts w:hint="eastAsia" w:ascii="Times New Roman" w:hAnsi="Times New Roman" w:eastAsia="宋体" w:cs="Times New Roman"/>
                <w:bCs/>
                <w:kern w:val="2"/>
                <w:sz w:val="24"/>
                <w:szCs w:val="24"/>
                <w:lang w:val="en-US" w:eastAsia="zh-CN" w:bidi="ar-SA"/>
              </w:rPr>
              <w:t>生活污水排放口DW001</w:t>
            </w:r>
            <w:r>
              <w:rPr>
                <w:rFonts w:hint="default" w:ascii="Times New Roman" w:hAnsi="Times New Roman" w:eastAsia="宋体" w:cs="Times New Roman"/>
                <w:bCs/>
                <w:kern w:val="2"/>
                <w:sz w:val="24"/>
                <w:szCs w:val="24"/>
                <w:lang w:val="en-US" w:eastAsia="zh-CN" w:bidi="ar-SA"/>
              </w:rPr>
              <w:t>接入</w:t>
            </w:r>
            <w:r>
              <w:rPr>
                <w:rFonts w:hint="eastAsia" w:ascii="Times New Roman" w:hAnsi="Times New Roman" w:eastAsia="宋体" w:cs="Times New Roman"/>
                <w:bCs/>
                <w:kern w:val="2"/>
                <w:sz w:val="24"/>
                <w:szCs w:val="24"/>
                <w:lang w:val="en-US" w:eastAsia="zh-CN" w:bidi="ar-SA"/>
              </w:rPr>
              <w:t>园区</w:t>
            </w:r>
            <w:r>
              <w:rPr>
                <w:rFonts w:hint="default" w:ascii="Times New Roman" w:hAnsi="Times New Roman" w:eastAsia="宋体" w:cs="Times New Roman"/>
                <w:bCs/>
                <w:kern w:val="2"/>
                <w:sz w:val="24"/>
                <w:szCs w:val="24"/>
                <w:lang w:val="en-US" w:eastAsia="zh-CN" w:bidi="ar-SA"/>
              </w:rPr>
              <w:t>污水管网，排入</w:t>
            </w:r>
            <w:r>
              <w:rPr>
                <w:rFonts w:hint="eastAsia" w:ascii="Times New Roman" w:hAnsi="Times New Roman" w:eastAsia="宋体" w:cs="Times New Roman"/>
                <w:bCs/>
                <w:kern w:val="2"/>
                <w:sz w:val="24"/>
                <w:szCs w:val="24"/>
                <w:lang w:val="en-US" w:eastAsia="zh-CN" w:bidi="ar-SA"/>
              </w:rPr>
              <w:t>归阳污水处理厂</w:t>
            </w:r>
            <w:r>
              <w:rPr>
                <w:rFonts w:hint="default" w:ascii="Times New Roman" w:hAnsi="Times New Roman" w:eastAsia="宋体" w:cs="Times New Roman"/>
                <w:bCs/>
                <w:kern w:val="2"/>
                <w:sz w:val="24"/>
                <w:szCs w:val="24"/>
                <w:lang w:val="en-US" w:eastAsia="zh-CN" w:bidi="ar-SA"/>
              </w:rPr>
              <w:t>，最终达标排放，尾水注入</w:t>
            </w:r>
            <w:r>
              <w:rPr>
                <w:rFonts w:hint="eastAsia" w:ascii="Times New Roman" w:hAnsi="Times New Roman" w:eastAsia="宋体" w:cs="Times New Roman"/>
                <w:bCs/>
                <w:kern w:val="2"/>
                <w:sz w:val="24"/>
                <w:szCs w:val="24"/>
                <w:lang w:val="en-US" w:eastAsia="zh-CN" w:bidi="ar-SA"/>
              </w:rPr>
              <w:t>湘江</w:t>
            </w:r>
            <w:r>
              <w:rPr>
                <w:rFonts w:hint="default" w:ascii="Times New Roman" w:hAnsi="Times New Roman" w:eastAsia="宋体" w:cs="Times New Roman"/>
                <w:bCs/>
                <w:kern w:val="2"/>
                <w:sz w:val="24"/>
                <w:szCs w:val="24"/>
                <w:lang w:val="en-US" w:eastAsia="zh-CN" w:bidi="ar-SA"/>
              </w:rPr>
              <w:t>。</w:t>
            </w:r>
            <w:r>
              <w:rPr>
                <w:rFonts w:hint="eastAsia" w:ascii="Times New Roman" w:hAnsi="Times New Roman" w:eastAsia="宋体" w:cs="Times New Roman"/>
                <w:bCs/>
                <w:kern w:val="2"/>
                <w:sz w:val="24"/>
                <w:szCs w:val="24"/>
                <w:lang w:val="en-US" w:eastAsia="zh-CN" w:bidi="ar-SA"/>
              </w:rPr>
              <w:t>初期雨水和拖把清洗废水经隔油沉淀处理《污水综合排放标准》（G8978-1996）表4中三级标准</w:t>
            </w:r>
            <w:r>
              <w:rPr>
                <w:rFonts w:hint="default" w:ascii="Times New Roman" w:hAnsi="Times New Roman" w:eastAsia="宋体" w:cs="Times New Roman"/>
                <w:bCs/>
                <w:kern w:val="2"/>
                <w:sz w:val="24"/>
                <w:szCs w:val="24"/>
                <w:lang w:val="en-US" w:eastAsia="zh-CN" w:bidi="ar-SA"/>
              </w:rPr>
              <w:t>通过</w:t>
            </w:r>
            <w:r>
              <w:rPr>
                <w:rFonts w:hint="eastAsia" w:ascii="Times New Roman" w:hAnsi="Times New Roman" w:eastAsia="宋体" w:cs="Times New Roman"/>
                <w:bCs/>
                <w:kern w:val="2"/>
                <w:sz w:val="24"/>
                <w:szCs w:val="24"/>
                <w:lang w:val="en-US" w:eastAsia="zh-CN" w:bidi="ar-SA"/>
              </w:rPr>
              <w:t>生产</w:t>
            </w:r>
            <w:r>
              <w:rPr>
                <w:rFonts w:hint="default" w:ascii="Times New Roman" w:hAnsi="Times New Roman" w:eastAsia="宋体" w:cs="Times New Roman"/>
                <w:bCs/>
                <w:kern w:val="2"/>
                <w:sz w:val="24"/>
                <w:szCs w:val="24"/>
                <w:lang w:val="en-US" w:eastAsia="zh-CN" w:bidi="ar-SA"/>
              </w:rPr>
              <w:t>废水</w:t>
            </w:r>
            <w:r>
              <w:rPr>
                <w:rFonts w:hint="eastAsia" w:ascii="Times New Roman" w:hAnsi="Times New Roman" w:eastAsia="宋体" w:cs="Times New Roman"/>
                <w:bCs/>
                <w:kern w:val="2"/>
                <w:sz w:val="24"/>
                <w:szCs w:val="24"/>
                <w:lang w:val="en-US" w:eastAsia="zh-CN" w:bidi="ar-SA"/>
              </w:rPr>
              <w:t>总</w:t>
            </w:r>
            <w:r>
              <w:rPr>
                <w:rFonts w:hint="default" w:ascii="Times New Roman" w:hAnsi="Times New Roman" w:eastAsia="宋体" w:cs="Times New Roman"/>
                <w:bCs/>
                <w:kern w:val="2"/>
                <w:sz w:val="24"/>
                <w:szCs w:val="24"/>
                <w:lang w:val="en-US" w:eastAsia="zh-CN" w:bidi="ar-SA"/>
              </w:rPr>
              <w:t>排放口</w:t>
            </w:r>
            <w:r>
              <w:rPr>
                <w:rFonts w:hint="eastAsia" w:ascii="Times New Roman" w:hAnsi="Times New Roman" w:eastAsia="宋体" w:cs="Times New Roman"/>
                <w:bCs/>
                <w:kern w:val="2"/>
                <w:sz w:val="24"/>
                <w:szCs w:val="24"/>
                <w:lang w:val="en-US" w:eastAsia="zh-CN" w:bidi="ar-SA"/>
              </w:rPr>
              <w:t>DW002</w:t>
            </w:r>
            <w:r>
              <w:rPr>
                <w:rFonts w:hint="default" w:ascii="Times New Roman" w:hAnsi="Times New Roman" w:eastAsia="宋体" w:cs="Times New Roman"/>
                <w:bCs/>
                <w:kern w:val="2"/>
                <w:sz w:val="24"/>
                <w:szCs w:val="24"/>
                <w:lang w:val="en-US" w:eastAsia="zh-CN" w:bidi="ar-SA"/>
              </w:rPr>
              <w:t>排入进入归阳污水处理厂处理</w:t>
            </w:r>
            <w:r>
              <w:rPr>
                <w:rFonts w:hint="eastAsia" w:ascii="Times New Roman" w:hAnsi="Times New Roman" w:eastAsia="宋体" w:cs="Times New Roman"/>
                <w:bCs/>
                <w:kern w:val="2"/>
                <w:sz w:val="24"/>
                <w:szCs w:val="24"/>
                <w:lang w:val="en-US" w:eastAsia="zh-CN" w:bidi="ar-SA"/>
              </w:rPr>
              <w:t>。</w:t>
            </w:r>
          </w:p>
          <w:p>
            <w:pPr>
              <w:keepNext w:val="0"/>
              <w:keepLines w:val="0"/>
              <w:widowControl/>
              <w:suppressLineNumbers w:val="0"/>
              <w:ind w:firstLine="480" w:firstLineChars="200"/>
              <w:jc w:val="left"/>
              <w:rPr>
                <w:rFonts w:hint="default" w:ascii="Times New Roman" w:hAnsi="Times New Roman" w:eastAsia="宋体" w:cs="Times New Roman"/>
                <w:bCs/>
                <w:kern w:val="2"/>
                <w:sz w:val="24"/>
                <w:szCs w:val="24"/>
                <w:lang w:val="en-US" w:eastAsia="zh-CN" w:bidi="ar-SA"/>
              </w:rPr>
            </w:pPr>
            <w:bookmarkStart w:id="4" w:name="_Toc19640"/>
            <w:bookmarkStart w:id="5" w:name="_Toc7228"/>
            <w:bookmarkStart w:id="6" w:name="_Toc23383"/>
            <w:r>
              <w:rPr>
                <w:rFonts w:hint="eastAsia" w:ascii="Times New Roman" w:hAnsi="Times New Roman" w:eastAsia="宋体" w:cs="Times New Roman"/>
                <w:bCs/>
                <w:kern w:val="2"/>
                <w:sz w:val="24"/>
                <w:szCs w:val="24"/>
                <w:lang w:val="en-US" w:eastAsia="zh-CN" w:bidi="ar-SA"/>
              </w:rPr>
              <w:t>②</w:t>
            </w:r>
            <w:r>
              <w:rPr>
                <w:rFonts w:hint="default" w:ascii="Times New Roman" w:hAnsi="Times New Roman" w:eastAsia="宋体" w:cs="Times New Roman"/>
                <w:bCs/>
                <w:kern w:val="2"/>
                <w:sz w:val="24"/>
                <w:szCs w:val="24"/>
                <w:lang w:val="en-US" w:eastAsia="zh-CN" w:bidi="ar-SA"/>
              </w:rPr>
              <w:t>项目废水水量可接纳性</w:t>
            </w:r>
            <w:bookmarkEnd w:id="4"/>
            <w:bookmarkEnd w:id="5"/>
            <w:bookmarkEnd w:id="6"/>
          </w:p>
          <w:p>
            <w:pPr>
              <w:keepNext w:val="0"/>
              <w:keepLines w:val="0"/>
              <w:widowControl/>
              <w:suppressLineNumbers w:val="0"/>
              <w:ind w:firstLine="480" w:firstLineChars="200"/>
              <w:jc w:val="left"/>
              <w:rPr>
                <w:rFonts w:hint="default" w:ascii="Times New Roman" w:hAnsi="Times New Roman" w:eastAsia="宋体" w:cs="Times New Roman"/>
                <w:bCs/>
                <w:kern w:val="2"/>
                <w:sz w:val="24"/>
                <w:szCs w:val="24"/>
                <w:lang w:val="en-US" w:eastAsia="zh-CN" w:bidi="ar-SA"/>
              </w:rPr>
            </w:pPr>
            <w:r>
              <w:rPr>
                <w:rFonts w:hint="default" w:ascii="Times New Roman" w:hAnsi="Times New Roman" w:eastAsia="宋体" w:cs="Times New Roman"/>
                <w:bCs/>
                <w:kern w:val="2"/>
                <w:sz w:val="24"/>
                <w:szCs w:val="24"/>
                <w:lang w:val="en-US" w:eastAsia="zh-CN" w:bidi="ar-SA"/>
              </w:rPr>
              <w:t>项目废水排放总量为</w:t>
            </w:r>
            <w:r>
              <w:rPr>
                <w:rFonts w:hint="eastAsia" w:ascii="Times New Roman" w:hAnsi="Times New Roman" w:eastAsia="宋体" w:cs="Times New Roman"/>
                <w:bCs/>
                <w:kern w:val="2"/>
                <w:sz w:val="24"/>
                <w:szCs w:val="24"/>
                <w:lang w:val="en-US" w:eastAsia="zh-CN" w:bidi="ar-SA"/>
              </w:rPr>
              <w:t>4289.74</w:t>
            </w:r>
            <w:r>
              <w:rPr>
                <w:rFonts w:hint="default" w:ascii="Times New Roman" w:hAnsi="Times New Roman" w:eastAsia="宋体" w:cs="Times New Roman"/>
                <w:bCs/>
                <w:kern w:val="2"/>
                <w:sz w:val="24"/>
                <w:szCs w:val="24"/>
                <w:lang w:val="en-US" w:eastAsia="zh-CN" w:bidi="ar-SA"/>
              </w:rPr>
              <w:t>m</w:t>
            </w:r>
            <w:r>
              <w:rPr>
                <w:rFonts w:hint="default" w:ascii="Times New Roman" w:hAnsi="Times New Roman" w:eastAsia="宋体" w:cs="Times New Roman"/>
                <w:bCs/>
                <w:kern w:val="2"/>
                <w:sz w:val="24"/>
                <w:szCs w:val="24"/>
                <w:vertAlign w:val="superscript"/>
                <w:lang w:val="en-US" w:eastAsia="zh-CN" w:bidi="ar-SA"/>
              </w:rPr>
              <w:t>3</w:t>
            </w:r>
            <w:r>
              <w:rPr>
                <w:rFonts w:hint="default" w:ascii="Times New Roman" w:hAnsi="Times New Roman" w:eastAsia="宋体" w:cs="Times New Roman"/>
                <w:bCs/>
                <w:kern w:val="2"/>
                <w:sz w:val="24"/>
                <w:szCs w:val="24"/>
                <w:lang w:val="en-US" w:eastAsia="zh-CN" w:bidi="ar-SA"/>
              </w:rPr>
              <w:t>/a，即</w:t>
            </w:r>
            <w:r>
              <w:rPr>
                <w:rFonts w:hint="eastAsia" w:ascii="Times New Roman" w:hAnsi="Times New Roman" w:eastAsia="宋体" w:cs="Times New Roman"/>
                <w:bCs/>
                <w:kern w:val="2"/>
                <w:sz w:val="24"/>
                <w:szCs w:val="24"/>
                <w:lang w:val="en-US" w:eastAsia="zh-CN" w:bidi="ar-SA"/>
              </w:rPr>
              <w:t>14.299</w:t>
            </w:r>
            <w:r>
              <w:rPr>
                <w:rFonts w:hint="default" w:ascii="Times New Roman" w:hAnsi="Times New Roman" w:eastAsia="宋体" w:cs="Times New Roman"/>
                <w:bCs/>
                <w:kern w:val="2"/>
                <w:sz w:val="24"/>
                <w:szCs w:val="24"/>
                <w:lang w:val="en-US" w:eastAsia="zh-CN" w:bidi="ar-SA"/>
              </w:rPr>
              <w:t>m</w:t>
            </w:r>
            <w:r>
              <w:rPr>
                <w:rFonts w:hint="default" w:ascii="Times New Roman" w:hAnsi="Times New Roman" w:eastAsia="宋体" w:cs="Times New Roman"/>
                <w:bCs/>
                <w:kern w:val="2"/>
                <w:sz w:val="24"/>
                <w:szCs w:val="24"/>
                <w:vertAlign w:val="superscript"/>
                <w:lang w:val="en-US" w:eastAsia="zh-CN" w:bidi="ar-SA"/>
              </w:rPr>
              <w:t>3</w:t>
            </w:r>
            <w:r>
              <w:rPr>
                <w:rFonts w:hint="default" w:ascii="Times New Roman" w:hAnsi="Times New Roman" w:eastAsia="宋体" w:cs="Times New Roman"/>
                <w:bCs/>
                <w:kern w:val="2"/>
                <w:sz w:val="24"/>
                <w:szCs w:val="24"/>
                <w:lang w:val="en-US" w:eastAsia="zh-CN" w:bidi="ar-SA"/>
              </w:rPr>
              <w:t>/d，</w:t>
            </w:r>
            <w:r>
              <w:rPr>
                <w:rFonts w:hint="eastAsia" w:ascii="Times New Roman" w:hAnsi="Times New Roman" w:eastAsia="宋体" w:cs="Times New Roman"/>
                <w:bCs/>
                <w:kern w:val="2"/>
                <w:sz w:val="24"/>
                <w:szCs w:val="24"/>
                <w:lang w:val="en-US" w:eastAsia="zh-CN" w:bidi="ar-SA"/>
              </w:rPr>
              <w:t>归阳污水处理厂</w:t>
            </w:r>
            <w:r>
              <w:rPr>
                <w:rFonts w:hint="default" w:ascii="Times New Roman" w:hAnsi="Times New Roman" w:eastAsia="宋体" w:cs="Times New Roman"/>
                <w:bCs/>
                <w:kern w:val="2"/>
                <w:sz w:val="24"/>
                <w:szCs w:val="24"/>
                <w:lang w:val="en-US" w:eastAsia="zh-CN" w:bidi="ar-SA"/>
              </w:rPr>
              <w:t>处理规模为</w:t>
            </w:r>
            <w:r>
              <w:rPr>
                <w:rFonts w:hint="eastAsia" w:ascii="Times New Roman" w:hAnsi="Times New Roman" w:eastAsia="宋体" w:cs="Times New Roman"/>
                <w:bCs/>
                <w:kern w:val="2"/>
                <w:sz w:val="24"/>
                <w:szCs w:val="24"/>
                <w:lang w:val="en-US" w:eastAsia="zh-CN" w:bidi="ar-SA"/>
              </w:rPr>
              <w:t>1</w:t>
            </w:r>
            <w:r>
              <w:rPr>
                <w:rFonts w:hint="default" w:ascii="Times New Roman" w:hAnsi="Times New Roman" w:eastAsia="宋体" w:cs="Times New Roman"/>
                <w:bCs/>
                <w:kern w:val="2"/>
                <w:sz w:val="24"/>
                <w:szCs w:val="24"/>
                <w:lang w:val="en-US" w:eastAsia="zh-CN" w:bidi="ar-SA"/>
              </w:rPr>
              <w:t>万吨/日。项目废水排放量约占</w:t>
            </w:r>
            <w:r>
              <w:rPr>
                <w:rFonts w:hint="eastAsia" w:ascii="Times New Roman" w:hAnsi="Times New Roman" w:eastAsia="宋体" w:cs="Times New Roman"/>
                <w:bCs/>
                <w:kern w:val="2"/>
                <w:sz w:val="24"/>
                <w:szCs w:val="24"/>
                <w:lang w:val="en-US" w:eastAsia="zh-CN" w:bidi="ar-SA"/>
              </w:rPr>
              <w:t>归阳污水处理厂</w:t>
            </w:r>
            <w:r>
              <w:rPr>
                <w:rFonts w:hint="default" w:ascii="Times New Roman" w:hAnsi="Times New Roman" w:eastAsia="宋体" w:cs="Times New Roman"/>
                <w:bCs/>
                <w:kern w:val="2"/>
                <w:sz w:val="24"/>
                <w:szCs w:val="24"/>
                <w:lang w:val="en-US" w:eastAsia="zh-CN" w:bidi="ar-SA"/>
              </w:rPr>
              <w:t>日处理量的0.</w:t>
            </w:r>
            <w:r>
              <w:rPr>
                <w:rFonts w:hint="eastAsia" w:ascii="Times New Roman" w:hAnsi="Times New Roman" w:eastAsia="宋体" w:cs="Times New Roman"/>
                <w:bCs/>
                <w:kern w:val="2"/>
                <w:sz w:val="24"/>
                <w:szCs w:val="24"/>
                <w:lang w:val="en-US" w:eastAsia="zh-CN" w:bidi="ar-SA"/>
              </w:rPr>
              <w:t>143</w:t>
            </w:r>
            <w:r>
              <w:rPr>
                <w:rFonts w:hint="default" w:ascii="Times New Roman" w:hAnsi="Times New Roman" w:eastAsia="宋体" w:cs="Times New Roman"/>
                <w:bCs/>
                <w:kern w:val="2"/>
                <w:sz w:val="24"/>
                <w:szCs w:val="24"/>
                <w:lang w:val="en-US" w:eastAsia="zh-CN" w:bidi="ar-SA"/>
              </w:rPr>
              <w:t>%。因此，项目污水排入对污水处理厂的正常运营不会造成不利影响。</w:t>
            </w:r>
          </w:p>
          <w:p>
            <w:pPr>
              <w:keepNext w:val="0"/>
              <w:keepLines w:val="0"/>
              <w:widowControl/>
              <w:suppressLineNumbers w:val="0"/>
              <w:ind w:firstLine="480" w:firstLineChars="200"/>
              <w:jc w:val="left"/>
              <w:rPr>
                <w:rFonts w:hint="default" w:ascii="Times New Roman" w:hAnsi="Times New Roman" w:eastAsia="宋体" w:cs="Times New Roman"/>
                <w:bCs/>
                <w:kern w:val="2"/>
                <w:sz w:val="24"/>
                <w:szCs w:val="24"/>
                <w:lang w:val="en-US" w:eastAsia="zh-CN" w:bidi="ar-SA"/>
              </w:rPr>
            </w:pPr>
            <w:bookmarkStart w:id="7" w:name="_Toc10743"/>
            <w:bookmarkStart w:id="8" w:name="_Toc31598"/>
            <w:bookmarkStart w:id="9" w:name="_Toc14922"/>
            <w:r>
              <w:rPr>
                <w:rFonts w:hint="eastAsia" w:ascii="Times New Roman" w:hAnsi="Times New Roman" w:eastAsia="宋体" w:cs="Times New Roman"/>
                <w:bCs/>
                <w:kern w:val="2"/>
                <w:sz w:val="24"/>
                <w:szCs w:val="24"/>
                <w:lang w:val="en-US" w:eastAsia="zh-CN" w:bidi="ar-SA"/>
              </w:rPr>
              <w:t>③</w:t>
            </w:r>
            <w:r>
              <w:rPr>
                <w:rFonts w:hint="default" w:ascii="Times New Roman" w:hAnsi="Times New Roman" w:eastAsia="宋体" w:cs="Times New Roman"/>
                <w:bCs/>
                <w:kern w:val="2"/>
                <w:sz w:val="24"/>
                <w:szCs w:val="24"/>
                <w:lang w:val="en-US" w:eastAsia="zh-CN" w:bidi="ar-SA"/>
              </w:rPr>
              <w:t>项目废水水质可接纳性</w:t>
            </w:r>
            <w:bookmarkEnd w:id="7"/>
            <w:bookmarkEnd w:id="8"/>
            <w:bookmarkEnd w:id="9"/>
          </w:p>
          <w:p>
            <w:pPr>
              <w:keepNext w:val="0"/>
              <w:keepLines w:val="0"/>
              <w:widowControl/>
              <w:suppressLineNumbers w:val="0"/>
              <w:ind w:firstLine="480" w:firstLineChars="200"/>
              <w:jc w:val="left"/>
              <w:rPr>
                <w:rFonts w:hint="default" w:ascii="Times New Roman" w:hAnsi="Times New Roman" w:eastAsia="宋体" w:cs="Times New Roman"/>
                <w:bCs/>
                <w:kern w:val="2"/>
                <w:sz w:val="24"/>
                <w:szCs w:val="24"/>
                <w:lang w:val="en-US" w:eastAsia="zh-CN" w:bidi="ar-SA"/>
              </w:rPr>
            </w:pPr>
            <w:r>
              <w:rPr>
                <w:rFonts w:hint="default" w:ascii="Times New Roman" w:hAnsi="Times New Roman" w:eastAsia="宋体" w:cs="Times New Roman"/>
                <w:bCs/>
                <w:kern w:val="2"/>
                <w:sz w:val="24"/>
                <w:szCs w:val="24"/>
                <w:lang w:val="en-US" w:eastAsia="zh-CN" w:bidi="ar-SA"/>
              </w:rPr>
              <w:t>项目废水为生活污水</w:t>
            </w:r>
            <w:r>
              <w:rPr>
                <w:rFonts w:hint="eastAsia" w:ascii="Times New Roman" w:hAnsi="Times New Roman" w:eastAsia="宋体" w:cs="Times New Roman"/>
                <w:bCs/>
                <w:kern w:val="2"/>
                <w:sz w:val="24"/>
                <w:szCs w:val="24"/>
                <w:lang w:val="en-US" w:eastAsia="zh-CN" w:bidi="ar-SA"/>
              </w:rPr>
              <w:t>和拖把清洗、初期雨水</w:t>
            </w:r>
            <w:r>
              <w:rPr>
                <w:rFonts w:hint="default" w:ascii="Times New Roman" w:hAnsi="Times New Roman" w:eastAsia="宋体" w:cs="Times New Roman"/>
                <w:bCs/>
                <w:kern w:val="2"/>
                <w:sz w:val="24"/>
                <w:szCs w:val="24"/>
                <w:lang w:val="en-US" w:eastAsia="zh-CN" w:bidi="ar-SA"/>
              </w:rPr>
              <w:t>，</w:t>
            </w:r>
            <w:r>
              <w:rPr>
                <w:rFonts w:hint="eastAsia" w:ascii="Times New Roman" w:hAnsi="Times New Roman" w:eastAsia="宋体" w:cs="Times New Roman"/>
                <w:bCs/>
                <w:kern w:val="2"/>
                <w:sz w:val="24"/>
                <w:szCs w:val="24"/>
                <w:lang w:val="en-US" w:eastAsia="zh-CN" w:bidi="ar-SA"/>
              </w:rPr>
              <w:t>水质简单</w:t>
            </w:r>
            <w:r>
              <w:rPr>
                <w:rFonts w:hint="default" w:ascii="Times New Roman" w:hAnsi="Times New Roman" w:eastAsia="宋体" w:cs="Times New Roman"/>
                <w:bCs/>
                <w:kern w:val="2"/>
                <w:sz w:val="24"/>
                <w:szCs w:val="24"/>
                <w:lang w:val="en-US" w:eastAsia="zh-CN" w:bidi="ar-SA"/>
              </w:rPr>
              <w:t>，不含</w:t>
            </w:r>
            <w:r>
              <w:rPr>
                <w:rFonts w:hint="eastAsia" w:ascii="Times New Roman" w:hAnsi="Times New Roman" w:eastAsia="宋体" w:cs="Times New Roman"/>
                <w:bCs/>
                <w:kern w:val="2"/>
                <w:sz w:val="24"/>
                <w:szCs w:val="24"/>
                <w:lang w:val="en-US" w:eastAsia="zh-CN" w:bidi="ar-SA"/>
              </w:rPr>
              <w:t>重金属及持久性有机物</w:t>
            </w:r>
            <w:r>
              <w:rPr>
                <w:rFonts w:hint="default" w:ascii="Times New Roman" w:hAnsi="Times New Roman" w:eastAsia="宋体" w:cs="Times New Roman"/>
                <w:bCs/>
                <w:kern w:val="2"/>
                <w:sz w:val="24"/>
                <w:szCs w:val="24"/>
                <w:lang w:val="en-US" w:eastAsia="zh-CN" w:bidi="ar-SA"/>
              </w:rPr>
              <w:t>，通过厂内预处理后可达到污水处理厂的接管标准，不会对污水处理厂处理工艺造成影响。</w:t>
            </w:r>
          </w:p>
          <w:p>
            <w:pPr>
              <w:keepNext w:val="0"/>
              <w:keepLines w:val="0"/>
              <w:widowControl/>
              <w:suppressLineNumbers w:val="0"/>
              <w:ind w:firstLine="480" w:firstLineChars="200"/>
              <w:jc w:val="left"/>
              <w:rPr>
                <w:rFonts w:hint="default" w:ascii="Times New Roman" w:hAnsi="Times New Roman" w:eastAsia="宋体" w:cs="Times New Roman"/>
                <w:bCs/>
                <w:kern w:val="2"/>
                <w:sz w:val="24"/>
                <w:szCs w:val="24"/>
                <w:lang w:val="en-US" w:eastAsia="zh-CN" w:bidi="ar-SA"/>
              </w:rPr>
            </w:pPr>
            <w:r>
              <w:rPr>
                <w:rFonts w:hint="default" w:ascii="Times New Roman" w:hAnsi="Times New Roman" w:eastAsia="宋体" w:cs="Times New Roman"/>
                <w:bCs/>
                <w:kern w:val="2"/>
                <w:sz w:val="24"/>
                <w:szCs w:val="24"/>
                <w:lang w:val="en-US" w:eastAsia="zh-CN" w:bidi="ar-SA"/>
              </w:rPr>
              <w:t>因此项目废水水质适用于污水处理厂处理工艺，从水质角度来看，污水处理厂也可以接纳本项目废水。</w:t>
            </w:r>
          </w:p>
          <w:p>
            <w:pPr>
              <w:pageBreakBefore w:val="0"/>
              <w:kinsoku/>
              <w:overflowPunct/>
              <w:bidi w:val="0"/>
              <w:ind w:firstLine="482" w:firstLineChars="200"/>
              <w:rPr>
                <w:rFonts w:hint="default" w:ascii="Times New Roman" w:hAnsi="Times New Roman" w:eastAsia="宋体" w:cs="Times New Roman"/>
                <w:b/>
                <w:bCs/>
                <w:color w:val="auto"/>
                <w:sz w:val="24"/>
                <w:szCs w:val="24"/>
                <w:u w:val="none" w:color="auto"/>
                <w:lang w:val="en-US" w:eastAsia="zh-CN"/>
              </w:rPr>
            </w:pPr>
            <w:r>
              <w:rPr>
                <w:rFonts w:hint="eastAsia" w:ascii="Times New Roman" w:hAnsi="Times New Roman" w:eastAsia="宋体" w:cs="Times New Roman"/>
                <w:b/>
                <w:bCs/>
                <w:color w:val="auto"/>
                <w:sz w:val="24"/>
                <w:szCs w:val="24"/>
                <w:u w:val="none" w:color="auto"/>
                <w:lang w:val="en-US" w:eastAsia="zh-CN"/>
              </w:rPr>
              <w:t>3、排放口基本情况</w:t>
            </w:r>
          </w:p>
          <w:p>
            <w:pPr>
              <w:pStyle w:val="40"/>
              <w:ind w:firstLine="420"/>
              <w:rPr>
                <w:rFonts w:hint="eastAsia" w:ascii="Times New Roman" w:hAnsi="Times New Roman" w:eastAsia="宋体" w:cs="Times New Roman"/>
                <w:b/>
                <w:bCs/>
                <w:snapToGrid w:val="0"/>
                <w:color w:val="auto"/>
                <w:sz w:val="28"/>
                <w:szCs w:val="28"/>
                <w:u w:val="none" w:color="auto"/>
                <w:vertAlign w:val="baseline"/>
              </w:rPr>
            </w:pPr>
            <w:r>
              <w:rPr>
                <w:rFonts w:hint="default" w:ascii="Times New Roman" w:hAnsi="Times New Roman" w:eastAsia="宋体" w:cs="Times New Roman"/>
                <w:bCs/>
                <w:kern w:val="2"/>
                <w:sz w:val="24"/>
                <w:szCs w:val="24"/>
                <w:lang w:val="en-US" w:eastAsia="zh-CN" w:bidi="ar-SA"/>
              </w:rPr>
              <w:t>本项目废水排放信息表如下。</w:t>
            </w:r>
          </w:p>
        </w:tc>
      </w:tr>
    </w:tbl>
    <w:p>
      <w:pPr>
        <w:pStyle w:val="15"/>
        <w:keepNext w:val="0"/>
        <w:keepLines w:val="0"/>
        <w:pageBreakBefore w:val="0"/>
        <w:widowControl/>
        <w:kinsoku/>
        <w:wordWrap/>
        <w:overflowPunct/>
        <w:topLinePunct w:val="0"/>
        <w:autoSpaceDE/>
        <w:autoSpaceDN/>
        <w:bidi w:val="0"/>
        <w:adjustRightInd/>
        <w:snapToGrid/>
        <w:spacing w:before="0" w:beforeAutospacing="0" w:after="0" w:afterAutospacing="0" w:line="240" w:lineRule="auto"/>
        <w:jc w:val="both"/>
        <w:textAlignment w:val="auto"/>
        <w:outlineLvl w:val="0"/>
        <w:rPr>
          <w:rFonts w:hint="eastAsia" w:ascii="Times New Roman" w:hAnsi="Times New Roman" w:eastAsia="宋体" w:cs="Times New Roman"/>
          <w:b/>
          <w:bCs/>
          <w:snapToGrid w:val="0"/>
          <w:color w:val="auto"/>
          <w:sz w:val="28"/>
          <w:szCs w:val="28"/>
          <w:u w:val="none" w:color="auto"/>
        </w:rPr>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45"/>
        <w:pageBreakBefore w:val="0"/>
        <w:kinsoku/>
        <w:overflowPunct/>
        <w:bidi w:val="0"/>
        <w:spacing w:line="240" w:lineRule="auto"/>
        <w:rPr>
          <w:rFonts w:hint="default" w:ascii="Times New Roman" w:hAnsi="Times New Roman" w:eastAsia="宋体" w:cs="Times New Roman"/>
          <w:color w:val="auto"/>
          <w:sz w:val="21"/>
          <w:szCs w:val="21"/>
          <w:vertAlign w:val="baseline"/>
          <w:lang w:val="en-US" w:eastAsia="zh-CN"/>
        </w:rPr>
      </w:pPr>
      <w:r>
        <w:rPr>
          <w:rFonts w:hint="eastAsia" w:ascii="Times New Roman" w:hAnsi="Times New Roman" w:eastAsia="宋体" w:cs="Times New Roman"/>
          <w:color w:val="auto"/>
          <w:sz w:val="21"/>
          <w:szCs w:val="21"/>
          <w:lang w:val="en-US" w:eastAsia="zh-CN"/>
        </w:rPr>
        <w:t>表4-6</w:t>
      </w:r>
      <w:r>
        <w:rPr>
          <w:rFonts w:hint="default" w:ascii="Times New Roman" w:hAnsi="Times New Roman" w:eastAsia="宋体" w:cs="Times New Roman"/>
          <w:color w:val="auto"/>
          <w:sz w:val="21"/>
          <w:szCs w:val="21"/>
          <w:lang w:val="en-US" w:eastAsia="zh-CN"/>
        </w:rPr>
        <w:t>废水类别、污染物及污染治理设施信息表</w:t>
      </w:r>
    </w:p>
    <w:tbl>
      <w:tblPr>
        <w:tblStyle w:val="19"/>
        <w:tblW w:w="5000"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793"/>
        <w:gridCol w:w="931"/>
        <w:gridCol w:w="2159"/>
        <w:gridCol w:w="1033"/>
        <w:gridCol w:w="1682"/>
        <w:gridCol w:w="1719"/>
        <w:gridCol w:w="1155"/>
        <w:gridCol w:w="999"/>
        <w:gridCol w:w="1637"/>
        <w:gridCol w:w="1101"/>
        <w:gridCol w:w="96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08" w:hRule="atLeast"/>
        </w:trPr>
        <w:tc>
          <w:tcPr>
            <w:tcW w:w="280" w:type="pct"/>
            <w:vMerge w:val="restar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序号</w:t>
            </w:r>
          </w:p>
        </w:tc>
        <w:tc>
          <w:tcPr>
            <w:tcW w:w="328" w:type="pct"/>
            <w:vMerge w:val="restar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废水类别</w:t>
            </w:r>
          </w:p>
        </w:tc>
        <w:tc>
          <w:tcPr>
            <w:tcW w:w="761" w:type="pct"/>
            <w:vMerge w:val="restar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污染物种类</w:t>
            </w:r>
          </w:p>
        </w:tc>
        <w:tc>
          <w:tcPr>
            <w:tcW w:w="364" w:type="pct"/>
            <w:vMerge w:val="restar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排放去向</w:t>
            </w:r>
          </w:p>
        </w:tc>
        <w:tc>
          <w:tcPr>
            <w:tcW w:w="593" w:type="pct"/>
            <w:vMerge w:val="restar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排放规律</w:t>
            </w:r>
          </w:p>
        </w:tc>
        <w:tc>
          <w:tcPr>
            <w:tcW w:w="1365" w:type="pct"/>
            <w:gridSpan w:val="3"/>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p>
        </w:tc>
        <w:tc>
          <w:tcPr>
            <w:tcW w:w="577" w:type="pct"/>
            <w:vMerge w:val="restar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default" w:ascii="Times New Roman" w:hAnsi="Times New Roman" w:eastAsia="宋体" w:cs="Times New Roman"/>
                <w:color w:val="auto"/>
                <w:sz w:val="21"/>
                <w:szCs w:val="21"/>
                <w:u w:val="none" w:color="auto"/>
              </w:rPr>
              <w:t>排放口编号</w:t>
            </w:r>
          </w:p>
        </w:tc>
        <w:tc>
          <w:tcPr>
            <w:tcW w:w="388" w:type="pct"/>
            <w:vMerge w:val="restar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default" w:ascii="Times New Roman" w:hAnsi="Times New Roman" w:eastAsia="宋体" w:cs="Times New Roman"/>
                <w:color w:val="auto"/>
                <w:sz w:val="21"/>
                <w:szCs w:val="21"/>
                <w:u w:val="none" w:color="auto"/>
              </w:rPr>
              <w:t>排放口设置是否符合要求</w:t>
            </w:r>
          </w:p>
        </w:tc>
        <w:tc>
          <w:tcPr>
            <w:tcW w:w="340" w:type="pct"/>
            <w:vMerge w:val="restar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default" w:ascii="Times New Roman" w:hAnsi="Times New Roman" w:eastAsia="宋体" w:cs="Times New Roman"/>
                <w:color w:val="auto"/>
                <w:sz w:val="21"/>
                <w:szCs w:val="21"/>
                <w:u w:val="none" w:color="auto"/>
              </w:rPr>
              <w:t>排放口类型</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08" w:hRule="atLeast"/>
        </w:trPr>
        <w:tc>
          <w:tcPr>
            <w:tcW w:w="280" w:type="pct"/>
            <w:vMerge w:val="continue"/>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rPr>
            </w:pPr>
          </w:p>
        </w:tc>
        <w:tc>
          <w:tcPr>
            <w:tcW w:w="328" w:type="pct"/>
            <w:vMerge w:val="continue"/>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rPr>
            </w:pPr>
          </w:p>
        </w:tc>
        <w:tc>
          <w:tcPr>
            <w:tcW w:w="761" w:type="pct"/>
            <w:vMerge w:val="continue"/>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rPr>
            </w:pPr>
          </w:p>
        </w:tc>
        <w:tc>
          <w:tcPr>
            <w:tcW w:w="364" w:type="pct"/>
            <w:vMerge w:val="continue"/>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rPr>
            </w:pPr>
          </w:p>
        </w:tc>
        <w:tc>
          <w:tcPr>
            <w:tcW w:w="593" w:type="pct"/>
            <w:vMerge w:val="continue"/>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rPr>
            </w:pPr>
          </w:p>
        </w:tc>
        <w:tc>
          <w:tcPr>
            <w:tcW w:w="606"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default" w:ascii="Times New Roman" w:hAnsi="Times New Roman" w:eastAsia="宋体" w:cs="Times New Roman"/>
                <w:color w:val="auto"/>
                <w:sz w:val="21"/>
                <w:szCs w:val="21"/>
                <w:u w:val="none" w:color="auto"/>
                <w:lang w:val="en-US" w:eastAsia="zh-CN"/>
              </w:rPr>
              <w:t>污染治理设施 编号</w:t>
            </w:r>
          </w:p>
        </w:tc>
        <w:tc>
          <w:tcPr>
            <w:tcW w:w="407"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default" w:ascii="Times New Roman" w:hAnsi="Times New Roman" w:eastAsia="宋体" w:cs="Times New Roman"/>
                <w:color w:val="auto"/>
                <w:sz w:val="21"/>
                <w:szCs w:val="21"/>
                <w:u w:val="none" w:color="auto"/>
              </w:rPr>
              <w:t>污染治理设施名称</w:t>
            </w:r>
          </w:p>
        </w:tc>
        <w:tc>
          <w:tcPr>
            <w:tcW w:w="352"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default" w:ascii="Times New Roman" w:hAnsi="Times New Roman" w:eastAsia="宋体" w:cs="Times New Roman"/>
                <w:color w:val="auto"/>
                <w:sz w:val="21"/>
                <w:szCs w:val="21"/>
                <w:u w:val="none" w:color="auto"/>
              </w:rPr>
              <w:t>污染治理设施工艺</w:t>
            </w:r>
          </w:p>
        </w:tc>
        <w:tc>
          <w:tcPr>
            <w:tcW w:w="577" w:type="pct"/>
            <w:vMerge w:val="continue"/>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p>
        </w:tc>
        <w:tc>
          <w:tcPr>
            <w:tcW w:w="388" w:type="pct"/>
            <w:vMerge w:val="continue"/>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p>
        </w:tc>
        <w:tc>
          <w:tcPr>
            <w:tcW w:w="340" w:type="pct"/>
            <w:vMerge w:val="continue"/>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08" w:hRule="atLeast"/>
        </w:trPr>
        <w:tc>
          <w:tcPr>
            <w:tcW w:w="280" w:type="pct"/>
            <w:tcBorders>
              <w:tl2br w:val="nil"/>
              <w:tr2bl w:val="nil"/>
            </w:tcBorders>
            <w:vAlign w:val="center"/>
          </w:tcPr>
          <w:p>
            <w:pPr>
              <w:pStyle w:val="47"/>
              <w:jc w:val="center"/>
              <w:rPr>
                <w:rFonts w:hint="default" w:ascii="Times New Roman" w:hAnsi="Times New Roman" w:eastAsia="宋体" w:cs="Times New Roman"/>
                <w:color w:val="auto"/>
                <w:sz w:val="21"/>
                <w:szCs w:val="21"/>
                <w:u w:val="none" w:color="auto"/>
              </w:rPr>
            </w:pPr>
            <w:r>
              <w:rPr>
                <w:rFonts w:hint="default" w:ascii="Times New Roman" w:hAnsi="Times New Roman" w:cs="Times New Roman"/>
                <w:color w:val="auto"/>
                <w:sz w:val="21"/>
                <w:szCs w:val="21"/>
                <w:u w:val="none" w:color="auto"/>
              </w:rPr>
              <w:t>1</w:t>
            </w:r>
          </w:p>
        </w:tc>
        <w:tc>
          <w:tcPr>
            <w:tcW w:w="328" w:type="pct"/>
            <w:tcBorders>
              <w:tl2br w:val="nil"/>
              <w:tr2bl w:val="nil"/>
            </w:tcBorders>
            <w:vAlign w:val="center"/>
          </w:tcPr>
          <w:p>
            <w:pPr>
              <w:pStyle w:val="47"/>
              <w:jc w:val="center"/>
              <w:rPr>
                <w:rFonts w:hint="default" w:ascii="Times New Roman" w:hAnsi="Times New Roman" w:eastAsia="宋体" w:cs="Times New Roman"/>
                <w:color w:val="auto"/>
                <w:sz w:val="21"/>
                <w:szCs w:val="21"/>
                <w:u w:val="none" w:color="auto"/>
              </w:rPr>
            </w:pPr>
            <w:r>
              <w:rPr>
                <w:rFonts w:hint="default" w:ascii="Times New Roman" w:hAnsi="Times New Roman" w:cs="Times New Roman"/>
                <w:color w:val="auto"/>
                <w:sz w:val="21"/>
                <w:szCs w:val="21"/>
                <w:u w:val="none" w:color="auto"/>
              </w:rPr>
              <w:t>生活污水</w:t>
            </w:r>
          </w:p>
        </w:tc>
        <w:tc>
          <w:tcPr>
            <w:tcW w:w="761" w:type="pct"/>
            <w:tcBorders>
              <w:tl2br w:val="nil"/>
              <w:tr2bl w:val="nil"/>
            </w:tcBorders>
            <w:vAlign w:val="center"/>
          </w:tcPr>
          <w:p>
            <w:pPr>
              <w:pStyle w:val="47"/>
              <w:jc w:val="center"/>
              <w:rPr>
                <w:rFonts w:hint="default" w:ascii="Times New Roman" w:hAnsi="Times New Roman" w:eastAsia="宋体" w:cs="Times New Roman"/>
                <w:color w:val="auto"/>
                <w:sz w:val="21"/>
                <w:szCs w:val="21"/>
                <w:u w:val="none" w:color="auto"/>
                <w:lang w:val="en-US" w:eastAsia="zh-CN"/>
              </w:rPr>
            </w:pPr>
            <w:r>
              <w:rPr>
                <w:rFonts w:hint="default" w:ascii="Times New Roman" w:hAnsi="Times New Roman" w:cs="Times New Roman"/>
                <w:color w:val="auto"/>
                <w:sz w:val="21"/>
                <w:szCs w:val="21"/>
                <w:u w:val="none" w:color="auto"/>
              </w:rPr>
              <w:t>CODcr、BOD</w:t>
            </w:r>
            <w:r>
              <w:rPr>
                <w:rFonts w:hint="default" w:ascii="Times New Roman" w:hAnsi="Times New Roman" w:cs="Times New Roman"/>
                <w:color w:val="auto"/>
                <w:sz w:val="21"/>
                <w:szCs w:val="21"/>
                <w:u w:val="none" w:color="auto"/>
                <w:vertAlign w:val="subscript"/>
              </w:rPr>
              <w:t>5</w:t>
            </w:r>
            <w:r>
              <w:rPr>
                <w:rFonts w:hint="default" w:ascii="Times New Roman" w:hAnsi="Times New Roman" w:cs="Times New Roman"/>
                <w:color w:val="auto"/>
                <w:sz w:val="21"/>
                <w:szCs w:val="21"/>
                <w:u w:val="none" w:color="auto"/>
              </w:rPr>
              <w:t>、SS、氨氮</w:t>
            </w:r>
            <w:r>
              <w:rPr>
                <w:rFonts w:hint="eastAsia" w:cs="Times New Roman"/>
                <w:color w:val="auto"/>
                <w:sz w:val="21"/>
                <w:szCs w:val="21"/>
                <w:u w:val="none" w:color="auto"/>
                <w:lang w:eastAsia="zh-CN"/>
              </w:rPr>
              <w:t>、</w:t>
            </w:r>
            <w:r>
              <w:rPr>
                <w:rFonts w:hint="eastAsia" w:cs="Times New Roman"/>
                <w:color w:val="auto"/>
                <w:sz w:val="21"/>
                <w:szCs w:val="21"/>
                <w:u w:val="none" w:color="auto"/>
                <w:lang w:val="en-US" w:eastAsia="zh-CN"/>
              </w:rPr>
              <w:t>动植物油</w:t>
            </w:r>
          </w:p>
        </w:tc>
        <w:tc>
          <w:tcPr>
            <w:tcW w:w="364"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rPr>
            </w:pPr>
            <w:r>
              <w:rPr>
                <w:rFonts w:hint="default" w:ascii="Times New Roman" w:hAnsi="Times New Roman" w:cs="Times New Roman"/>
                <w:color w:val="auto"/>
                <w:sz w:val="21"/>
                <w:szCs w:val="21"/>
                <w:u w:val="none" w:color="auto"/>
              </w:rPr>
              <w:t>进入</w:t>
            </w:r>
            <w:r>
              <w:rPr>
                <w:rFonts w:hint="eastAsia" w:cs="Times New Roman"/>
                <w:color w:val="auto"/>
                <w:sz w:val="21"/>
                <w:szCs w:val="21"/>
                <w:u w:val="none" w:color="auto"/>
                <w:lang w:val="en-US" w:eastAsia="zh-CN"/>
              </w:rPr>
              <w:t>归阳</w:t>
            </w:r>
            <w:r>
              <w:rPr>
                <w:rFonts w:hint="default" w:ascii="Times New Roman" w:hAnsi="Times New Roman" w:cs="Times New Roman"/>
                <w:color w:val="auto"/>
                <w:sz w:val="21"/>
                <w:szCs w:val="21"/>
                <w:u w:val="none" w:color="auto"/>
              </w:rPr>
              <w:t>污水</w:t>
            </w:r>
            <w:r>
              <w:rPr>
                <w:rFonts w:hint="default" w:ascii="Times New Roman" w:hAnsi="Times New Roman" w:cs="Times New Roman"/>
                <w:color w:val="auto"/>
                <w:sz w:val="21"/>
                <w:szCs w:val="21"/>
                <w:u w:val="none" w:color="auto"/>
                <w:lang w:val="en-US" w:eastAsia="zh-CN"/>
              </w:rPr>
              <w:t>处理厂</w:t>
            </w:r>
          </w:p>
        </w:tc>
        <w:tc>
          <w:tcPr>
            <w:tcW w:w="593" w:type="pct"/>
            <w:vMerge w:val="restar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rPr>
            </w:pPr>
            <w:r>
              <w:rPr>
                <w:rFonts w:hint="eastAsia" w:ascii="Times New Roman" w:hAnsi="Times New Roman" w:cs="Times New Roman"/>
                <w:color w:val="auto"/>
                <w:kern w:val="0"/>
                <w:sz w:val="21"/>
                <w:szCs w:val="21"/>
                <w:highlight w:val="none"/>
                <w:u w:val="none" w:color="auto"/>
                <w:lang w:eastAsia="zh-CN"/>
              </w:rPr>
              <w:t>间歇排放</w:t>
            </w:r>
            <w:r>
              <w:rPr>
                <w:rFonts w:hint="default" w:ascii="Times New Roman" w:hAnsi="Times New Roman" w:cs="Times New Roman"/>
                <w:color w:val="auto"/>
                <w:kern w:val="0"/>
                <w:sz w:val="21"/>
                <w:szCs w:val="21"/>
                <w:highlight w:val="none"/>
                <w:u w:val="none" w:color="auto"/>
              </w:rPr>
              <w:t>，流量不稳定，但有周期性规律</w:t>
            </w:r>
          </w:p>
        </w:tc>
        <w:tc>
          <w:tcPr>
            <w:tcW w:w="606" w:type="pct"/>
            <w:tcBorders>
              <w:tl2br w:val="nil"/>
              <w:tr2bl w:val="nil"/>
            </w:tcBorders>
            <w:vAlign w:val="center"/>
          </w:tcPr>
          <w:p>
            <w:pPr>
              <w:pStyle w:val="47"/>
              <w:jc w:val="center"/>
              <w:rPr>
                <w:rFonts w:hint="default" w:ascii="Times New Roman" w:hAnsi="Times New Roman" w:eastAsia="宋体" w:cs="Times New Roman"/>
                <w:color w:val="auto"/>
                <w:sz w:val="21"/>
                <w:szCs w:val="21"/>
                <w:u w:val="none" w:color="auto"/>
                <w:lang w:val="en-US" w:eastAsia="zh-CN"/>
              </w:rPr>
            </w:pPr>
            <w:r>
              <w:rPr>
                <w:rFonts w:hint="eastAsia" w:cs="Times New Roman"/>
                <w:color w:val="auto"/>
                <w:sz w:val="21"/>
                <w:szCs w:val="21"/>
                <w:u w:val="none" w:color="auto"/>
                <w:lang w:val="en-US" w:eastAsia="zh-CN"/>
              </w:rPr>
              <w:t>TW001</w:t>
            </w:r>
          </w:p>
        </w:tc>
        <w:tc>
          <w:tcPr>
            <w:tcW w:w="407" w:type="pct"/>
            <w:tcBorders>
              <w:tl2br w:val="nil"/>
              <w:tr2bl w:val="nil"/>
            </w:tcBorders>
            <w:vAlign w:val="center"/>
          </w:tcPr>
          <w:p>
            <w:pPr>
              <w:pStyle w:val="47"/>
              <w:jc w:val="center"/>
              <w:rPr>
                <w:rFonts w:hint="default" w:ascii="Times New Roman" w:hAnsi="Times New Roman" w:eastAsia="宋体" w:cs="Times New Roman"/>
                <w:color w:val="auto"/>
                <w:sz w:val="21"/>
                <w:szCs w:val="21"/>
                <w:u w:val="none" w:color="auto"/>
              </w:rPr>
            </w:pPr>
            <w:r>
              <w:rPr>
                <w:rFonts w:hint="default" w:ascii="Times New Roman" w:hAnsi="Times New Roman" w:cs="Times New Roman"/>
                <w:color w:val="auto"/>
                <w:sz w:val="21"/>
                <w:szCs w:val="21"/>
                <w:u w:val="none" w:color="auto"/>
              </w:rPr>
              <w:t>化粪池</w:t>
            </w:r>
          </w:p>
        </w:tc>
        <w:tc>
          <w:tcPr>
            <w:tcW w:w="352" w:type="pct"/>
            <w:tcBorders>
              <w:tl2br w:val="nil"/>
              <w:tr2bl w:val="nil"/>
            </w:tcBorders>
            <w:vAlign w:val="center"/>
          </w:tcPr>
          <w:p>
            <w:pPr>
              <w:pStyle w:val="47"/>
              <w:jc w:val="center"/>
              <w:rPr>
                <w:rFonts w:hint="default" w:ascii="Times New Roman" w:hAnsi="Times New Roman" w:eastAsia="宋体" w:cs="Times New Roman"/>
                <w:color w:val="auto"/>
                <w:sz w:val="21"/>
                <w:szCs w:val="21"/>
                <w:u w:val="none" w:color="auto"/>
              </w:rPr>
            </w:pPr>
            <w:r>
              <w:rPr>
                <w:rFonts w:hint="eastAsia" w:cs="Times New Roman"/>
                <w:color w:val="auto"/>
                <w:sz w:val="21"/>
                <w:szCs w:val="21"/>
                <w:u w:val="none" w:color="auto"/>
                <w:lang w:eastAsia="zh-CN"/>
              </w:rPr>
              <w:t>厌氧发酵</w:t>
            </w:r>
          </w:p>
        </w:tc>
        <w:tc>
          <w:tcPr>
            <w:tcW w:w="577"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cs="Times New Roman"/>
                <w:color w:val="auto"/>
                <w:sz w:val="21"/>
                <w:szCs w:val="21"/>
                <w:u w:val="none" w:color="auto"/>
                <w:lang w:val="en-US" w:eastAsia="zh-CN"/>
              </w:rPr>
              <w:t>DW001</w:t>
            </w:r>
          </w:p>
        </w:tc>
        <w:tc>
          <w:tcPr>
            <w:tcW w:w="388"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eastAsia="宋体" w:cs="Times New Roman"/>
                <w:color w:val="auto"/>
                <w:sz w:val="21"/>
                <w:szCs w:val="21"/>
                <w:u w:val="none" w:color="auto"/>
                <w:lang w:val="en-US" w:eastAsia="zh-CN"/>
              </w:rPr>
              <w:t>是</w:t>
            </w:r>
          </w:p>
        </w:tc>
        <w:tc>
          <w:tcPr>
            <w:tcW w:w="340" w:type="pct"/>
            <w:tcBorders>
              <w:tl2br w:val="nil"/>
              <w:tr2bl w:val="nil"/>
            </w:tcBorders>
            <w:vAlign w:val="center"/>
          </w:tcPr>
          <w:p>
            <w:pPr>
              <w:pStyle w:val="47"/>
              <w:jc w:val="center"/>
              <w:rPr>
                <w:rFonts w:hint="default" w:ascii="Times New Roman" w:hAnsi="Times New Roman" w:eastAsia="宋体" w:cs="Times New Roman"/>
                <w:color w:val="auto"/>
                <w:sz w:val="21"/>
                <w:szCs w:val="21"/>
                <w:u w:val="none" w:color="auto"/>
                <w:lang w:val="en-US" w:eastAsia="zh-CN"/>
              </w:rPr>
            </w:pPr>
            <w:r>
              <w:rPr>
                <w:rFonts w:hint="eastAsia" w:cs="Times New Roman"/>
                <w:color w:val="auto"/>
                <w:sz w:val="21"/>
                <w:szCs w:val="21"/>
                <w:u w:val="none" w:color="auto"/>
                <w:lang w:val="en-US" w:eastAsia="zh-CN"/>
              </w:rPr>
              <w:t>生活污水排放口</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08" w:hRule="atLeast"/>
        </w:trPr>
        <w:tc>
          <w:tcPr>
            <w:tcW w:w="280" w:type="pct"/>
            <w:tcBorders>
              <w:tl2br w:val="nil"/>
              <w:tr2bl w:val="nil"/>
            </w:tcBorders>
            <w:vAlign w:val="center"/>
          </w:tcPr>
          <w:p>
            <w:pPr>
              <w:pStyle w:val="47"/>
              <w:jc w:val="center"/>
              <w:rPr>
                <w:rFonts w:hint="default" w:ascii="Times New Roman" w:hAnsi="Times New Roman" w:cs="Times New Roman"/>
                <w:color w:val="auto"/>
                <w:sz w:val="21"/>
                <w:szCs w:val="21"/>
                <w:u w:val="none" w:color="auto"/>
              </w:rPr>
            </w:pPr>
            <w:r>
              <w:rPr>
                <w:rFonts w:hint="eastAsia" w:cs="Times New Roman"/>
                <w:color w:val="auto"/>
                <w:sz w:val="21"/>
                <w:szCs w:val="21"/>
                <w:u w:val="none" w:color="auto"/>
                <w:lang w:val="en-US" w:eastAsia="zh-CN"/>
              </w:rPr>
              <w:t>2</w:t>
            </w:r>
          </w:p>
        </w:tc>
        <w:tc>
          <w:tcPr>
            <w:tcW w:w="328" w:type="pct"/>
            <w:tcBorders>
              <w:tl2br w:val="nil"/>
              <w:tr2bl w:val="nil"/>
            </w:tcBorders>
            <w:vAlign w:val="center"/>
          </w:tcPr>
          <w:p>
            <w:pPr>
              <w:pStyle w:val="47"/>
              <w:jc w:val="center"/>
              <w:rPr>
                <w:rFonts w:hint="default" w:ascii="Times New Roman" w:hAnsi="Times New Roman" w:eastAsia="宋体" w:cs="Times New Roman"/>
                <w:color w:val="auto"/>
                <w:sz w:val="21"/>
                <w:szCs w:val="21"/>
                <w:u w:val="none" w:color="auto"/>
                <w:lang w:val="en-US" w:eastAsia="zh-CN"/>
              </w:rPr>
            </w:pPr>
            <w:r>
              <w:rPr>
                <w:rFonts w:hint="eastAsia" w:cs="Times New Roman"/>
                <w:color w:val="auto"/>
                <w:sz w:val="21"/>
                <w:szCs w:val="21"/>
                <w:u w:val="none" w:color="auto"/>
                <w:lang w:val="en-US" w:eastAsia="zh-CN"/>
              </w:rPr>
              <w:t>拖把清洗废水</w:t>
            </w:r>
          </w:p>
        </w:tc>
        <w:tc>
          <w:tcPr>
            <w:tcW w:w="761" w:type="pct"/>
            <w:tcBorders>
              <w:tl2br w:val="nil"/>
              <w:tr2bl w:val="nil"/>
            </w:tcBorders>
            <w:vAlign w:val="center"/>
          </w:tcPr>
          <w:p>
            <w:pPr>
              <w:pStyle w:val="47"/>
              <w:jc w:val="center"/>
              <w:rPr>
                <w:rFonts w:hint="default" w:ascii="Times New Roman" w:hAnsi="Times New Roman" w:cs="Times New Roman"/>
                <w:color w:val="auto"/>
                <w:sz w:val="21"/>
                <w:szCs w:val="21"/>
                <w:u w:val="none" w:color="auto"/>
                <w:lang w:val="en-US"/>
              </w:rPr>
            </w:pPr>
            <w:r>
              <w:rPr>
                <w:rFonts w:hint="eastAsia" w:cs="Times New Roman"/>
                <w:color w:val="auto"/>
                <w:sz w:val="21"/>
                <w:szCs w:val="21"/>
                <w:u w:val="none" w:color="auto"/>
                <w:lang w:val="en-US" w:eastAsia="zh-CN"/>
              </w:rPr>
              <w:t>COD、</w:t>
            </w:r>
            <w:r>
              <w:rPr>
                <w:rFonts w:hint="default" w:ascii="Times New Roman" w:hAnsi="Times New Roman" w:cs="Times New Roman"/>
                <w:color w:val="auto"/>
                <w:sz w:val="21"/>
                <w:szCs w:val="21"/>
                <w:u w:val="none" w:color="auto"/>
              </w:rPr>
              <w:t>BOD</w:t>
            </w:r>
            <w:r>
              <w:rPr>
                <w:rFonts w:hint="default" w:ascii="Times New Roman" w:hAnsi="Times New Roman" w:cs="Times New Roman"/>
                <w:color w:val="auto"/>
                <w:sz w:val="21"/>
                <w:szCs w:val="21"/>
                <w:u w:val="none" w:color="auto"/>
                <w:vertAlign w:val="subscript"/>
              </w:rPr>
              <w:t>5</w:t>
            </w:r>
            <w:r>
              <w:rPr>
                <w:rFonts w:hint="eastAsia" w:cs="Times New Roman"/>
                <w:color w:val="auto"/>
                <w:sz w:val="21"/>
                <w:szCs w:val="21"/>
                <w:u w:val="none" w:color="auto"/>
                <w:vertAlign w:val="subscript"/>
                <w:lang w:eastAsia="zh-CN"/>
              </w:rPr>
              <w:t>、</w:t>
            </w:r>
            <w:r>
              <w:rPr>
                <w:rFonts w:hint="eastAsia" w:cs="Times New Roman"/>
                <w:color w:val="auto"/>
                <w:sz w:val="21"/>
                <w:szCs w:val="21"/>
                <w:u w:val="none" w:color="auto"/>
                <w:lang w:val="en-US" w:eastAsia="zh-CN"/>
              </w:rPr>
              <w:t>SS、氨氮、石油类</w:t>
            </w:r>
          </w:p>
        </w:tc>
        <w:tc>
          <w:tcPr>
            <w:tcW w:w="364"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rPr>
            </w:pPr>
            <w:r>
              <w:rPr>
                <w:rFonts w:hint="default" w:ascii="Times New Roman" w:hAnsi="Times New Roman" w:cs="Times New Roman"/>
                <w:color w:val="auto"/>
                <w:sz w:val="21"/>
                <w:szCs w:val="21"/>
                <w:u w:val="none" w:color="auto"/>
              </w:rPr>
              <w:t>进入</w:t>
            </w:r>
            <w:r>
              <w:rPr>
                <w:rFonts w:hint="eastAsia" w:cs="Times New Roman"/>
                <w:color w:val="auto"/>
                <w:sz w:val="21"/>
                <w:szCs w:val="21"/>
                <w:u w:val="none" w:color="auto"/>
                <w:lang w:val="en-US" w:eastAsia="zh-CN"/>
              </w:rPr>
              <w:t>归阳</w:t>
            </w:r>
            <w:r>
              <w:rPr>
                <w:rFonts w:hint="default" w:ascii="Times New Roman" w:hAnsi="Times New Roman" w:cs="Times New Roman"/>
                <w:color w:val="auto"/>
                <w:sz w:val="21"/>
                <w:szCs w:val="21"/>
                <w:u w:val="none" w:color="auto"/>
              </w:rPr>
              <w:t>污水</w:t>
            </w:r>
            <w:r>
              <w:rPr>
                <w:rFonts w:hint="default" w:ascii="Times New Roman" w:hAnsi="Times New Roman" w:cs="Times New Roman"/>
                <w:color w:val="auto"/>
                <w:sz w:val="21"/>
                <w:szCs w:val="21"/>
                <w:u w:val="none" w:color="auto"/>
                <w:lang w:val="en-US" w:eastAsia="zh-CN"/>
              </w:rPr>
              <w:t>处理厂</w:t>
            </w:r>
          </w:p>
        </w:tc>
        <w:tc>
          <w:tcPr>
            <w:tcW w:w="593" w:type="pct"/>
            <w:vMerge w:val="continue"/>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rPr>
            </w:pPr>
          </w:p>
        </w:tc>
        <w:tc>
          <w:tcPr>
            <w:tcW w:w="606"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cs="Times New Roman"/>
                <w:color w:val="auto"/>
                <w:sz w:val="21"/>
                <w:szCs w:val="21"/>
                <w:u w:val="none" w:color="auto"/>
                <w:lang w:val="en-US" w:eastAsia="zh-CN"/>
              </w:rPr>
              <w:t>TW002</w:t>
            </w:r>
          </w:p>
        </w:tc>
        <w:tc>
          <w:tcPr>
            <w:tcW w:w="407"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eastAsia="宋体" w:cs="Times New Roman"/>
                <w:color w:val="auto"/>
                <w:sz w:val="21"/>
                <w:szCs w:val="21"/>
                <w:u w:val="none" w:color="auto"/>
                <w:lang w:val="en-US" w:eastAsia="zh-CN"/>
              </w:rPr>
              <w:t>隔油沉淀池</w:t>
            </w:r>
          </w:p>
        </w:tc>
        <w:tc>
          <w:tcPr>
            <w:tcW w:w="352"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eastAsia="宋体" w:cs="Times New Roman"/>
                <w:color w:val="auto"/>
                <w:sz w:val="21"/>
                <w:szCs w:val="21"/>
                <w:u w:val="none" w:color="auto"/>
                <w:lang w:val="en-US" w:eastAsia="zh-CN"/>
              </w:rPr>
              <w:t>气浮+油水分离</w:t>
            </w:r>
          </w:p>
        </w:tc>
        <w:tc>
          <w:tcPr>
            <w:tcW w:w="577"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cs="Times New Roman"/>
                <w:color w:val="auto"/>
                <w:sz w:val="21"/>
                <w:szCs w:val="21"/>
                <w:u w:val="none" w:color="auto"/>
                <w:lang w:val="en-US" w:eastAsia="zh-CN"/>
              </w:rPr>
              <w:t>DW002</w:t>
            </w:r>
          </w:p>
        </w:tc>
        <w:tc>
          <w:tcPr>
            <w:tcW w:w="388"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eastAsia="宋体" w:cs="Times New Roman"/>
                <w:color w:val="auto"/>
                <w:sz w:val="21"/>
                <w:szCs w:val="21"/>
                <w:u w:val="none" w:color="auto"/>
                <w:lang w:val="en-US" w:eastAsia="zh-CN"/>
              </w:rPr>
              <w:t>是</w:t>
            </w:r>
          </w:p>
        </w:tc>
        <w:tc>
          <w:tcPr>
            <w:tcW w:w="340" w:type="pct"/>
            <w:tcBorders>
              <w:tl2br w:val="nil"/>
              <w:tr2bl w:val="nil"/>
            </w:tcBorders>
            <w:vAlign w:val="center"/>
          </w:tcPr>
          <w:p>
            <w:pPr>
              <w:pStyle w:val="47"/>
              <w:jc w:val="center"/>
              <w:rPr>
                <w:rFonts w:hint="default" w:ascii="Times New Roman" w:hAnsi="Times New Roman" w:eastAsia="宋体" w:cs="Times New Roman"/>
                <w:color w:val="auto"/>
                <w:sz w:val="21"/>
                <w:szCs w:val="21"/>
                <w:u w:val="none" w:color="auto"/>
                <w:lang w:val="en-US" w:eastAsia="zh-CN"/>
              </w:rPr>
            </w:pPr>
            <w:r>
              <w:rPr>
                <w:rFonts w:hint="eastAsia" w:cs="Times New Roman"/>
                <w:color w:val="auto"/>
                <w:sz w:val="21"/>
                <w:szCs w:val="21"/>
                <w:u w:val="none" w:color="auto"/>
                <w:lang w:val="en-US" w:eastAsia="zh-CN"/>
              </w:rPr>
              <w:t>生产废水排放口</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08" w:hRule="atLeast"/>
        </w:trPr>
        <w:tc>
          <w:tcPr>
            <w:tcW w:w="280" w:type="pct"/>
            <w:tcBorders>
              <w:tl2br w:val="nil"/>
              <w:tr2bl w:val="nil"/>
            </w:tcBorders>
            <w:vAlign w:val="center"/>
          </w:tcPr>
          <w:p>
            <w:pPr>
              <w:pStyle w:val="47"/>
              <w:jc w:val="center"/>
              <w:rPr>
                <w:rFonts w:hint="eastAsia" w:ascii="Times New Roman" w:hAnsi="Times New Roman" w:eastAsia="宋体" w:cs="Times New Roman"/>
                <w:color w:val="auto"/>
                <w:sz w:val="21"/>
                <w:szCs w:val="21"/>
                <w:u w:val="none" w:color="auto"/>
                <w:lang w:val="en-US" w:eastAsia="zh-CN"/>
              </w:rPr>
            </w:pPr>
            <w:r>
              <w:rPr>
                <w:rFonts w:hint="eastAsia" w:cs="Times New Roman"/>
                <w:color w:val="auto"/>
                <w:sz w:val="21"/>
                <w:szCs w:val="21"/>
                <w:u w:val="none" w:color="auto"/>
                <w:lang w:val="en-US" w:eastAsia="zh-CN"/>
              </w:rPr>
              <w:t>3</w:t>
            </w:r>
          </w:p>
        </w:tc>
        <w:tc>
          <w:tcPr>
            <w:tcW w:w="328" w:type="pct"/>
            <w:tcBorders>
              <w:tl2br w:val="nil"/>
              <w:tr2bl w:val="nil"/>
            </w:tcBorders>
            <w:vAlign w:val="center"/>
          </w:tcPr>
          <w:p>
            <w:pPr>
              <w:pStyle w:val="47"/>
              <w:jc w:val="center"/>
              <w:rPr>
                <w:rFonts w:hint="default" w:ascii="Times New Roman" w:hAnsi="Times New Roman" w:cs="Times New Roman"/>
                <w:color w:val="auto"/>
                <w:sz w:val="21"/>
                <w:szCs w:val="21"/>
                <w:u w:val="none" w:color="auto"/>
              </w:rPr>
            </w:pPr>
            <w:r>
              <w:rPr>
                <w:rFonts w:hint="eastAsia" w:cs="Times New Roman"/>
                <w:color w:val="auto"/>
                <w:sz w:val="21"/>
                <w:szCs w:val="21"/>
                <w:u w:val="none" w:color="auto"/>
                <w:lang w:eastAsia="zh-CN"/>
              </w:rPr>
              <w:t>初期雨水</w:t>
            </w:r>
          </w:p>
        </w:tc>
        <w:tc>
          <w:tcPr>
            <w:tcW w:w="761" w:type="pct"/>
            <w:tcBorders>
              <w:tl2br w:val="nil"/>
              <w:tr2bl w:val="nil"/>
            </w:tcBorders>
            <w:vAlign w:val="center"/>
          </w:tcPr>
          <w:p>
            <w:pPr>
              <w:pStyle w:val="47"/>
              <w:jc w:val="center"/>
              <w:rPr>
                <w:rFonts w:hint="default" w:ascii="Times New Roman" w:hAnsi="Times New Roman" w:cs="Times New Roman"/>
                <w:color w:val="auto"/>
                <w:sz w:val="21"/>
                <w:szCs w:val="21"/>
                <w:u w:val="none" w:color="auto"/>
              </w:rPr>
            </w:pPr>
            <w:r>
              <w:rPr>
                <w:rFonts w:hint="eastAsia" w:cs="Times New Roman"/>
                <w:color w:val="auto"/>
                <w:sz w:val="21"/>
                <w:szCs w:val="21"/>
                <w:u w:val="none" w:color="auto"/>
                <w:lang w:val="en-US" w:eastAsia="zh-CN"/>
              </w:rPr>
              <w:t>COD、</w:t>
            </w:r>
            <w:r>
              <w:rPr>
                <w:rFonts w:hint="default" w:ascii="Times New Roman" w:hAnsi="Times New Roman" w:cs="Times New Roman"/>
                <w:color w:val="auto"/>
                <w:sz w:val="21"/>
                <w:szCs w:val="21"/>
                <w:u w:val="none" w:color="auto"/>
              </w:rPr>
              <w:t>BOD</w:t>
            </w:r>
            <w:r>
              <w:rPr>
                <w:rFonts w:hint="default" w:ascii="Times New Roman" w:hAnsi="Times New Roman" w:cs="Times New Roman"/>
                <w:color w:val="auto"/>
                <w:sz w:val="21"/>
                <w:szCs w:val="21"/>
                <w:u w:val="none" w:color="auto"/>
                <w:vertAlign w:val="subscript"/>
              </w:rPr>
              <w:t>5</w:t>
            </w:r>
            <w:r>
              <w:rPr>
                <w:rFonts w:hint="eastAsia" w:cs="Times New Roman"/>
                <w:color w:val="auto"/>
                <w:sz w:val="21"/>
                <w:szCs w:val="21"/>
                <w:u w:val="none" w:color="auto"/>
                <w:vertAlign w:val="subscript"/>
                <w:lang w:eastAsia="zh-CN"/>
              </w:rPr>
              <w:t>、</w:t>
            </w:r>
            <w:r>
              <w:rPr>
                <w:rFonts w:hint="eastAsia" w:cs="Times New Roman"/>
                <w:color w:val="auto"/>
                <w:sz w:val="21"/>
                <w:szCs w:val="21"/>
                <w:u w:val="none" w:color="auto"/>
                <w:lang w:val="en-US" w:eastAsia="zh-CN"/>
              </w:rPr>
              <w:t>SS、氨氮、石油类</w:t>
            </w:r>
          </w:p>
        </w:tc>
        <w:tc>
          <w:tcPr>
            <w:tcW w:w="364"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rPr>
            </w:pPr>
            <w:r>
              <w:rPr>
                <w:rFonts w:hint="default" w:ascii="Times New Roman" w:hAnsi="Times New Roman" w:cs="Times New Roman"/>
                <w:color w:val="auto"/>
                <w:sz w:val="21"/>
                <w:szCs w:val="21"/>
                <w:u w:val="none" w:color="auto"/>
              </w:rPr>
              <w:t>进入</w:t>
            </w:r>
            <w:r>
              <w:rPr>
                <w:rFonts w:hint="eastAsia" w:cs="Times New Roman"/>
                <w:color w:val="auto"/>
                <w:sz w:val="21"/>
                <w:szCs w:val="21"/>
                <w:u w:val="none" w:color="auto"/>
                <w:lang w:val="en-US" w:eastAsia="zh-CN"/>
              </w:rPr>
              <w:t>归阳</w:t>
            </w:r>
            <w:r>
              <w:rPr>
                <w:rFonts w:hint="default" w:ascii="Times New Roman" w:hAnsi="Times New Roman" w:cs="Times New Roman"/>
                <w:color w:val="auto"/>
                <w:sz w:val="21"/>
                <w:szCs w:val="21"/>
                <w:u w:val="none" w:color="auto"/>
              </w:rPr>
              <w:t>污水</w:t>
            </w:r>
            <w:r>
              <w:rPr>
                <w:rFonts w:hint="default" w:ascii="Times New Roman" w:hAnsi="Times New Roman" w:cs="Times New Roman"/>
                <w:color w:val="auto"/>
                <w:sz w:val="21"/>
                <w:szCs w:val="21"/>
                <w:u w:val="none" w:color="auto"/>
                <w:lang w:val="en-US" w:eastAsia="zh-CN"/>
              </w:rPr>
              <w:t>处理厂</w:t>
            </w:r>
          </w:p>
        </w:tc>
        <w:tc>
          <w:tcPr>
            <w:tcW w:w="593" w:type="pct"/>
            <w:vMerge w:val="continue"/>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rPr>
            </w:pPr>
          </w:p>
        </w:tc>
        <w:tc>
          <w:tcPr>
            <w:tcW w:w="606"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cs="Times New Roman"/>
                <w:color w:val="auto"/>
                <w:sz w:val="21"/>
                <w:szCs w:val="21"/>
                <w:u w:val="none" w:color="auto"/>
                <w:lang w:val="en-US" w:eastAsia="zh-CN"/>
              </w:rPr>
              <w:t>TW002</w:t>
            </w:r>
          </w:p>
        </w:tc>
        <w:tc>
          <w:tcPr>
            <w:tcW w:w="407"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rPr>
            </w:pPr>
            <w:r>
              <w:rPr>
                <w:rFonts w:hint="eastAsia" w:eastAsia="宋体" w:cs="Times New Roman"/>
                <w:color w:val="auto"/>
                <w:sz w:val="21"/>
                <w:szCs w:val="21"/>
                <w:u w:val="none" w:color="auto"/>
                <w:lang w:val="en-US" w:eastAsia="zh-CN"/>
              </w:rPr>
              <w:t>初期雨水收集池+隔油沉淀池</w:t>
            </w:r>
          </w:p>
        </w:tc>
        <w:tc>
          <w:tcPr>
            <w:tcW w:w="352"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rPr>
            </w:pPr>
            <w:r>
              <w:rPr>
                <w:rFonts w:hint="eastAsia" w:eastAsia="宋体" w:cs="Times New Roman"/>
                <w:color w:val="auto"/>
                <w:sz w:val="21"/>
                <w:szCs w:val="21"/>
                <w:u w:val="none" w:color="auto"/>
                <w:lang w:val="en-US" w:eastAsia="zh-CN"/>
              </w:rPr>
              <w:t>气浮+油水分离</w:t>
            </w:r>
          </w:p>
        </w:tc>
        <w:tc>
          <w:tcPr>
            <w:tcW w:w="577"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cs="Times New Roman"/>
                <w:color w:val="auto"/>
                <w:sz w:val="21"/>
                <w:szCs w:val="21"/>
                <w:u w:val="none" w:color="auto"/>
                <w:lang w:val="en-US" w:eastAsia="zh-CN"/>
              </w:rPr>
              <w:t>DW002</w:t>
            </w:r>
          </w:p>
        </w:tc>
        <w:tc>
          <w:tcPr>
            <w:tcW w:w="388"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eastAsia="宋体" w:cs="Times New Roman"/>
                <w:color w:val="auto"/>
                <w:sz w:val="21"/>
                <w:szCs w:val="21"/>
                <w:u w:val="none" w:color="auto"/>
                <w:lang w:val="en-US" w:eastAsia="zh-CN"/>
              </w:rPr>
              <w:t>是</w:t>
            </w:r>
          </w:p>
        </w:tc>
        <w:tc>
          <w:tcPr>
            <w:tcW w:w="340" w:type="pct"/>
            <w:tcBorders>
              <w:tl2br w:val="nil"/>
              <w:tr2bl w:val="nil"/>
            </w:tcBorders>
            <w:vAlign w:val="center"/>
          </w:tcPr>
          <w:p>
            <w:pPr>
              <w:pStyle w:val="47"/>
              <w:jc w:val="center"/>
              <w:rPr>
                <w:rFonts w:hint="default" w:ascii="Times New Roman" w:hAnsi="Times New Roman" w:eastAsia="宋体" w:cs="Times New Roman"/>
                <w:color w:val="auto"/>
                <w:sz w:val="21"/>
                <w:szCs w:val="21"/>
                <w:u w:val="none" w:color="auto"/>
                <w:lang w:val="en-US" w:eastAsia="zh-CN"/>
              </w:rPr>
            </w:pPr>
            <w:r>
              <w:rPr>
                <w:rFonts w:hint="eastAsia" w:cs="Times New Roman"/>
                <w:color w:val="auto"/>
                <w:sz w:val="21"/>
                <w:szCs w:val="21"/>
                <w:u w:val="none" w:color="auto"/>
                <w:lang w:val="en-US" w:eastAsia="zh-CN"/>
              </w:rPr>
              <w:t>生产废水排放口</w:t>
            </w:r>
          </w:p>
        </w:tc>
      </w:tr>
    </w:tbl>
    <w:p>
      <w:pPr>
        <w:pStyle w:val="15"/>
        <w:keepNext w:val="0"/>
        <w:keepLines w:val="0"/>
        <w:pageBreakBefore w:val="0"/>
        <w:widowControl/>
        <w:kinsoku/>
        <w:wordWrap/>
        <w:overflowPunct/>
        <w:topLinePunct w:val="0"/>
        <w:autoSpaceDE/>
        <w:autoSpaceDN/>
        <w:bidi w:val="0"/>
        <w:adjustRightInd/>
        <w:snapToGrid/>
        <w:spacing w:before="0" w:beforeAutospacing="0" w:after="0" w:afterAutospacing="0" w:line="240" w:lineRule="auto"/>
        <w:jc w:val="both"/>
        <w:textAlignment w:val="auto"/>
        <w:outlineLvl w:val="0"/>
        <w:rPr>
          <w:rFonts w:hint="eastAsia" w:ascii="Times New Roman" w:hAnsi="Times New Roman" w:eastAsia="宋体" w:cs="Times New Roman"/>
          <w:b/>
          <w:bCs/>
          <w:snapToGrid w:val="0"/>
          <w:color w:val="auto"/>
          <w:sz w:val="28"/>
          <w:szCs w:val="28"/>
          <w:u w:val="none" w:color="auto"/>
        </w:rPr>
        <w:sectPr>
          <w:pgSz w:w="16838" w:h="11906" w:orient="landscape"/>
          <w:pgMar w:top="1800" w:right="1440" w:bottom="1800" w:left="1440" w:header="851" w:footer="992" w:gutter="0"/>
          <w:pgBorders>
            <w:top w:val="none" w:sz="0" w:space="0"/>
            <w:left w:val="none" w:sz="0" w:space="0"/>
            <w:bottom w:val="none" w:sz="0" w:space="0"/>
            <w:right w:val="none" w:sz="0" w:space="0"/>
          </w:pgBorders>
          <w:pgNumType w:fmt="decimal"/>
          <w:cols w:space="425" w:num="1"/>
          <w:docGrid w:type="lines" w:linePitch="312" w:charSpace="0"/>
        </w:sectPr>
      </w:pPr>
    </w:p>
    <w:tbl>
      <w:tblPr>
        <w:tblStyle w:val="19"/>
        <w:tblW w:w="9204" w:type="dxa"/>
        <w:tblInd w:w="-887"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00"/>
        <w:gridCol w:w="830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12" w:hRule="atLeast"/>
        </w:trPr>
        <w:tc>
          <w:tcPr>
            <w:tcW w:w="900" w:type="dxa"/>
          </w:tcPr>
          <w:p>
            <w:pPr>
              <w:pStyle w:val="15"/>
              <w:keepNext w:val="0"/>
              <w:keepLines w:val="0"/>
              <w:pageBreakBefore w:val="0"/>
              <w:widowControl/>
              <w:kinsoku/>
              <w:wordWrap/>
              <w:overflowPunct/>
              <w:topLinePunct w:val="0"/>
              <w:autoSpaceDE/>
              <w:autoSpaceDN/>
              <w:bidi w:val="0"/>
              <w:adjustRightInd/>
              <w:snapToGrid/>
              <w:spacing w:before="0" w:beforeAutospacing="0" w:after="0" w:afterAutospacing="0" w:line="240" w:lineRule="auto"/>
              <w:jc w:val="both"/>
              <w:textAlignment w:val="auto"/>
              <w:outlineLvl w:val="0"/>
              <w:rPr>
                <w:rFonts w:hint="eastAsia" w:ascii="Times New Roman" w:hAnsi="Times New Roman" w:eastAsia="宋体" w:cs="Times New Roman"/>
                <w:b/>
                <w:bCs/>
                <w:snapToGrid w:val="0"/>
                <w:color w:val="auto"/>
                <w:sz w:val="28"/>
                <w:szCs w:val="28"/>
                <w:u w:val="none" w:color="auto"/>
                <w:vertAlign w:val="baseline"/>
              </w:rPr>
            </w:pPr>
          </w:p>
        </w:tc>
        <w:tc>
          <w:tcPr>
            <w:tcW w:w="8304" w:type="dxa"/>
          </w:tcPr>
          <w:p>
            <w:pPr>
              <w:pStyle w:val="15"/>
              <w:keepNext w:val="0"/>
              <w:keepLines w:val="0"/>
              <w:pageBreakBefore w:val="0"/>
              <w:widowControl/>
              <w:kinsoku/>
              <w:wordWrap/>
              <w:overflowPunct/>
              <w:topLinePunct w:val="0"/>
              <w:autoSpaceDE/>
              <w:autoSpaceDN/>
              <w:bidi w:val="0"/>
              <w:adjustRightInd/>
              <w:snapToGrid/>
              <w:spacing w:before="0" w:beforeAutospacing="0" w:after="0" w:afterAutospacing="0" w:line="240" w:lineRule="auto"/>
              <w:jc w:val="center"/>
              <w:textAlignment w:val="auto"/>
              <w:outlineLvl w:val="0"/>
              <w:rPr>
                <w:rFonts w:hint="eastAsia" w:ascii="Times New Roman" w:hAnsi="Times New Roman" w:eastAsia="宋体" w:cs="Times New Roman"/>
                <w:b/>
                <w:bCs/>
                <w:snapToGrid w:val="0"/>
                <w:color w:val="auto"/>
                <w:sz w:val="28"/>
                <w:szCs w:val="28"/>
                <w:u w:val="none" w:color="auto"/>
                <w:vertAlign w:val="baseline"/>
              </w:rPr>
            </w:pPr>
            <w:r>
              <w:rPr>
                <w:rFonts w:hint="eastAsia" w:ascii="Times New Roman" w:hAnsi="Times New Roman" w:eastAsia="宋体" w:cs="Times New Roman"/>
                <w:b/>
                <w:bCs/>
                <w:color w:val="auto"/>
                <w:kern w:val="2"/>
                <w:sz w:val="21"/>
                <w:szCs w:val="21"/>
                <w:lang w:val="en-US" w:eastAsia="zh-CN" w:bidi="ar-SA"/>
              </w:rPr>
              <w:t>表4-7项目废水间接排放口基本情况表</w:t>
            </w:r>
          </w:p>
          <w:tbl>
            <w:tblPr>
              <w:tblStyle w:val="19"/>
              <w:tblW w:w="4999"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810"/>
              <w:gridCol w:w="875"/>
              <w:gridCol w:w="1199"/>
              <w:gridCol w:w="1129"/>
              <w:gridCol w:w="1521"/>
              <w:gridCol w:w="152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155" w:type="pct"/>
                  <w:gridSpan w:val="4"/>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序号</w:t>
                  </w:r>
                </w:p>
              </w:tc>
              <w:tc>
                <w:tcPr>
                  <w:tcW w:w="922" w:type="pct"/>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1</w:t>
                  </w:r>
                </w:p>
              </w:tc>
              <w:tc>
                <w:tcPr>
                  <w:tcW w:w="922" w:type="pct"/>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155" w:type="pct"/>
                  <w:gridSpan w:val="4"/>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排污口名称</w:t>
                  </w:r>
                </w:p>
              </w:tc>
              <w:tc>
                <w:tcPr>
                  <w:tcW w:w="922"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DW001</w:t>
                  </w:r>
                </w:p>
              </w:tc>
              <w:tc>
                <w:tcPr>
                  <w:tcW w:w="922"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DW002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07" w:hRule="atLeast"/>
              </w:trPr>
              <w:tc>
                <w:tcPr>
                  <w:tcW w:w="1688" w:type="pct"/>
                  <w:gridSpan w:val="2"/>
                  <w:vMerge w:val="restar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排放口地理坐标</w:t>
                  </w:r>
                </w:p>
              </w:tc>
              <w:tc>
                <w:tcPr>
                  <w:tcW w:w="1466" w:type="pct"/>
                  <w:gridSpan w:val="2"/>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经度</w:t>
                  </w:r>
                </w:p>
              </w:tc>
              <w:tc>
                <w:tcPr>
                  <w:tcW w:w="922"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112.202825745</w:t>
                  </w:r>
                </w:p>
              </w:tc>
              <w:tc>
                <w:tcPr>
                  <w:tcW w:w="922"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112.202962538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07" w:hRule="atLeast"/>
              </w:trPr>
              <w:tc>
                <w:tcPr>
                  <w:tcW w:w="1688" w:type="pct"/>
                  <w:gridSpan w:val="2"/>
                  <w:vMerge w:val="continue"/>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p>
              </w:tc>
              <w:tc>
                <w:tcPr>
                  <w:tcW w:w="1466" w:type="pct"/>
                  <w:gridSpan w:val="2"/>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纬度</w:t>
                  </w:r>
                </w:p>
              </w:tc>
              <w:tc>
                <w:tcPr>
                  <w:tcW w:w="922" w:type="pct"/>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26.561858765</w:t>
                  </w:r>
                </w:p>
              </w:tc>
              <w:tc>
                <w:tcPr>
                  <w:tcW w:w="922"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26.562019698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155" w:type="pct"/>
                  <w:gridSpan w:val="4"/>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废水排放量(万m</w:t>
                  </w:r>
                  <w:r>
                    <w:rPr>
                      <w:rFonts w:hint="eastAsia" w:ascii="Times New Roman" w:hAnsi="Times New Roman" w:eastAsia="宋体" w:cs="Times New Roman"/>
                      <w:color w:val="auto"/>
                      <w:sz w:val="21"/>
                      <w:szCs w:val="21"/>
                      <w:u w:val="none" w:color="auto"/>
                      <w:vertAlign w:val="superscript"/>
                      <w:lang w:val="en-US" w:eastAsia="zh-CN"/>
                    </w:rPr>
                    <w:t>3</w:t>
                  </w:r>
                  <w:r>
                    <w:rPr>
                      <w:rFonts w:hint="eastAsia" w:ascii="Times New Roman" w:hAnsi="Times New Roman" w:eastAsia="宋体" w:cs="Times New Roman"/>
                      <w:color w:val="auto"/>
                      <w:sz w:val="21"/>
                      <w:szCs w:val="21"/>
                      <w:u w:val="none" w:color="auto"/>
                      <w:lang w:val="en-US" w:eastAsia="zh-CN"/>
                    </w:rPr>
                    <w:t xml:space="preserve"> /a)</w:t>
                  </w:r>
                </w:p>
              </w:tc>
              <w:tc>
                <w:tcPr>
                  <w:tcW w:w="922"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1176</w:t>
                  </w:r>
                </w:p>
              </w:tc>
              <w:tc>
                <w:tcPr>
                  <w:tcW w:w="922"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3113.74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155" w:type="pct"/>
                  <w:gridSpan w:val="4"/>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排放去向</w:t>
                  </w:r>
                </w:p>
              </w:tc>
              <w:tc>
                <w:tcPr>
                  <w:tcW w:w="1844" w:type="pct"/>
                  <w:gridSpan w:val="2"/>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归阳污水处理厂</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155" w:type="pct"/>
                  <w:gridSpan w:val="4"/>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排放规律</w:t>
                  </w:r>
                </w:p>
              </w:tc>
              <w:tc>
                <w:tcPr>
                  <w:tcW w:w="1844" w:type="pct"/>
                  <w:gridSpan w:val="2"/>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间接排放</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155" w:type="pct"/>
                  <w:gridSpan w:val="4"/>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间歇排放时段</w:t>
                  </w:r>
                </w:p>
              </w:tc>
              <w:tc>
                <w:tcPr>
                  <w:tcW w:w="922" w:type="pct"/>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default" w:ascii="Times New Roman" w:hAnsi="Times New Roman" w:eastAsia="宋体" w:cs="Times New Roman"/>
                      <w:color w:val="auto"/>
                      <w:sz w:val="21"/>
                      <w:szCs w:val="21"/>
                      <w:u w:val="none" w:color="auto"/>
                      <w:lang w:val="en-US" w:eastAsia="zh-CN"/>
                    </w:rPr>
                    <w:t>/</w:t>
                  </w:r>
                </w:p>
              </w:tc>
              <w:tc>
                <w:tcPr>
                  <w:tcW w:w="922" w:type="pct"/>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default" w:ascii="Times New Roman" w:hAnsi="Times New Roman" w:eastAsia="宋体" w:cs="Times New Roman"/>
                      <w:color w:val="auto"/>
                      <w:sz w:val="21"/>
                      <w:szCs w:val="21"/>
                      <w:u w:val="none" w:color="auto"/>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134" w:type="pct"/>
                  <w:vMerge w:val="restart"/>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汇入污水处理 厂信息</w:t>
                  </w:r>
                </w:p>
              </w:tc>
              <w:tc>
                <w:tcPr>
                  <w:tcW w:w="2021" w:type="pct"/>
                  <w:gridSpan w:val="3"/>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名称</w:t>
                  </w:r>
                </w:p>
              </w:tc>
              <w:tc>
                <w:tcPr>
                  <w:tcW w:w="1844" w:type="pct"/>
                  <w:gridSpan w:val="2"/>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归阳污水处理厂</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134" w:type="pct"/>
                  <w:vMerge w:val="continue"/>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p>
              </w:tc>
              <w:tc>
                <w:tcPr>
                  <w:tcW w:w="1309" w:type="pct"/>
                  <w:gridSpan w:val="2"/>
                  <w:vMerge w:val="restart"/>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《污水综合排放标准》（G8978-1996）表4中三级标准</w:t>
                  </w:r>
                </w:p>
              </w:tc>
              <w:tc>
                <w:tcPr>
                  <w:tcW w:w="711" w:type="pct"/>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pH</w:t>
                  </w:r>
                </w:p>
              </w:tc>
              <w:tc>
                <w:tcPr>
                  <w:tcW w:w="922" w:type="pct"/>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default" w:ascii="Times New Roman" w:hAnsi="Times New Roman" w:cs="Times New Roman" w:eastAsiaTheme="minorEastAsia"/>
                      <w:bCs/>
                      <w:snapToGrid w:val="0"/>
                      <w:color w:val="auto"/>
                      <w:sz w:val="21"/>
                      <w:u w:val="none" w:color="auto"/>
                    </w:rPr>
                    <w:t>6~9</w:t>
                  </w:r>
                </w:p>
              </w:tc>
              <w:tc>
                <w:tcPr>
                  <w:tcW w:w="922" w:type="pct"/>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default" w:ascii="Times New Roman" w:hAnsi="Times New Roman" w:eastAsia="宋体" w:cs="Times New Roman"/>
                      <w:color w:val="auto"/>
                      <w:sz w:val="21"/>
                      <w:szCs w:val="21"/>
                      <w:u w:val="none" w:color="auto"/>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134" w:type="pct"/>
                  <w:vMerge w:val="continue"/>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p>
              </w:tc>
              <w:tc>
                <w:tcPr>
                  <w:tcW w:w="1309" w:type="pct"/>
                  <w:gridSpan w:val="2"/>
                  <w:vMerge w:val="continue"/>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p>
              </w:tc>
              <w:tc>
                <w:tcPr>
                  <w:tcW w:w="711" w:type="pct"/>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default" w:ascii="Times New Roman" w:hAnsi="Times New Roman" w:eastAsia="宋体" w:cs="Times New Roman"/>
                      <w:color w:val="auto"/>
                      <w:sz w:val="21"/>
                      <w:szCs w:val="21"/>
                      <w:u w:val="none" w:color="auto"/>
                      <w:lang w:val="en-US" w:eastAsia="zh-CN"/>
                    </w:rPr>
                    <w:t>COD</w:t>
                  </w:r>
                </w:p>
              </w:tc>
              <w:tc>
                <w:tcPr>
                  <w:tcW w:w="922"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eastAsia="宋体" w:cs="Times New Roman"/>
                      <w:color w:val="auto"/>
                      <w:sz w:val="21"/>
                      <w:szCs w:val="21"/>
                      <w:u w:val="none" w:color="auto"/>
                      <w:lang w:val="en-US" w:eastAsia="zh-CN"/>
                    </w:rPr>
                    <w:t>500</w:t>
                  </w:r>
                </w:p>
              </w:tc>
              <w:tc>
                <w:tcPr>
                  <w:tcW w:w="922"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eastAsia="宋体" w:cs="Times New Roman"/>
                      <w:color w:val="auto"/>
                      <w:sz w:val="21"/>
                      <w:szCs w:val="21"/>
                      <w:u w:val="none" w:color="auto"/>
                      <w:lang w:val="en-US" w:eastAsia="zh-CN"/>
                    </w:rPr>
                    <w:t>500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134" w:type="pct"/>
                  <w:vMerge w:val="continue"/>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p>
              </w:tc>
              <w:tc>
                <w:tcPr>
                  <w:tcW w:w="1309" w:type="pct"/>
                  <w:gridSpan w:val="2"/>
                  <w:vMerge w:val="continue"/>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p>
              </w:tc>
              <w:tc>
                <w:tcPr>
                  <w:tcW w:w="711" w:type="pct"/>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default" w:ascii="Times New Roman" w:hAnsi="Times New Roman" w:eastAsia="宋体" w:cs="Times New Roman"/>
                      <w:color w:val="auto"/>
                      <w:sz w:val="21"/>
                      <w:szCs w:val="21"/>
                      <w:u w:val="none" w:color="auto"/>
                      <w:lang w:val="en-US" w:eastAsia="zh-CN"/>
                    </w:rPr>
                    <w:t>BOD</w:t>
                  </w:r>
                  <w:r>
                    <w:rPr>
                      <w:rFonts w:hint="default" w:ascii="Times New Roman" w:hAnsi="Times New Roman" w:eastAsia="宋体" w:cs="Times New Roman"/>
                      <w:color w:val="auto"/>
                      <w:sz w:val="21"/>
                      <w:szCs w:val="21"/>
                      <w:u w:val="none" w:color="auto"/>
                      <w:vertAlign w:val="subscript"/>
                      <w:lang w:val="en-US" w:eastAsia="zh-CN"/>
                    </w:rPr>
                    <w:t>5</w:t>
                  </w:r>
                </w:p>
              </w:tc>
              <w:tc>
                <w:tcPr>
                  <w:tcW w:w="922"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eastAsia="宋体" w:cs="Times New Roman"/>
                      <w:color w:val="auto"/>
                      <w:sz w:val="21"/>
                      <w:szCs w:val="21"/>
                      <w:u w:val="none" w:color="auto"/>
                      <w:lang w:val="en-US" w:eastAsia="zh-CN"/>
                    </w:rPr>
                    <w:t>300</w:t>
                  </w:r>
                </w:p>
              </w:tc>
              <w:tc>
                <w:tcPr>
                  <w:tcW w:w="922"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eastAsia="宋体" w:cs="Times New Roman"/>
                      <w:color w:val="auto"/>
                      <w:sz w:val="21"/>
                      <w:szCs w:val="21"/>
                      <w:u w:val="none" w:color="auto"/>
                      <w:lang w:val="en-US" w:eastAsia="zh-CN"/>
                    </w:rPr>
                    <w:t>300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134" w:type="pct"/>
                  <w:vMerge w:val="continue"/>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p>
              </w:tc>
              <w:tc>
                <w:tcPr>
                  <w:tcW w:w="1309" w:type="pct"/>
                  <w:gridSpan w:val="2"/>
                  <w:vMerge w:val="continue"/>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p>
              </w:tc>
              <w:tc>
                <w:tcPr>
                  <w:tcW w:w="711" w:type="pct"/>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default" w:ascii="Times New Roman" w:hAnsi="Times New Roman" w:eastAsia="宋体" w:cs="Times New Roman"/>
                      <w:color w:val="auto"/>
                      <w:sz w:val="21"/>
                      <w:szCs w:val="21"/>
                      <w:u w:val="none" w:color="auto"/>
                      <w:lang w:val="en-US" w:eastAsia="zh-CN"/>
                    </w:rPr>
                    <w:t>NH</w:t>
                  </w:r>
                  <w:r>
                    <w:rPr>
                      <w:rFonts w:hint="default" w:ascii="Times New Roman" w:hAnsi="Times New Roman" w:eastAsia="宋体" w:cs="Times New Roman"/>
                      <w:color w:val="auto"/>
                      <w:sz w:val="21"/>
                      <w:szCs w:val="21"/>
                      <w:u w:val="none" w:color="auto"/>
                      <w:vertAlign w:val="subscript"/>
                      <w:lang w:val="en-US" w:eastAsia="zh-CN"/>
                    </w:rPr>
                    <w:t>3</w:t>
                  </w:r>
                  <w:r>
                    <w:rPr>
                      <w:rFonts w:hint="default" w:ascii="Times New Roman" w:hAnsi="Times New Roman" w:eastAsia="宋体" w:cs="Times New Roman"/>
                      <w:color w:val="auto"/>
                      <w:sz w:val="21"/>
                      <w:szCs w:val="21"/>
                      <w:u w:val="none" w:color="auto"/>
                      <w:lang w:val="en-US" w:eastAsia="zh-CN"/>
                    </w:rPr>
                    <w:t>-N</w:t>
                  </w:r>
                </w:p>
              </w:tc>
              <w:tc>
                <w:tcPr>
                  <w:tcW w:w="922" w:type="pct"/>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default" w:ascii="Times New Roman" w:hAnsi="Times New Roman" w:eastAsia="宋体" w:cs="Times New Roman"/>
                      <w:color w:val="auto"/>
                      <w:sz w:val="21"/>
                      <w:szCs w:val="21"/>
                      <w:u w:val="none" w:color="auto"/>
                      <w:lang w:val="en-US" w:eastAsia="zh-CN"/>
                    </w:rPr>
                    <w:t>/</w:t>
                  </w:r>
                </w:p>
              </w:tc>
              <w:tc>
                <w:tcPr>
                  <w:tcW w:w="922" w:type="pct"/>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default" w:ascii="Times New Roman" w:hAnsi="Times New Roman" w:eastAsia="宋体" w:cs="Times New Roman"/>
                      <w:color w:val="auto"/>
                      <w:sz w:val="21"/>
                      <w:szCs w:val="21"/>
                      <w:u w:val="none" w:color="auto"/>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134" w:type="pct"/>
                  <w:vMerge w:val="continue"/>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p>
              </w:tc>
              <w:tc>
                <w:tcPr>
                  <w:tcW w:w="1309" w:type="pct"/>
                  <w:gridSpan w:val="2"/>
                  <w:vMerge w:val="continue"/>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p>
              </w:tc>
              <w:tc>
                <w:tcPr>
                  <w:tcW w:w="711" w:type="pct"/>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default" w:ascii="Times New Roman" w:hAnsi="Times New Roman" w:eastAsia="宋体" w:cs="Times New Roman"/>
                      <w:color w:val="auto"/>
                      <w:sz w:val="21"/>
                      <w:szCs w:val="21"/>
                      <w:u w:val="none" w:color="auto"/>
                      <w:lang w:val="en-US" w:eastAsia="zh-CN"/>
                    </w:rPr>
                    <w:t>SS</w:t>
                  </w:r>
                </w:p>
              </w:tc>
              <w:tc>
                <w:tcPr>
                  <w:tcW w:w="922"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eastAsia="宋体" w:cs="Times New Roman"/>
                      <w:color w:val="auto"/>
                      <w:sz w:val="21"/>
                      <w:szCs w:val="21"/>
                      <w:u w:val="none" w:color="auto"/>
                      <w:lang w:val="en-US" w:eastAsia="zh-CN"/>
                    </w:rPr>
                    <w:t>400</w:t>
                  </w:r>
                </w:p>
              </w:tc>
              <w:tc>
                <w:tcPr>
                  <w:tcW w:w="922"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eastAsia="宋体" w:cs="Times New Roman"/>
                      <w:color w:val="auto"/>
                      <w:sz w:val="21"/>
                      <w:szCs w:val="21"/>
                      <w:u w:val="none" w:color="auto"/>
                      <w:lang w:val="en-US" w:eastAsia="zh-CN"/>
                    </w:rPr>
                    <w:t>400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134" w:type="pct"/>
                  <w:vMerge w:val="continue"/>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p>
              </w:tc>
              <w:tc>
                <w:tcPr>
                  <w:tcW w:w="1309" w:type="pct"/>
                  <w:gridSpan w:val="2"/>
                  <w:vMerge w:val="continue"/>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p>
              </w:tc>
              <w:tc>
                <w:tcPr>
                  <w:tcW w:w="711"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动植物油</w:t>
                  </w:r>
                </w:p>
              </w:tc>
              <w:tc>
                <w:tcPr>
                  <w:tcW w:w="922"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eastAsia="宋体" w:cs="Times New Roman"/>
                      <w:color w:val="auto"/>
                      <w:sz w:val="21"/>
                      <w:szCs w:val="21"/>
                      <w:u w:val="none" w:color="auto"/>
                      <w:lang w:val="en-US" w:eastAsia="zh-CN"/>
                    </w:rPr>
                    <w:t>100</w:t>
                  </w:r>
                </w:p>
              </w:tc>
              <w:tc>
                <w:tcPr>
                  <w:tcW w:w="922" w:type="pct"/>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default" w:ascii="Times New Roman" w:hAnsi="Times New Roman" w:eastAsia="宋体" w:cs="Times New Roman"/>
                      <w:color w:val="auto"/>
                      <w:sz w:val="21"/>
                      <w:szCs w:val="21"/>
                      <w:u w:val="none" w:color="auto"/>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134" w:type="pct"/>
                  <w:vMerge w:val="continue"/>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p>
              </w:tc>
              <w:tc>
                <w:tcPr>
                  <w:tcW w:w="1309" w:type="pct"/>
                  <w:gridSpan w:val="2"/>
                  <w:vMerge w:val="continue"/>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p>
              </w:tc>
              <w:tc>
                <w:tcPr>
                  <w:tcW w:w="711"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石油类</w:t>
                  </w:r>
                </w:p>
              </w:tc>
              <w:tc>
                <w:tcPr>
                  <w:tcW w:w="922" w:type="pct"/>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default" w:ascii="Times New Roman" w:hAnsi="Times New Roman" w:eastAsia="宋体" w:cs="Times New Roman"/>
                      <w:color w:val="auto"/>
                      <w:sz w:val="21"/>
                      <w:szCs w:val="21"/>
                      <w:u w:val="none" w:color="auto"/>
                      <w:lang w:val="en-US" w:eastAsia="zh-CN"/>
                    </w:rPr>
                    <w:t>/</w:t>
                  </w:r>
                </w:p>
              </w:tc>
              <w:tc>
                <w:tcPr>
                  <w:tcW w:w="922"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eastAsia="宋体" w:cs="Times New Roman"/>
                      <w:color w:val="auto"/>
                      <w:sz w:val="21"/>
                      <w:szCs w:val="21"/>
                      <w:u w:val="none" w:color="auto"/>
                      <w:lang w:val="en-US" w:eastAsia="zh-CN"/>
                    </w:rPr>
                    <w:t>20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22" w:hRule="atLeast"/>
              </w:trPr>
              <w:tc>
                <w:tcPr>
                  <w:tcW w:w="1134" w:type="pct"/>
                  <w:vMerge w:val="restart"/>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国家或地方污染物排放标准 及其他按规定商定的排放协议</w:t>
                  </w:r>
                </w:p>
              </w:tc>
              <w:tc>
                <w:tcPr>
                  <w:tcW w:w="1309" w:type="pct"/>
                  <w:gridSpan w:val="2"/>
                  <w:vMerge w:val="restart"/>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《城镇污水处理厂污染物排放标准》一级B标准</w:t>
                  </w:r>
                </w:p>
              </w:tc>
              <w:tc>
                <w:tcPr>
                  <w:tcW w:w="711" w:type="pct"/>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pH</w:t>
                  </w:r>
                </w:p>
              </w:tc>
              <w:tc>
                <w:tcPr>
                  <w:tcW w:w="922"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default" w:ascii="Times New Roman" w:hAnsi="Times New Roman" w:cs="Times New Roman" w:eastAsiaTheme="minorEastAsia"/>
                      <w:bCs/>
                      <w:snapToGrid w:val="0"/>
                      <w:color w:val="auto"/>
                      <w:sz w:val="21"/>
                      <w:u w:val="none" w:color="auto"/>
                    </w:rPr>
                    <w:t>6~9</w:t>
                  </w:r>
                </w:p>
              </w:tc>
              <w:tc>
                <w:tcPr>
                  <w:tcW w:w="922" w:type="pct"/>
                  <w:tcBorders>
                    <w:tl2br w:val="nil"/>
                    <w:tr2bl w:val="nil"/>
                  </w:tcBorders>
                  <w:vAlign w:val="center"/>
                </w:tcPr>
                <w:p>
                  <w:pPr>
                    <w:pStyle w:val="47"/>
                    <w:spacing w:line="240" w:lineRule="auto"/>
                    <w:jc w:val="center"/>
                    <w:rPr>
                      <w:rFonts w:hint="eastAsia" w:eastAsia="宋体" w:cs="Times New Roman"/>
                      <w:color w:val="auto"/>
                      <w:sz w:val="21"/>
                      <w:szCs w:val="21"/>
                      <w:u w:val="none" w:color="auto"/>
                      <w:lang w:val="en-US" w:eastAsia="zh-CN"/>
                    </w:rPr>
                  </w:pPr>
                  <w:r>
                    <w:rPr>
                      <w:rFonts w:hint="default" w:ascii="Times New Roman" w:hAnsi="Times New Roman" w:eastAsia="宋体" w:cs="Times New Roman"/>
                      <w:color w:val="auto"/>
                      <w:sz w:val="21"/>
                      <w:szCs w:val="21"/>
                      <w:u w:val="none" w:color="auto"/>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22" w:hRule="atLeast"/>
              </w:trPr>
              <w:tc>
                <w:tcPr>
                  <w:tcW w:w="1134" w:type="pct"/>
                  <w:vMerge w:val="continue"/>
                  <w:tcBorders>
                    <w:tl2br w:val="nil"/>
                    <w:tr2bl w:val="nil"/>
                  </w:tcBorders>
                  <w:vAlign w:val="center"/>
                </w:tcPr>
                <w:p>
                  <w:pPr>
                    <w:pStyle w:val="47"/>
                    <w:spacing w:line="240" w:lineRule="auto"/>
                    <w:jc w:val="center"/>
                  </w:pPr>
                </w:p>
              </w:tc>
              <w:tc>
                <w:tcPr>
                  <w:tcW w:w="1309" w:type="pct"/>
                  <w:gridSpan w:val="2"/>
                  <w:vMerge w:val="continue"/>
                  <w:tcBorders>
                    <w:tl2br w:val="nil"/>
                    <w:tr2bl w:val="nil"/>
                  </w:tcBorders>
                  <w:vAlign w:val="center"/>
                </w:tcPr>
                <w:p>
                  <w:pPr>
                    <w:pStyle w:val="47"/>
                    <w:spacing w:line="240" w:lineRule="auto"/>
                    <w:jc w:val="center"/>
                  </w:pPr>
                </w:p>
              </w:tc>
              <w:tc>
                <w:tcPr>
                  <w:tcW w:w="711" w:type="pct"/>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default" w:ascii="Times New Roman" w:hAnsi="Times New Roman" w:eastAsia="宋体" w:cs="Times New Roman"/>
                      <w:color w:val="auto"/>
                      <w:sz w:val="21"/>
                      <w:szCs w:val="21"/>
                      <w:u w:val="none" w:color="auto"/>
                      <w:lang w:val="en-US" w:eastAsia="zh-CN"/>
                    </w:rPr>
                    <w:t>COD</w:t>
                  </w:r>
                </w:p>
              </w:tc>
              <w:tc>
                <w:tcPr>
                  <w:tcW w:w="922"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eastAsia="宋体" w:cs="Times New Roman"/>
                      <w:color w:val="auto"/>
                      <w:sz w:val="21"/>
                      <w:szCs w:val="21"/>
                      <w:u w:val="none" w:color="auto"/>
                      <w:lang w:val="en-US" w:eastAsia="zh-CN"/>
                    </w:rPr>
                    <w:t>60</w:t>
                  </w:r>
                </w:p>
              </w:tc>
              <w:tc>
                <w:tcPr>
                  <w:tcW w:w="922" w:type="pct"/>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eastAsia" w:eastAsia="宋体" w:cs="Times New Roman"/>
                      <w:color w:val="auto"/>
                      <w:sz w:val="21"/>
                      <w:szCs w:val="21"/>
                      <w:u w:val="none" w:color="auto"/>
                      <w:lang w:val="en-US" w:eastAsia="zh-CN"/>
                    </w:rPr>
                    <w:t>60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22" w:hRule="atLeast"/>
              </w:trPr>
              <w:tc>
                <w:tcPr>
                  <w:tcW w:w="1134" w:type="pct"/>
                  <w:vMerge w:val="continue"/>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p>
              </w:tc>
              <w:tc>
                <w:tcPr>
                  <w:tcW w:w="1309" w:type="pct"/>
                  <w:gridSpan w:val="2"/>
                  <w:vMerge w:val="continue"/>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p>
              </w:tc>
              <w:tc>
                <w:tcPr>
                  <w:tcW w:w="711" w:type="pct"/>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default" w:ascii="Times New Roman" w:hAnsi="Times New Roman" w:eastAsia="宋体" w:cs="Times New Roman"/>
                      <w:color w:val="auto"/>
                      <w:sz w:val="21"/>
                      <w:szCs w:val="21"/>
                      <w:u w:val="none" w:color="auto"/>
                      <w:lang w:val="en-US" w:eastAsia="zh-CN"/>
                    </w:rPr>
                    <w:t>BOD</w:t>
                  </w:r>
                  <w:r>
                    <w:rPr>
                      <w:rFonts w:hint="default" w:ascii="Times New Roman" w:hAnsi="Times New Roman" w:eastAsia="宋体" w:cs="Times New Roman"/>
                      <w:color w:val="auto"/>
                      <w:sz w:val="21"/>
                      <w:szCs w:val="21"/>
                      <w:u w:val="none" w:color="auto"/>
                      <w:vertAlign w:val="subscript"/>
                      <w:lang w:val="en-US" w:eastAsia="zh-CN"/>
                    </w:rPr>
                    <w:t>5</w:t>
                  </w:r>
                </w:p>
              </w:tc>
              <w:tc>
                <w:tcPr>
                  <w:tcW w:w="922"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eastAsia="宋体" w:cs="Times New Roman"/>
                      <w:color w:val="auto"/>
                      <w:sz w:val="21"/>
                      <w:szCs w:val="21"/>
                      <w:u w:val="none" w:color="auto"/>
                      <w:lang w:val="en-US" w:eastAsia="zh-CN"/>
                    </w:rPr>
                    <w:t>20</w:t>
                  </w:r>
                </w:p>
              </w:tc>
              <w:tc>
                <w:tcPr>
                  <w:tcW w:w="922"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eastAsia="宋体" w:cs="Times New Roman"/>
                      <w:color w:val="auto"/>
                      <w:sz w:val="21"/>
                      <w:szCs w:val="21"/>
                      <w:u w:val="none" w:color="auto"/>
                      <w:lang w:val="en-US" w:eastAsia="zh-CN"/>
                    </w:rPr>
                    <w:t>20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22" w:hRule="atLeast"/>
              </w:trPr>
              <w:tc>
                <w:tcPr>
                  <w:tcW w:w="1134" w:type="pct"/>
                  <w:vMerge w:val="continue"/>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p>
              </w:tc>
              <w:tc>
                <w:tcPr>
                  <w:tcW w:w="1309" w:type="pct"/>
                  <w:gridSpan w:val="2"/>
                  <w:vMerge w:val="continue"/>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p>
              </w:tc>
              <w:tc>
                <w:tcPr>
                  <w:tcW w:w="711" w:type="pct"/>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default" w:ascii="Times New Roman" w:hAnsi="Times New Roman" w:eastAsia="宋体" w:cs="Times New Roman"/>
                      <w:color w:val="auto"/>
                      <w:sz w:val="21"/>
                      <w:szCs w:val="21"/>
                      <w:u w:val="none" w:color="auto"/>
                      <w:lang w:val="en-US" w:eastAsia="zh-CN"/>
                    </w:rPr>
                    <w:t>NH</w:t>
                  </w:r>
                  <w:r>
                    <w:rPr>
                      <w:rFonts w:hint="default" w:ascii="Times New Roman" w:hAnsi="Times New Roman" w:eastAsia="宋体" w:cs="Times New Roman"/>
                      <w:color w:val="auto"/>
                      <w:sz w:val="21"/>
                      <w:szCs w:val="21"/>
                      <w:u w:val="none" w:color="auto"/>
                      <w:vertAlign w:val="subscript"/>
                      <w:lang w:val="en-US" w:eastAsia="zh-CN"/>
                    </w:rPr>
                    <w:t>3</w:t>
                  </w:r>
                  <w:r>
                    <w:rPr>
                      <w:rFonts w:hint="default" w:ascii="Times New Roman" w:hAnsi="Times New Roman" w:eastAsia="宋体" w:cs="Times New Roman"/>
                      <w:color w:val="auto"/>
                      <w:sz w:val="21"/>
                      <w:szCs w:val="21"/>
                      <w:u w:val="none" w:color="auto"/>
                      <w:lang w:val="en-US" w:eastAsia="zh-CN"/>
                    </w:rPr>
                    <w:t>-N</w:t>
                  </w:r>
                </w:p>
              </w:tc>
              <w:tc>
                <w:tcPr>
                  <w:tcW w:w="922"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eastAsia="宋体" w:cs="Times New Roman"/>
                      <w:color w:val="auto"/>
                      <w:sz w:val="21"/>
                      <w:szCs w:val="21"/>
                      <w:u w:val="none" w:color="auto"/>
                      <w:lang w:val="en-US" w:eastAsia="zh-CN"/>
                    </w:rPr>
                    <w:t>15</w:t>
                  </w:r>
                </w:p>
              </w:tc>
              <w:tc>
                <w:tcPr>
                  <w:tcW w:w="922"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eastAsia="宋体" w:cs="Times New Roman"/>
                      <w:color w:val="auto"/>
                      <w:sz w:val="21"/>
                      <w:szCs w:val="21"/>
                      <w:u w:val="none" w:color="auto"/>
                      <w:lang w:val="en-US" w:eastAsia="zh-CN"/>
                    </w:rPr>
                    <w:t>15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22" w:hRule="atLeast"/>
              </w:trPr>
              <w:tc>
                <w:tcPr>
                  <w:tcW w:w="1134" w:type="pct"/>
                  <w:vMerge w:val="continue"/>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p>
              </w:tc>
              <w:tc>
                <w:tcPr>
                  <w:tcW w:w="1309" w:type="pct"/>
                  <w:gridSpan w:val="2"/>
                  <w:vMerge w:val="continue"/>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p>
              </w:tc>
              <w:tc>
                <w:tcPr>
                  <w:tcW w:w="711" w:type="pct"/>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default" w:ascii="Times New Roman" w:hAnsi="Times New Roman" w:eastAsia="宋体" w:cs="Times New Roman"/>
                      <w:color w:val="auto"/>
                      <w:sz w:val="21"/>
                      <w:szCs w:val="21"/>
                      <w:u w:val="none" w:color="auto"/>
                      <w:lang w:val="en-US" w:eastAsia="zh-CN"/>
                    </w:rPr>
                    <w:t>SS</w:t>
                  </w:r>
                </w:p>
              </w:tc>
              <w:tc>
                <w:tcPr>
                  <w:tcW w:w="922"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eastAsia="宋体" w:cs="Times New Roman"/>
                      <w:color w:val="auto"/>
                      <w:sz w:val="21"/>
                      <w:szCs w:val="21"/>
                      <w:u w:val="none" w:color="auto"/>
                      <w:lang w:val="en-US" w:eastAsia="zh-CN"/>
                    </w:rPr>
                    <w:t>20</w:t>
                  </w:r>
                </w:p>
              </w:tc>
              <w:tc>
                <w:tcPr>
                  <w:tcW w:w="922"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eastAsia="宋体" w:cs="Times New Roman"/>
                      <w:color w:val="auto"/>
                      <w:sz w:val="21"/>
                      <w:szCs w:val="21"/>
                      <w:u w:val="none" w:color="auto"/>
                      <w:lang w:val="en-US" w:eastAsia="zh-CN"/>
                    </w:rPr>
                    <w:t>20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22" w:hRule="atLeast"/>
              </w:trPr>
              <w:tc>
                <w:tcPr>
                  <w:tcW w:w="1134" w:type="pct"/>
                  <w:vMerge w:val="continue"/>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p>
              </w:tc>
              <w:tc>
                <w:tcPr>
                  <w:tcW w:w="1309" w:type="pct"/>
                  <w:gridSpan w:val="2"/>
                  <w:vMerge w:val="continue"/>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p>
              </w:tc>
              <w:tc>
                <w:tcPr>
                  <w:tcW w:w="711" w:type="pct"/>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动植物油</w:t>
                  </w:r>
                </w:p>
              </w:tc>
              <w:tc>
                <w:tcPr>
                  <w:tcW w:w="922"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eastAsia="宋体" w:cs="Times New Roman"/>
                      <w:color w:val="auto"/>
                      <w:sz w:val="21"/>
                      <w:szCs w:val="21"/>
                      <w:u w:val="none" w:color="auto"/>
                      <w:lang w:val="en-US" w:eastAsia="zh-CN"/>
                    </w:rPr>
                    <w:t>3</w:t>
                  </w:r>
                </w:p>
              </w:tc>
              <w:tc>
                <w:tcPr>
                  <w:tcW w:w="922"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default" w:ascii="Times New Roman" w:hAnsi="Times New Roman" w:eastAsia="宋体" w:cs="Times New Roman"/>
                      <w:color w:val="auto"/>
                      <w:sz w:val="21"/>
                      <w:szCs w:val="21"/>
                      <w:u w:val="none" w:color="auto"/>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22" w:hRule="atLeast"/>
              </w:trPr>
              <w:tc>
                <w:tcPr>
                  <w:tcW w:w="1134" w:type="pct"/>
                  <w:vMerge w:val="continue"/>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p>
              </w:tc>
              <w:tc>
                <w:tcPr>
                  <w:tcW w:w="1309" w:type="pct"/>
                  <w:gridSpan w:val="2"/>
                  <w:vMerge w:val="continue"/>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p>
              </w:tc>
              <w:tc>
                <w:tcPr>
                  <w:tcW w:w="711" w:type="pct"/>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石油类</w:t>
                  </w:r>
                </w:p>
              </w:tc>
              <w:tc>
                <w:tcPr>
                  <w:tcW w:w="922"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default" w:ascii="Times New Roman" w:hAnsi="Times New Roman" w:eastAsia="宋体" w:cs="Times New Roman"/>
                      <w:color w:val="auto"/>
                      <w:sz w:val="21"/>
                      <w:szCs w:val="21"/>
                      <w:u w:val="none" w:color="auto"/>
                      <w:lang w:val="en-US" w:eastAsia="zh-CN"/>
                    </w:rPr>
                    <w:t>/</w:t>
                  </w:r>
                </w:p>
              </w:tc>
              <w:tc>
                <w:tcPr>
                  <w:tcW w:w="922"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eastAsia="宋体" w:cs="Times New Roman"/>
                      <w:color w:val="auto"/>
                      <w:sz w:val="21"/>
                      <w:szCs w:val="21"/>
                      <w:u w:val="none" w:color="auto"/>
                      <w:lang w:val="en-US" w:eastAsia="zh-CN"/>
                    </w:rPr>
                    <w:t>3</w:t>
                  </w:r>
                </w:p>
              </w:tc>
            </w:tr>
          </w:tbl>
          <w:p>
            <w:pPr>
              <w:pStyle w:val="15"/>
              <w:keepNext w:val="0"/>
              <w:keepLines w:val="0"/>
              <w:pageBreakBefore w:val="0"/>
              <w:widowControl/>
              <w:kinsoku/>
              <w:wordWrap/>
              <w:overflowPunct/>
              <w:topLinePunct w:val="0"/>
              <w:autoSpaceDE/>
              <w:autoSpaceDN/>
              <w:bidi w:val="0"/>
              <w:adjustRightInd/>
              <w:snapToGrid/>
              <w:spacing w:before="0" w:beforeAutospacing="0" w:after="0" w:afterAutospacing="0" w:line="240" w:lineRule="auto"/>
              <w:jc w:val="center"/>
              <w:textAlignment w:val="auto"/>
              <w:outlineLvl w:val="0"/>
              <w:rPr>
                <w:rFonts w:hint="eastAsia" w:ascii="Times New Roman" w:hAnsi="Times New Roman" w:eastAsia="宋体" w:cs="Times New Roman"/>
                <w:b/>
                <w:bCs/>
                <w:snapToGrid w:val="0"/>
                <w:color w:val="auto"/>
                <w:sz w:val="28"/>
                <w:szCs w:val="28"/>
                <w:u w:val="none" w:color="auto"/>
                <w:vertAlign w:val="baseline"/>
              </w:rPr>
            </w:pPr>
            <w:r>
              <w:rPr>
                <w:rFonts w:hint="eastAsia" w:ascii="Times New Roman" w:hAnsi="Times New Roman" w:eastAsia="宋体" w:cs="Times New Roman"/>
                <w:b/>
                <w:bCs/>
                <w:color w:val="auto"/>
                <w:kern w:val="2"/>
                <w:sz w:val="21"/>
                <w:szCs w:val="21"/>
                <w:lang w:val="en-US" w:eastAsia="zh-CN" w:bidi="ar-SA"/>
              </w:rPr>
              <w:t>表4-8项目废水污染物排放信息表</w:t>
            </w:r>
          </w:p>
          <w:tbl>
            <w:tblPr>
              <w:tblStyle w:val="19"/>
              <w:tblW w:w="4998"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554"/>
              <w:gridCol w:w="1503"/>
              <w:gridCol w:w="1089"/>
              <w:gridCol w:w="1826"/>
              <w:gridCol w:w="1516"/>
              <w:gridCol w:w="156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44" w:type="pct"/>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序号</w:t>
                  </w:r>
                </w:p>
              </w:tc>
              <w:tc>
                <w:tcPr>
                  <w:tcW w:w="932"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eastAsia="宋体" w:cs="Times New Roman"/>
                      <w:color w:val="auto"/>
                      <w:sz w:val="21"/>
                      <w:szCs w:val="21"/>
                      <w:u w:val="none" w:color="auto"/>
                      <w:lang w:val="en-US" w:eastAsia="zh-CN"/>
                    </w:rPr>
                    <w:t>废水名称</w:t>
                  </w:r>
                </w:p>
              </w:tc>
              <w:tc>
                <w:tcPr>
                  <w:tcW w:w="676"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污染物种类</w:t>
                  </w:r>
                </w:p>
              </w:tc>
              <w:tc>
                <w:tcPr>
                  <w:tcW w:w="1133"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排放浓度（mg/L）</w:t>
                  </w:r>
                </w:p>
              </w:tc>
              <w:tc>
                <w:tcPr>
                  <w:tcW w:w="940"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日排放量（t/d）</w:t>
                  </w:r>
                </w:p>
              </w:tc>
              <w:tc>
                <w:tcPr>
                  <w:tcW w:w="972"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年排放量（t/a）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44"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1</w:t>
                  </w:r>
                </w:p>
              </w:tc>
              <w:tc>
                <w:tcPr>
                  <w:tcW w:w="932" w:type="pct"/>
                  <w:vMerge w:val="restart"/>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eastAsia" w:eastAsia="宋体" w:cs="Times New Roman"/>
                      <w:color w:val="auto"/>
                      <w:sz w:val="21"/>
                      <w:szCs w:val="21"/>
                      <w:u w:val="none" w:color="auto"/>
                      <w:lang w:val="en-US" w:eastAsia="zh-CN"/>
                    </w:rPr>
                    <w:t>生活污水</w:t>
                  </w:r>
                  <w:r>
                    <w:rPr>
                      <w:rFonts w:hint="eastAsia" w:ascii="Times New Roman" w:hAnsi="Times New Roman" w:eastAsia="宋体" w:cs="Times New Roman"/>
                      <w:color w:val="auto"/>
                      <w:sz w:val="21"/>
                      <w:szCs w:val="21"/>
                      <w:u w:val="none" w:color="auto"/>
                      <w:lang w:val="en-US" w:eastAsia="zh-CN"/>
                    </w:rPr>
                    <w:t>DW001</w:t>
                  </w:r>
                </w:p>
              </w:tc>
              <w:tc>
                <w:tcPr>
                  <w:tcW w:w="676" w:type="pct"/>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default" w:ascii="Times New Roman" w:hAnsi="Times New Roman" w:eastAsia="宋体" w:cs="Times New Roman"/>
                      <w:color w:val="auto"/>
                      <w:sz w:val="21"/>
                      <w:szCs w:val="21"/>
                      <w:u w:val="none" w:color="auto"/>
                      <w:lang w:val="en-US" w:eastAsia="zh-CN"/>
                    </w:rPr>
                    <w:t>COD</w:t>
                  </w:r>
                </w:p>
              </w:tc>
              <w:tc>
                <w:tcPr>
                  <w:tcW w:w="1133" w:type="pct"/>
                  <w:tcBorders>
                    <w:tl2br w:val="nil"/>
                    <w:tr2bl w:val="nil"/>
                  </w:tcBorders>
                  <w:vAlign w:val="center"/>
                </w:tcPr>
                <w:p>
                  <w:pPr>
                    <w:pStyle w:val="28"/>
                    <w:pageBreakBefore w:val="0"/>
                    <w:kinsoku/>
                    <w:overflowPunct/>
                    <w:bidi w:val="0"/>
                    <w:spacing w:line="240" w:lineRule="auto"/>
                    <w:jc w:val="center"/>
                    <w:rPr>
                      <w:rFonts w:hint="eastAsia"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b w:val="0"/>
                      <w:bCs/>
                      <w:color w:val="auto"/>
                      <w:sz w:val="21"/>
                      <w:szCs w:val="21"/>
                      <w:lang w:val="en-US" w:eastAsia="zh-CN"/>
                    </w:rPr>
                    <w:t>270</w:t>
                  </w:r>
                </w:p>
              </w:tc>
              <w:tc>
                <w:tcPr>
                  <w:tcW w:w="940"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eastAsia="宋体" w:cs="Times New Roman"/>
                      <w:color w:val="auto"/>
                      <w:sz w:val="21"/>
                      <w:szCs w:val="21"/>
                      <w:u w:val="none" w:color="auto"/>
                      <w:lang w:val="en-US" w:eastAsia="zh-CN"/>
                    </w:rPr>
                    <w:t>0.0011</w:t>
                  </w:r>
                </w:p>
              </w:tc>
              <w:tc>
                <w:tcPr>
                  <w:tcW w:w="972" w:type="pct"/>
                  <w:tcBorders>
                    <w:tl2br w:val="nil"/>
                    <w:tr2bl w:val="nil"/>
                  </w:tcBorders>
                  <w:vAlign w:val="center"/>
                </w:tcPr>
                <w:p>
                  <w:pPr>
                    <w:pStyle w:val="28"/>
                    <w:pageBreakBefore w:val="0"/>
                    <w:kinsoku/>
                    <w:overflowPunct/>
                    <w:bidi w:val="0"/>
                    <w:spacing w:line="240" w:lineRule="auto"/>
                    <w:jc w:val="center"/>
                    <w:rPr>
                      <w:rFonts w:hint="eastAsia"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b w:val="0"/>
                      <w:bCs/>
                      <w:color w:val="auto"/>
                      <w:sz w:val="21"/>
                      <w:szCs w:val="21"/>
                      <w:lang w:val="en-US" w:eastAsia="zh-CN"/>
                    </w:rPr>
                    <w:t>0.318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44"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2</w:t>
                  </w:r>
                </w:p>
              </w:tc>
              <w:tc>
                <w:tcPr>
                  <w:tcW w:w="932" w:type="pct"/>
                  <w:vMerge w:val="continue"/>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p>
              </w:tc>
              <w:tc>
                <w:tcPr>
                  <w:tcW w:w="676" w:type="pct"/>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default" w:ascii="Times New Roman" w:hAnsi="Times New Roman" w:eastAsia="宋体" w:cs="Times New Roman"/>
                      <w:color w:val="auto"/>
                      <w:sz w:val="21"/>
                      <w:szCs w:val="21"/>
                      <w:u w:val="none" w:color="auto"/>
                      <w:lang w:val="en-US" w:eastAsia="zh-CN"/>
                    </w:rPr>
                    <w:t>BOD</w:t>
                  </w:r>
                  <w:r>
                    <w:rPr>
                      <w:rFonts w:hint="default" w:ascii="Times New Roman" w:hAnsi="Times New Roman" w:eastAsia="宋体" w:cs="Times New Roman"/>
                      <w:color w:val="auto"/>
                      <w:sz w:val="21"/>
                      <w:szCs w:val="21"/>
                      <w:u w:val="none" w:color="auto"/>
                      <w:vertAlign w:val="subscript"/>
                      <w:lang w:val="en-US" w:eastAsia="zh-CN"/>
                    </w:rPr>
                    <w:t>5</w:t>
                  </w:r>
                </w:p>
              </w:tc>
              <w:tc>
                <w:tcPr>
                  <w:tcW w:w="1133" w:type="pct"/>
                  <w:tcBorders>
                    <w:tl2br w:val="nil"/>
                    <w:tr2bl w:val="nil"/>
                  </w:tcBorders>
                  <w:vAlign w:val="center"/>
                </w:tcPr>
                <w:p>
                  <w:pPr>
                    <w:pStyle w:val="28"/>
                    <w:pageBreakBefore w:val="0"/>
                    <w:kinsoku/>
                    <w:overflowPunct/>
                    <w:bidi w:val="0"/>
                    <w:spacing w:line="240" w:lineRule="auto"/>
                    <w:jc w:val="center"/>
                    <w:rPr>
                      <w:rFonts w:hint="eastAsia"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b w:val="0"/>
                      <w:bCs/>
                      <w:color w:val="auto"/>
                      <w:sz w:val="21"/>
                      <w:szCs w:val="21"/>
                      <w:lang w:val="en-US" w:eastAsia="zh-CN"/>
                    </w:rPr>
                    <w:t>145</w:t>
                  </w:r>
                </w:p>
              </w:tc>
              <w:tc>
                <w:tcPr>
                  <w:tcW w:w="940"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eastAsia="宋体" w:cs="Times New Roman"/>
                      <w:color w:val="auto"/>
                      <w:sz w:val="21"/>
                      <w:szCs w:val="21"/>
                      <w:u w:val="none" w:color="auto"/>
                      <w:lang w:val="en-US" w:eastAsia="zh-CN"/>
                    </w:rPr>
                    <w:t>0.0006</w:t>
                  </w:r>
                </w:p>
              </w:tc>
              <w:tc>
                <w:tcPr>
                  <w:tcW w:w="972" w:type="pct"/>
                  <w:tcBorders>
                    <w:tl2br w:val="nil"/>
                    <w:tr2bl w:val="nil"/>
                  </w:tcBorders>
                  <w:vAlign w:val="center"/>
                </w:tcPr>
                <w:p>
                  <w:pPr>
                    <w:pStyle w:val="28"/>
                    <w:pageBreakBefore w:val="0"/>
                    <w:kinsoku/>
                    <w:overflowPunct/>
                    <w:bidi w:val="0"/>
                    <w:spacing w:line="240" w:lineRule="auto"/>
                    <w:jc w:val="center"/>
                    <w:rPr>
                      <w:rFonts w:hint="eastAsia"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b w:val="0"/>
                      <w:bCs/>
                      <w:color w:val="auto"/>
                      <w:sz w:val="21"/>
                      <w:szCs w:val="21"/>
                      <w:lang w:val="en-US" w:eastAsia="zh-CN"/>
                    </w:rPr>
                    <w:t>0.171</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44"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3</w:t>
                  </w:r>
                </w:p>
              </w:tc>
              <w:tc>
                <w:tcPr>
                  <w:tcW w:w="932" w:type="pct"/>
                  <w:vMerge w:val="continue"/>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p>
              </w:tc>
              <w:tc>
                <w:tcPr>
                  <w:tcW w:w="676" w:type="pct"/>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default" w:ascii="Times New Roman" w:hAnsi="Times New Roman" w:eastAsia="宋体" w:cs="Times New Roman"/>
                      <w:color w:val="auto"/>
                      <w:sz w:val="21"/>
                      <w:szCs w:val="21"/>
                      <w:u w:val="none" w:color="auto"/>
                      <w:lang w:val="en-US" w:eastAsia="zh-CN"/>
                    </w:rPr>
                    <w:t>SS</w:t>
                  </w:r>
                </w:p>
              </w:tc>
              <w:tc>
                <w:tcPr>
                  <w:tcW w:w="1133" w:type="pct"/>
                  <w:tcBorders>
                    <w:tl2br w:val="nil"/>
                    <w:tr2bl w:val="nil"/>
                  </w:tcBorders>
                  <w:vAlign w:val="center"/>
                </w:tcPr>
                <w:p>
                  <w:pPr>
                    <w:pStyle w:val="28"/>
                    <w:pageBreakBefore w:val="0"/>
                    <w:kinsoku/>
                    <w:overflowPunct/>
                    <w:bidi w:val="0"/>
                    <w:spacing w:line="240" w:lineRule="auto"/>
                    <w:jc w:val="center"/>
                    <w:rPr>
                      <w:rFonts w:hint="eastAsia"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b w:val="0"/>
                      <w:bCs/>
                      <w:color w:val="auto"/>
                      <w:sz w:val="21"/>
                      <w:szCs w:val="21"/>
                      <w:lang w:val="en-US" w:eastAsia="zh-CN"/>
                    </w:rPr>
                    <w:t>100</w:t>
                  </w:r>
                </w:p>
              </w:tc>
              <w:tc>
                <w:tcPr>
                  <w:tcW w:w="940"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eastAsia="宋体" w:cs="Times New Roman"/>
                      <w:color w:val="auto"/>
                      <w:sz w:val="21"/>
                      <w:szCs w:val="21"/>
                      <w:u w:val="none" w:color="auto"/>
                      <w:lang w:val="en-US" w:eastAsia="zh-CN"/>
                    </w:rPr>
                    <w:t>0.0004</w:t>
                  </w:r>
                </w:p>
              </w:tc>
              <w:tc>
                <w:tcPr>
                  <w:tcW w:w="972" w:type="pct"/>
                  <w:tcBorders>
                    <w:tl2br w:val="nil"/>
                    <w:tr2bl w:val="nil"/>
                  </w:tcBorders>
                  <w:vAlign w:val="center"/>
                </w:tcPr>
                <w:p>
                  <w:pPr>
                    <w:pStyle w:val="28"/>
                    <w:pageBreakBefore w:val="0"/>
                    <w:kinsoku/>
                    <w:overflowPunct/>
                    <w:bidi w:val="0"/>
                    <w:spacing w:line="240" w:lineRule="auto"/>
                    <w:jc w:val="center"/>
                    <w:rPr>
                      <w:rFonts w:hint="eastAsia"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b w:val="0"/>
                      <w:bCs/>
                      <w:color w:val="auto"/>
                      <w:sz w:val="21"/>
                      <w:szCs w:val="21"/>
                      <w:lang w:val="en-US" w:eastAsia="zh-CN"/>
                    </w:rPr>
                    <w:t>0.118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44"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4</w:t>
                  </w:r>
                </w:p>
              </w:tc>
              <w:tc>
                <w:tcPr>
                  <w:tcW w:w="932" w:type="pct"/>
                  <w:vMerge w:val="continue"/>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p>
              </w:tc>
              <w:tc>
                <w:tcPr>
                  <w:tcW w:w="676" w:type="pct"/>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default" w:ascii="Times New Roman" w:hAnsi="Times New Roman" w:eastAsia="宋体" w:cs="Times New Roman"/>
                      <w:color w:val="auto"/>
                      <w:sz w:val="21"/>
                      <w:szCs w:val="21"/>
                      <w:u w:val="none" w:color="auto"/>
                      <w:lang w:val="en-US" w:eastAsia="zh-CN"/>
                    </w:rPr>
                    <w:t>NH</w:t>
                  </w:r>
                  <w:r>
                    <w:rPr>
                      <w:rFonts w:hint="default" w:ascii="Times New Roman" w:hAnsi="Times New Roman" w:eastAsia="宋体" w:cs="Times New Roman"/>
                      <w:color w:val="auto"/>
                      <w:sz w:val="21"/>
                      <w:szCs w:val="21"/>
                      <w:u w:val="none" w:color="auto"/>
                      <w:vertAlign w:val="subscript"/>
                      <w:lang w:val="en-US" w:eastAsia="zh-CN"/>
                    </w:rPr>
                    <w:t>3</w:t>
                  </w:r>
                  <w:r>
                    <w:rPr>
                      <w:rFonts w:hint="default" w:ascii="Times New Roman" w:hAnsi="Times New Roman" w:eastAsia="宋体" w:cs="Times New Roman"/>
                      <w:color w:val="auto"/>
                      <w:sz w:val="21"/>
                      <w:szCs w:val="21"/>
                      <w:u w:val="none" w:color="auto"/>
                      <w:lang w:val="en-US" w:eastAsia="zh-CN"/>
                    </w:rPr>
                    <w:t>-N</w:t>
                  </w:r>
                </w:p>
              </w:tc>
              <w:tc>
                <w:tcPr>
                  <w:tcW w:w="1133" w:type="pct"/>
                  <w:tcBorders>
                    <w:tl2br w:val="nil"/>
                    <w:tr2bl w:val="nil"/>
                  </w:tcBorders>
                  <w:vAlign w:val="center"/>
                </w:tcPr>
                <w:p>
                  <w:pPr>
                    <w:pStyle w:val="28"/>
                    <w:pageBreakBefore w:val="0"/>
                    <w:kinsoku/>
                    <w:overflowPunct/>
                    <w:bidi w:val="0"/>
                    <w:spacing w:line="240" w:lineRule="auto"/>
                    <w:jc w:val="center"/>
                    <w:rPr>
                      <w:rFonts w:hint="eastAsia"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b w:val="0"/>
                      <w:bCs/>
                      <w:color w:val="auto"/>
                      <w:sz w:val="21"/>
                      <w:szCs w:val="21"/>
                      <w:lang w:val="en-US" w:eastAsia="zh-CN"/>
                    </w:rPr>
                    <w:t>33</w:t>
                  </w:r>
                </w:p>
              </w:tc>
              <w:tc>
                <w:tcPr>
                  <w:tcW w:w="940"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eastAsia="宋体" w:cs="Times New Roman"/>
                      <w:color w:val="auto"/>
                      <w:sz w:val="21"/>
                      <w:szCs w:val="21"/>
                      <w:u w:val="none" w:color="auto"/>
                      <w:lang w:val="en-US" w:eastAsia="zh-CN"/>
                    </w:rPr>
                    <w:t>0.0001</w:t>
                  </w:r>
                </w:p>
              </w:tc>
              <w:tc>
                <w:tcPr>
                  <w:tcW w:w="972" w:type="pct"/>
                  <w:tcBorders>
                    <w:tl2br w:val="nil"/>
                    <w:tr2bl w:val="nil"/>
                  </w:tcBorders>
                  <w:vAlign w:val="center"/>
                </w:tcPr>
                <w:p>
                  <w:pPr>
                    <w:pStyle w:val="28"/>
                    <w:pageBreakBefore w:val="0"/>
                    <w:kinsoku/>
                    <w:overflowPunct/>
                    <w:bidi w:val="0"/>
                    <w:spacing w:line="240" w:lineRule="auto"/>
                    <w:jc w:val="center"/>
                    <w:rPr>
                      <w:rFonts w:hint="eastAsia"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b w:val="0"/>
                      <w:bCs/>
                      <w:color w:val="auto"/>
                      <w:sz w:val="21"/>
                      <w:szCs w:val="21"/>
                      <w:lang w:val="en-US" w:eastAsia="zh-CN"/>
                    </w:rPr>
                    <w:t>0.038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44"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5</w:t>
                  </w:r>
                </w:p>
              </w:tc>
              <w:tc>
                <w:tcPr>
                  <w:tcW w:w="932" w:type="pct"/>
                  <w:vMerge w:val="continue"/>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p>
              </w:tc>
              <w:tc>
                <w:tcPr>
                  <w:tcW w:w="676" w:type="pct"/>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动植物油</w:t>
                  </w:r>
                </w:p>
              </w:tc>
              <w:tc>
                <w:tcPr>
                  <w:tcW w:w="1133" w:type="pct"/>
                  <w:tcBorders>
                    <w:tl2br w:val="nil"/>
                    <w:tr2bl w:val="nil"/>
                  </w:tcBorders>
                  <w:vAlign w:val="center"/>
                </w:tcPr>
                <w:p>
                  <w:pPr>
                    <w:pStyle w:val="28"/>
                    <w:pageBreakBefore w:val="0"/>
                    <w:kinsoku/>
                    <w:overflowPunct/>
                    <w:bidi w:val="0"/>
                    <w:spacing w:line="240" w:lineRule="auto"/>
                    <w:jc w:val="center"/>
                    <w:rPr>
                      <w:rFonts w:hint="eastAsia"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b w:val="0"/>
                      <w:bCs/>
                      <w:color w:val="auto"/>
                      <w:sz w:val="21"/>
                      <w:szCs w:val="21"/>
                      <w:lang w:val="en-US" w:eastAsia="zh-CN"/>
                    </w:rPr>
                    <w:t>20</w:t>
                  </w:r>
                </w:p>
              </w:tc>
              <w:tc>
                <w:tcPr>
                  <w:tcW w:w="940"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eastAsia="宋体" w:cs="Times New Roman"/>
                      <w:color w:val="auto"/>
                      <w:sz w:val="21"/>
                      <w:szCs w:val="21"/>
                      <w:u w:val="none" w:color="auto"/>
                      <w:lang w:val="en-US" w:eastAsia="zh-CN"/>
                    </w:rPr>
                    <w:t>0.0001</w:t>
                  </w:r>
                </w:p>
              </w:tc>
              <w:tc>
                <w:tcPr>
                  <w:tcW w:w="972" w:type="pct"/>
                  <w:tcBorders>
                    <w:tl2br w:val="nil"/>
                    <w:tr2bl w:val="nil"/>
                  </w:tcBorders>
                  <w:vAlign w:val="center"/>
                </w:tcPr>
                <w:p>
                  <w:pPr>
                    <w:pStyle w:val="28"/>
                    <w:pageBreakBefore w:val="0"/>
                    <w:kinsoku/>
                    <w:overflowPunct/>
                    <w:bidi w:val="0"/>
                    <w:spacing w:line="240" w:lineRule="auto"/>
                    <w:jc w:val="center"/>
                    <w:rPr>
                      <w:rFonts w:hint="eastAsia"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b w:val="0"/>
                      <w:bCs/>
                      <w:color w:val="auto"/>
                      <w:sz w:val="21"/>
                      <w:szCs w:val="21"/>
                      <w:lang w:val="en-US" w:eastAsia="zh-CN"/>
                    </w:rPr>
                    <w:t>0.024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44"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6</w:t>
                  </w:r>
                </w:p>
              </w:tc>
              <w:tc>
                <w:tcPr>
                  <w:tcW w:w="932" w:type="pct"/>
                  <w:vMerge w:val="restart"/>
                  <w:tcBorders>
                    <w:tl2br w:val="nil"/>
                    <w:tr2bl w:val="nil"/>
                  </w:tcBorders>
                  <w:vAlign w:val="center"/>
                </w:tcPr>
                <w:p>
                  <w:pPr>
                    <w:pStyle w:val="47"/>
                    <w:spacing w:line="240" w:lineRule="auto"/>
                    <w:jc w:val="center"/>
                    <w:rPr>
                      <w:rFonts w:hint="eastAsia" w:eastAsia="宋体" w:cs="Times New Roman"/>
                      <w:color w:val="auto"/>
                      <w:sz w:val="21"/>
                      <w:szCs w:val="21"/>
                      <w:u w:val="none" w:color="auto"/>
                      <w:lang w:val="en-US" w:eastAsia="zh-CN"/>
                    </w:rPr>
                  </w:pPr>
                  <w:r>
                    <w:rPr>
                      <w:rFonts w:hint="eastAsia" w:eastAsia="宋体" w:cs="Times New Roman"/>
                      <w:color w:val="auto"/>
                      <w:sz w:val="21"/>
                      <w:szCs w:val="21"/>
                      <w:u w:val="none" w:color="auto"/>
                      <w:lang w:val="en-US" w:eastAsia="zh-CN"/>
                    </w:rPr>
                    <w:t>初期雨水</w:t>
                  </w:r>
                </w:p>
                <w:p>
                  <w:pPr>
                    <w:pStyle w:val="47"/>
                    <w:spacing w:line="240" w:lineRule="auto"/>
                    <w:jc w:val="center"/>
                    <w:rPr>
                      <w:rFonts w:hint="default"/>
                      <w:lang w:val="en-US" w:eastAsia="zh-CN"/>
                    </w:rPr>
                  </w:pPr>
                  <w:r>
                    <w:rPr>
                      <w:rFonts w:hint="eastAsia" w:eastAsia="宋体" w:cs="Times New Roman"/>
                      <w:color w:val="auto"/>
                      <w:sz w:val="21"/>
                      <w:szCs w:val="21"/>
                      <w:u w:val="none" w:color="auto"/>
                      <w:lang w:val="en-US" w:eastAsia="zh-CN"/>
                    </w:rPr>
                    <w:t>DW002</w:t>
                  </w:r>
                </w:p>
              </w:tc>
              <w:tc>
                <w:tcPr>
                  <w:tcW w:w="676" w:type="pct"/>
                  <w:tcBorders>
                    <w:tl2br w:val="nil"/>
                    <w:tr2bl w:val="nil"/>
                  </w:tcBorders>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 w:val="0"/>
                      <w:bCs/>
                      <w:color w:val="auto"/>
                      <w:sz w:val="21"/>
                      <w:szCs w:val="21"/>
                      <w:lang w:val="en-US" w:eastAsia="zh-CN"/>
                    </w:rPr>
                    <w:t>COD</w:t>
                  </w:r>
                </w:p>
              </w:tc>
              <w:tc>
                <w:tcPr>
                  <w:tcW w:w="1133" w:type="pct"/>
                  <w:tcBorders>
                    <w:tl2br w:val="nil"/>
                    <w:tr2bl w:val="nil"/>
                  </w:tcBorders>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 w:val="0"/>
                      <w:bCs/>
                      <w:color w:val="auto"/>
                      <w:sz w:val="21"/>
                      <w:szCs w:val="21"/>
                      <w:lang w:val="en-US" w:eastAsia="zh-CN"/>
                    </w:rPr>
                    <w:t>31</w:t>
                  </w:r>
                </w:p>
              </w:tc>
              <w:tc>
                <w:tcPr>
                  <w:tcW w:w="940"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eastAsia="宋体" w:cs="Times New Roman"/>
                      <w:color w:val="auto"/>
                      <w:sz w:val="21"/>
                      <w:szCs w:val="21"/>
                      <w:u w:val="none" w:color="auto"/>
                      <w:lang w:val="en-US" w:eastAsia="zh-CN"/>
                    </w:rPr>
                    <w:t>0.0003</w:t>
                  </w:r>
                </w:p>
              </w:tc>
              <w:tc>
                <w:tcPr>
                  <w:tcW w:w="972" w:type="pct"/>
                  <w:tcBorders>
                    <w:tl2br w:val="nil"/>
                    <w:tr2bl w:val="nil"/>
                  </w:tcBorders>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 w:val="0"/>
                      <w:bCs/>
                      <w:color w:val="auto"/>
                      <w:sz w:val="21"/>
                      <w:szCs w:val="21"/>
                      <w:lang w:val="en-US" w:eastAsia="zh-CN"/>
                    </w:rPr>
                    <w:t>0.096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44"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7</w:t>
                  </w:r>
                </w:p>
              </w:tc>
              <w:tc>
                <w:tcPr>
                  <w:tcW w:w="932" w:type="pct"/>
                  <w:vMerge w:val="continue"/>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p>
              </w:tc>
              <w:tc>
                <w:tcPr>
                  <w:tcW w:w="676" w:type="pct"/>
                  <w:tcBorders>
                    <w:tl2br w:val="nil"/>
                    <w:tr2bl w:val="nil"/>
                  </w:tcBorders>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 w:val="0"/>
                      <w:bCs/>
                      <w:color w:val="auto"/>
                      <w:sz w:val="21"/>
                      <w:szCs w:val="21"/>
                      <w:lang w:val="en-US" w:eastAsia="zh-CN"/>
                    </w:rPr>
                    <w:t>BOD</w:t>
                  </w:r>
                  <w:r>
                    <w:rPr>
                      <w:rFonts w:hint="eastAsia" w:ascii="Times New Roman" w:hAnsi="Times New Roman" w:eastAsia="宋体" w:cs="Times New Roman"/>
                      <w:b w:val="0"/>
                      <w:bCs/>
                      <w:color w:val="auto"/>
                      <w:sz w:val="21"/>
                      <w:szCs w:val="21"/>
                      <w:vertAlign w:val="subscript"/>
                      <w:lang w:val="en-US" w:eastAsia="zh-CN"/>
                    </w:rPr>
                    <w:t>5</w:t>
                  </w:r>
                </w:p>
              </w:tc>
              <w:tc>
                <w:tcPr>
                  <w:tcW w:w="1133" w:type="pct"/>
                  <w:tcBorders>
                    <w:tl2br w:val="nil"/>
                    <w:tr2bl w:val="nil"/>
                  </w:tcBorders>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 w:val="0"/>
                      <w:bCs/>
                      <w:color w:val="auto"/>
                      <w:sz w:val="21"/>
                      <w:szCs w:val="21"/>
                      <w:lang w:val="en-US" w:eastAsia="zh-CN"/>
                    </w:rPr>
                    <w:t>6</w:t>
                  </w:r>
                </w:p>
              </w:tc>
              <w:tc>
                <w:tcPr>
                  <w:tcW w:w="940"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eastAsia="宋体" w:cs="Times New Roman"/>
                      <w:color w:val="auto"/>
                      <w:sz w:val="21"/>
                      <w:szCs w:val="21"/>
                      <w:u w:val="none" w:color="auto"/>
                      <w:lang w:val="en-US" w:eastAsia="zh-CN"/>
                    </w:rPr>
                    <w:t>0.0001</w:t>
                  </w:r>
                </w:p>
              </w:tc>
              <w:tc>
                <w:tcPr>
                  <w:tcW w:w="972" w:type="pct"/>
                  <w:tcBorders>
                    <w:tl2br w:val="nil"/>
                    <w:tr2bl w:val="nil"/>
                  </w:tcBorders>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 w:val="0"/>
                      <w:bCs/>
                      <w:color w:val="auto"/>
                      <w:sz w:val="21"/>
                      <w:szCs w:val="21"/>
                      <w:lang w:val="en-US" w:eastAsia="zh-CN"/>
                    </w:rPr>
                    <w:t>0.019</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44"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eastAsia="宋体" w:cs="Times New Roman"/>
                      <w:color w:val="auto"/>
                      <w:sz w:val="21"/>
                      <w:szCs w:val="21"/>
                      <w:u w:val="none" w:color="auto"/>
                      <w:lang w:val="en-US" w:eastAsia="zh-CN"/>
                    </w:rPr>
                    <w:t>8</w:t>
                  </w:r>
                </w:p>
              </w:tc>
              <w:tc>
                <w:tcPr>
                  <w:tcW w:w="932" w:type="pct"/>
                  <w:vMerge w:val="continue"/>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p>
              </w:tc>
              <w:tc>
                <w:tcPr>
                  <w:tcW w:w="676" w:type="pct"/>
                  <w:tcBorders>
                    <w:tl2br w:val="nil"/>
                    <w:tr2bl w:val="nil"/>
                  </w:tcBorders>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 w:val="0"/>
                      <w:bCs/>
                      <w:color w:val="auto"/>
                      <w:sz w:val="21"/>
                      <w:szCs w:val="21"/>
                      <w:lang w:val="en-US" w:eastAsia="zh-CN"/>
                    </w:rPr>
                    <w:t>SS</w:t>
                  </w:r>
                </w:p>
              </w:tc>
              <w:tc>
                <w:tcPr>
                  <w:tcW w:w="1133" w:type="pct"/>
                  <w:tcBorders>
                    <w:tl2br w:val="nil"/>
                    <w:tr2bl w:val="nil"/>
                  </w:tcBorders>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 w:val="0"/>
                      <w:bCs/>
                      <w:color w:val="auto"/>
                      <w:sz w:val="21"/>
                      <w:szCs w:val="21"/>
                      <w:lang w:val="en-US" w:eastAsia="zh-CN"/>
                    </w:rPr>
                    <w:t>15</w:t>
                  </w:r>
                </w:p>
              </w:tc>
              <w:tc>
                <w:tcPr>
                  <w:tcW w:w="940"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eastAsia="宋体" w:cs="Times New Roman"/>
                      <w:color w:val="auto"/>
                      <w:sz w:val="21"/>
                      <w:szCs w:val="21"/>
                      <w:u w:val="none" w:color="auto"/>
                      <w:lang w:val="en-US" w:eastAsia="zh-CN"/>
                    </w:rPr>
                    <w:t>0.0002</w:t>
                  </w:r>
                </w:p>
              </w:tc>
              <w:tc>
                <w:tcPr>
                  <w:tcW w:w="972" w:type="pct"/>
                  <w:tcBorders>
                    <w:tl2br w:val="nil"/>
                    <w:tr2bl w:val="nil"/>
                  </w:tcBorders>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 w:val="0"/>
                      <w:bCs/>
                      <w:color w:val="auto"/>
                      <w:sz w:val="21"/>
                      <w:szCs w:val="21"/>
                      <w:lang w:val="en-US" w:eastAsia="zh-CN"/>
                    </w:rPr>
                    <w:t>0.046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44"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eastAsia="宋体" w:cs="Times New Roman"/>
                      <w:color w:val="auto"/>
                      <w:sz w:val="21"/>
                      <w:szCs w:val="21"/>
                      <w:u w:val="none" w:color="auto"/>
                      <w:lang w:val="en-US" w:eastAsia="zh-CN"/>
                    </w:rPr>
                    <w:t>9</w:t>
                  </w:r>
                </w:p>
              </w:tc>
              <w:tc>
                <w:tcPr>
                  <w:tcW w:w="932" w:type="pct"/>
                  <w:vMerge w:val="continue"/>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p>
              </w:tc>
              <w:tc>
                <w:tcPr>
                  <w:tcW w:w="676" w:type="pct"/>
                  <w:tcBorders>
                    <w:tl2br w:val="nil"/>
                    <w:tr2bl w:val="nil"/>
                  </w:tcBorders>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color w:val="auto"/>
                      <w:sz w:val="21"/>
                      <w:szCs w:val="21"/>
                      <w:u w:val="none" w:color="auto"/>
                      <w:lang w:val="en-US" w:eastAsia="zh-CN"/>
                    </w:rPr>
                    <w:t>NH</w:t>
                  </w:r>
                  <w:r>
                    <w:rPr>
                      <w:rFonts w:hint="default" w:ascii="Times New Roman" w:hAnsi="Times New Roman" w:eastAsia="宋体" w:cs="Times New Roman"/>
                      <w:color w:val="auto"/>
                      <w:sz w:val="21"/>
                      <w:szCs w:val="21"/>
                      <w:u w:val="none" w:color="auto"/>
                      <w:vertAlign w:val="subscript"/>
                      <w:lang w:val="en-US" w:eastAsia="zh-CN"/>
                    </w:rPr>
                    <w:t>3</w:t>
                  </w:r>
                  <w:r>
                    <w:rPr>
                      <w:rFonts w:hint="default" w:ascii="Times New Roman" w:hAnsi="Times New Roman" w:eastAsia="宋体" w:cs="Times New Roman"/>
                      <w:color w:val="auto"/>
                      <w:sz w:val="21"/>
                      <w:szCs w:val="21"/>
                      <w:u w:val="none" w:color="auto"/>
                      <w:lang w:val="en-US" w:eastAsia="zh-CN"/>
                    </w:rPr>
                    <w:t>-N</w:t>
                  </w:r>
                </w:p>
              </w:tc>
              <w:tc>
                <w:tcPr>
                  <w:tcW w:w="1133" w:type="pct"/>
                  <w:tcBorders>
                    <w:tl2br w:val="nil"/>
                    <w:tr2bl w:val="nil"/>
                  </w:tcBorders>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 w:val="0"/>
                      <w:bCs/>
                      <w:color w:val="auto"/>
                      <w:sz w:val="21"/>
                      <w:szCs w:val="21"/>
                      <w:lang w:val="en-US" w:eastAsia="zh-CN"/>
                    </w:rPr>
                    <w:t>0.113</w:t>
                  </w:r>
                </w:p>
              </w:tc>
              <w:tc>
                <w:tcPr>
                  <w:tcW w:w="940"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eastAsia="宋体" w:cs="Times New Roman"/>
                      <w:color w:val="auto"/>
                      <w:sz w:val="21"/>
                      <w:szCs w:val="21"/>
                      <w:u w:val="none" w:color="auto"/>
                      <w:lang w:val="en-US" w:eastAsia="zh-CN"/>
                    </w:rPr>
                    <w:t>0.000001</w:t>
                  </w:r>
                </w:p>
              </w:tc>
              <w:tc>
                <w:tcPr>
                  <w:tcW w:w="972" w:type="pct"/>
                  <w:tcBorders>
                    <w:tl2br w:val="nil"/>
                    <w:tr2bl w:val="nil"/>
                  </w:tcBorders>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 w:val="0"/>
                      <w:bCs/>
                      <w:color w:val="auto"/>
                      <w:sz w:val="21"/>
                      <w:szCs w:val="21"/>
                      <w:lang w:val="en-US" w:eastAsia="zh-CN"/>
                    </w:rPr>
                    <w:t>0.00035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44"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eastAsia="宋体" w:cs="Times New Roman"/>
                      <w:color w:val="auto"/>
                      <w:sz w:val="21"/>
                      <w:szCs w:val="21"/>
                      <w:u w:val="none" w:color="auto"/>
                      <w:lang w:val="en-US" w:eastAsia="zh-CN"/>
                    </w:rPr>
                    <w:t>10</w:t>
                  </w:r>
                </w:p>
              </w:tc>
              <w:tc>
                <w:tcPr>
                  <w:tcW w:w="932" w:type="pct"/>
                  <w:vMerge w:val="continue"/>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p>
              </w:tc>
              <w:tc>
                <w:tcPr>
                  <w:tcW w:w="676" w:type="pct"/>
                  <w:tcBorders>
                    <w:tl2br w:val="nil"/>
                    <w:tr2bl w:val="nil"/>
                  </w:tcBorders>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 w:val="0"/>
                      <w:bCs/>
                      <w:color w:val="auto"/>
                      <w:sz w:val="21"/>
                      <w:szCs w:val="21"/>
                      <w:lang w:val="en-US" w:eastAsia="zh-CN"/>
                    </w:rPr>
                    <w:t>石油类</w:t>
                  </w:r>
                </w:p>
              </w:tc>
              <w:tc>
                <w:tcPr>
                  <w:tcW w:w="1133" w:type="pct"/>
                  <w:tcBorders>
                    <w:tl2br w:val="nil"/>
                    <w:tr2bl w:val="nil"/>
                  </w:tcBorders>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 w:val="0"/>
                      <w:bCs/>
                      <w:color w:val="auto"/>
                      <w:sz w:val="21"/>
                      <w:szCs w:val="21"/>
                      <w:lang w:val="en-US" w:eastAsia="zh-CN"/>
                    </w:rPr>
                    <w:t>4.34</w:t>
                  </w:r>
                </w:p>
              </w:tc>
              <w:tc>
                <w:tcPr>
                  <w:tcW w:w="940"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eastAsia="宋体" w:cs="Times New Roman"/>
                      <w:color w:val="auto"/>
                      <w:sz w:val="21"/>
                      <w:szCs w:val="21"/>
                      <w:u w:val="none" w:color="auto"/>
                      <w:lang w:val="en-US" w:eastAsia="zh-CN"/>
                    </w:rPr>
                    <w:t>0.00004</w:t>
                  </w:r>
                </w:p>
              </w:tc>
              <w:tc>
                <w:tcPr>
                  <w:tcW w:w="972" w:type="pct"/>
                  <w:tcBorders>
                    <w:tl2br w:val="nil"/>
                    <w:tr2bl w:val="nil"/>
                  </w:tcBorders>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 w:val="0"/>
                      <w:bCs/>
                      <w:color w:val="auto"/>
                      <w:sz w:val="21"/>
                      <w:szCs w:val="21"/>
                      <w:lang w:val="en-US" w:eastAsia="zh-CN"/>
                    </w:rPr>
                    <w:t>0.0133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44" w:type="pct"/>
                  <w:tcBorders>
                    <w:tl2br w:val="nil"/>
                    <w:tr2bl w:val="nil"/>
                  </w:tcBorders>
                  <w:vAlign w:val="center"/>
                </w:tcPr>
                <w:p>
                  <w:pPr>
                    <w:pStyle w:val="47"/>
                    <w:spacing w:line="240" w:lineRule="auto"/>
                    <w:jc w:val="center"/>
                    <w:rPr>
                      <w:rFonts w:hint="default" w:eastAsia="宋体" w:cs="Times New Roman"/>
                      <w:color w:val="auto"/>
                      <w:sz w:val="21"/>
                      <w:szCs w:val="21"/>
                      <w:u w:val="none" w:color="auto"/>
                      <w:lang w:val="en-US" w:eastAsia="zh-CN"/>
                    </w:rPr>
                  </w:pPr>
                  <w:r>
                    <w:rPr>
                      <w:rFonts w:hint="eastAsia" w:eastAsia="宋体" w:cs="Times New Roman"/>
                      <w:color w:val="auto"/>
                      <w:sz w:val="21"/>
                      <w:szCs w:val="21"/>
                      <w:u w:val="none" w:color="auto"/>
                      <w:lang w:val="en-US" w:eastAsia="zh-CN"/>
                    </w:rPr>
                    <w:t>11</w:t>
                  </w:r>
                </w:p>
              </w:tc>
              <w:tc>
                <w:tcPr>
                  <w:tcW w:w="932" w:type="pct"/>
                  <w:vMerge w:val="restart"/>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eastAsia" w:eastAsia="宋体" w:cs="Times New Roman"/>
                      <w:color w:val="auto"/>
                      <w:sz w:val="21"/>
                      <w:szCs w:val="21"/>
                      <w:u w:val="none" w:color="auto"/>
                      <w:lang w:val="en-US" w:eastAsia="zh-CN"/>
                    </w:rPr>
                    <w:t>拖把清洗废水DW002</w:t>
                  </w:r>
                </w:p>
              </w:tc>
              <w:tc>
                <w:tcPr>
                  <w:tcW w:w="676" w:type="pct"/>
                  <w:tcBorders>
                    <w:tl2br w:val="nil"/>
                    <w:tr2bl w:val="nil"/>
                  </w:tcBorders>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 w:val="0"/>
                      <w:bCs/>
                      <w:color w:val="auto"/>
                      <w:sz w:val="21"/>
                      <w:szCs w:val="21"/>
                      <w:lang w:val="en-US" w:eastAsia="zh-CN"/>
                    </w:rPr>
                    <w:t>COD</w:t>
                  </w:r>
                </w:p>
              </w:tc>
              <w:tc>
                <w:tcPr>
                  <w:tcW w:w="1133" w:type="pct"/>
                  <w:tcBorders>
                    <w:tl2br w:val="nil"/>
                    <w:tr2bl w:val="nil"/>
                  </w:tcBorders>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 w:val="0"/>
                      <w:bCs/>
                      <w:color w:val="auto"/>
                      <w:sz w:val="21"/>
                      <w:szCs w:val="21"/>
                      <w:lang w:val="en-US" w:eastAsia="zh-CN"/>
                    </w:rPr>
                    <w:t>38.88</w:t>
                  </w:r>
                </w:p>
              </w:tc>
              <w:tc>
                <w:tcPr>
                  <w:tcW w:w="940" w:type="pct"/>
                  <w:tcBorders>
                    <w:tl2br w:val="nil"/>
                    <w:tr2bl w:val="nil"/>
                  </w:tcBorders>
                  <w:vAlign w:val="center"/>
                </w:tcPr>
                <w:p>
                  <w:pPr>
                    <w:pStyle w:val="47"/>
                    <w:spacing w:line="240" w:lineRule="auto"/>
                    <w:jc w:val="center"/>
                    <w:rPr>
                      <w:rFonts w:hint="default" w:eastAsia="宋体" w:cs="Times New Roman"/>
                      <w:color w:val="auto"/>
                      <w:sz w:val="21"/>
                      <w:szCs w:val="21"/>
                      <w:u w:val="none" w:color="auto"/>
                      <w:lang w:val="en-US" w:eastAsia="zh-CN"/>
                    </w:rPr>
                  </w:pPr>
                  <w:r>
                    <w:rPr>
                      <w:rFonts w:hint="eastAsia" w:eastAsia="宋体" w:cs="Times New Roman"/>
                      <w:color w:val="auto"/>
                      <w:sz w:val="21"/>
                      <w:szCs w:val="21"/>
                      <w:u w:val="none" w:color="auto"/>
                      <w:lang w:val="en-US" w:eastAsia="zh-CN"/>
                    </w:rPr>
                    <w:t>0.000004</w:t>
                  </w:r>
                </w:p>
              </w:tc>
              <w:tc>
                <w:tcPr>
                  <w:tcW w:w="972" w:type="pct"/>
                  <w:tcBorders>
                    <w:tl2br w:val="nil"/>
                    <w:tr2bl w:val="nil"/>
                  </w:tcBorders>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 w:val="0"/>
                      <w:bCs/>
                      <w:color w:val="auto"/>
                      <w:sz w:val="21"/>
                      <w:szCs w:val="21"/>
                      <w:lang w:val="en-US" w:eastAsia="zh-CN"/>
                    </w:rPr>
                    <w:t>0.00105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44" w:type="pct"/>
                  <w:tcBorders>
                    <w:tl2br w:val="nil"/>
                    <w:tr2bl w:val="nil"/>
                  </w:tcBorders>
                  <w:vAlign w:val="center"/>
                </w:tcPr>
                <w:p>
                  <w:pPr>
                    <w:pStyle w:val="47"/>
                    <w:spacing w:line="240" w:lineRule="auto"/>
                    <w:jc w:val="center"/>
                    <w:rPr>
                      <w:rFonts w:hint="default" w:eastAsia="宋体" w:cs="Times New Roman"/>
                      <w:color w:val="auto"/>
                      <w:sz w:val="21"/>
                      <w:szCs w:val="21"/>
                      <w:u w:val="none" w:color="auto"/>
                      <w:lang w:val="en-US" w:eastAsia="zh-CN"/>
                    </w:rPr>
                  </w:pPr>
                  <w:r>
                    <w:rPr>
                      <w:rFonts w:hint="eastAsia" w:eastAsia="宋体" w:cs="Times New Roman"/>
                      <w:color w:val="auto"/>
                      <w:sz w:val="21"/>
                      <w:szCs w:val="21"/>
                      <w:u w:val="none" w:color="auto"/>
                      <w:lang w:val="en-US" w:eastAsia="zh-CN"/>
                    </w:rPr>
                    <w:t>12</w:t>
                  </w:r>
                </w:p>
              </w:tc>
              <w:tc>
                <w:tcPr>
                  <w:tcW w:w="932" w:type="pct"/>
                  <w:vMerge w:val="continue"/>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p>
              </w:tc>
              <w:tc>
                <w:tcPr>
                  <w:tcW w:w="676" w:type="pct"/>
                  <w:tcBorders>
                    <w:tl2br w:val="nil"/>
                    <w:tr2bl w:val="nil"/>
                  </w:tcBorders>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 w:val="0"/>
                      <w:bCs/>
                      <w:color w:val="auto"/>
                      <w:sz w:val="21"/>
                      <w:szCs w:val="21"/>
                      <w:lang w:val="en-US" w:eastAsia="zh-CN"/>
                    </w:rPr>
                    <w:t>BOD</w:t>
                  </w:r>
                  <w:r>
                    <w:rPr>
                      <w:rFonts w:hint="eastAsia" w:ascii="Times New Roman" w:hAnsi="Times New Roman" w:eastAsia="宋体" w:cs="Times New Roman"/>
                      <w:b w:val="0"/>
                      <w:bCs/>
                      <w:color w:val="auto"/>
                      <w:sz w:val="21"/>
                      <w:szCs w:val="21"/>
                      <w:vertAlign w:val="subscript"/>
                      <w:lang w:val="en-US" w:eastAsia="zh-CN"/>
                    </w:rPr>
                    <w:t>5</w:t>
                  </w:r>
                </w:p>
              </w:tc>
              <w:tc>
                <w:tcPr>
                  <w:tcW w:w="1133" w:type="pct"/>
                  <w:tcBorders>
                    <w:tl2br w:val="nil"/>
                    <w:tr2bl w:val="nil"/>
                  </w:tcBorders>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 w:val="0"/>
                      <w:bCs/>
                      <w:color w:val="auto"/>
                      <w:sz w:val="21"/>
                      <w:szCs w:val="21"/>
                      <w:lang w:val="en-US" w:eastAsia="zh-CN"/>
                    </w:rPr>
                    <w:t>16.8</w:t>
                  </w:r>
                </w:p>
              </w:tc>
              <w:tc>
                <w:tcPr>
                  <w:tcW w:w="940" w:type="pct"/>
                  <w:tcBorders>
                    <w:tl2br w:val="nil"/>
                    <w:tr2bl w:val="nil"/>
                  </w:tcBorders>
                  <w:vAlign w:val="center"/>
                </w:tcPr>
                <w:p>
                  <w:pPr>
                    <w:pStyle w:val="47"/>
                    <w:spacing w:line="240" w:lineRule="auto"/>
                    <w:jc w:val="center"/>
                    <w:rPr>
                      <w:rFonts w:hint="default" w:eastAsia="宋体" w:cs="Times New Roman"/>
                      <w:color w:val="auto"/>
                      <w:sz w:val="21"/>
                      <w:szCs w:val="21"/>
                      <w:u w:val="none" w:color="auto"/>
                      <w:lang w:val="en-US" w:eastAsia="zh-CN"/>
                    </w:rPr>
                  </w:pPr>
                  <w:r>
                    <w:rPr>
                      <w:rFonts w:hint="eastAsia" w:eastAsia="宋体" w:cs="Times New Roman"/>
                      <w:color w:val="auto"/>
                      <w:sz w:val="21"/>
                      <w:szCs w:val="21"/>
                      <w:u w:val="none" w:color="auto"/>
                      <w:lang w:val="en-US" w:eastAsia="zh-CN"/>
                    </w:rPr>
                    <w:t>0.000002</w:t>
                  </w:r>
                </w:p>
              </w:tc>
              <w:tc>
                <w:tcPr>
                  <w:tcW w:w="972" w:type="pct"/>
                  <w:tcBorders>
                    <w:tl2br w:val="nil"/>
                    <w:tr2bl w:val="nil"/>
                  </w:tcBorders>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 w:val="0"/>
                      <w:bCs/>
                      <w:color w:val="auto"/>
                      <w:sz w:val="21"/>
                      <w:szCs w:val="21"/>
                      <w:lang w:val="en-US" w:eastAsia="zh-CN"/>
                    </w:rPr>
                    <w:t>0.00045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344" w:type="pct"/>
                  <w:tcBorders>
                    <w:tl2br w:val="nil"/>
                    <w:tr2bl w:val="nil"/>
                  </w:tcBorders>
                  <w:vAlign w:val="center"/>
                </w:tcPr>
                <w:p>
                  <w:pPr>
                    <w:pStyle w:val="47"/>
                    <w:spacing w:line="240" w:lineRule="auto"/>
                    <w:jc w:val="center"/>
                    <w:rPr>
                      <w:rFonts w:hint="default" w:eastAsia="宋体" w:cs="Times New Roman"/>
                      <w:color w:val="auto"/>
                      <w:sz w:val="21"/>
                      <w:szCs w:val="21"/>
                      <w:u w:val="none" w:color="auto"/>
                      <w:lang w:val="en-US" w:eastAsia="zh-CN"/>
                    </w:rPr>
                  </w:pPr>
                  <w:r>
                    <w:rPr>
                      <w:rFonts w:hint="eastAsia" w:eastAsia="宋体" w:cs="Times New Roman"/>
                      <w:color w:val="auto"/>
                      <w:sz w:val="21"/>
                      <w:szCs w:val="21"/>
                      <w:u w:val="none" w:color="auto"/>
                      <w:lang w:val="en-US" w:eastAsia="zh-CN"/>
                    </w:rPr>
                    <w:t>13</w:t>
                  </w:r>
                </w:p>
              </w:tc>
              <w:tc>
                <w:tcPr>
                  <w:tcW w:w="932" w:type="pct"/>
                  <w:vMerge w:val="continue"/>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p>
              </w:tc>
              <w:tc>
                <w:tcPr>
                  <w:tcW w:w="676" w:type="pct"/>
                  <w:tcBorders>
                    <w:tl2br w:val="nil"/>
                    <w:tr2bl w:val="nil"/>
                  </w:tcBorders>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 w:val="0"/>
                      <w:bCs/>
                      <w:color w:val="auto"/>
                      <w:sz w:val="21"/>
                      <w:szCs w:val="21"/>
                      <w:lang w:val="en-US" w:eastAsia="zh-CN"/>
                    </w:rPr>
                    <w:t>SS</w:t>
                  </w:r>
                </w:p>
              </w:tc>
              <w:tc>
                <w:tcPr>
                  <w:tcW w:w="1133" w:type="pct"/>
                  <w:tcBorders>
                    <w:tl2br w:val="nil"/>
                    <w:tr2bl w:val="nil"/>
                  </w:tcBorders>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 w:val="0"/>
                      <w:bCs/>
                      <w:color w:val="auto"/>
                      <w:sz w:val="21"/>
                      <w:szCs w:val="21"/>
                      <w:lang w:val="en-US" w:eastAsia="zh-CN"/>
                    </w:rPr>
                    <w:t>102.3</w:t>
                  </w:r>
                </w:p>
              </w:tc>
              <w:tc>
                <w:tcPr>
                  <w:tcW w:w="940" w:type="pct"/>
                  <w:tcBorders>
                    <w:tl2br w:val="nil"/>
                    <w:tr2bl w:val="nil"/>
                  </w:tcBorders>
                  <w:vAlign w:val="center"/>
                </w:tcPr>
                <w:p>
                  <w:pPr>
                    <w:pStyle w:val="47"/>
                    <w:spacing w:line="240" w:lineRule="auto"/>
                    <w:jc w:val="center"/>
                    <w:rPr>
                      <w:rFonts w:hint="default" w:eastAsia="宋体" w:cs="Times New Roman"/>
                      <w:color w:val="auto"/>
                      <w:sz w:val="21"/>
                      <w:szCs w:val="21"/>
                      <w:u w:val="none" w:color="auto"/>
                      <w:lang w:val="en-US" w:eastAsia="zh-CN"/>
                    </w:rPr>
                  </w:pPr>
                  <w:r>
                    <w:rPr>
                      <w:rFonts w:hint="eastAsia" w:eastAsia="宋体" w:cs="Times New Roman"/>
                      <w:color w:val="auto"/>
                      <w:sz w:val="21"/>
                      <w:szCs w:val="21"/>
                      <w:u w:val="none" w:color="auto"/>
                      <w:lang w:val="en-US" w:eastAsia="zh-CN"/>
                    </w:rPr>
                    <w:t>0.00001</w:t>
                  </w:r>
                </w:p>
              </w:tc>
              <w:tc>
                <w:tcPr>
                  <w:tcW w:w="972" w:type="pct"/>
                  <w:tcBorders>
                    <w:tl2br w:val="nil"/>
                    <w:tr2bl w:val="nil"/>
                  </w:tcBorders>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 w:val="0"/>
                      <w:bCs/>
                      <w:color w:val="auto"/>
                      <w:sz w:val="21"/>
                      <w:szCs w:val="21"/>
                      <w:lang w:val="en-US" w:eastAsia="zh-CN"/>
                    </w:rPr>
                    <w:t>0.0028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44" w:type="pct"/>
                  <w:tcBorders>
                    <w:tl2br w:val="nil"/>
                    <w:tr2bl w:val="nil"/>
                  </w:tcBorders>
                  <w:vAlign w:val="center"/>
                </w:tcPr>
                <w:p>
                  <w:pPr>
                    <w:pStyle w:val="47"/>
                    <w:spacing w:line="240" w:lineRule="auto"/>
                    <w:jc w:val="center"/>
                    <w:rPr>
                      <w:rFonts w:hint="default" w:eastAsia="宋体" w:cs="Times New Roman"/>
                      <w:color w:val="auto"/>
                      <w:sz w:val="21"/>
                      <w:szCs w:val="21"/>
                      <w:u w:val="none" w:color="auto"/>
                      <w:lang w:val="en-US" w:eastAsia="zh-CN"/>
                    </w:rPr>
                  </w:pPr>
                  <w:r>
                    <w:rPr>
                      <w:rFonts w:hint="eastAsia" w:eastAsia="宋体" w:cs="Times New Roman"/>
                      <w:color w:val="auto"/>
                      <w:sz w:val="21"/>
                      <w:szCs w:val="21"/>
                      <w:u w:val="none" w:color="auto"/>
                      <w:lang w:val="en-US" w:eastAsia="zh-CN"/>
                    </w:rPr>
                    <w:t>14</w:t>
                  </w:r>
                </w:p>
              </w:tc>
              <w:tc>
                <w:tcPr>
                  <w:tcW w:w="932" w:type="pct"/>
                  <w:vMerge w:val="continue"/>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p>
              </w:tc>
              <w:tc>
                <w:tcPr>
                  <w:tcW w:w="676" w:type="pct"/>
                  <w:tcBorders>
                    <w:tl2br w:val="nil"/>
                    <w:tr2bl w:val="nil"/>
                  </w:tcBorders>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color w:val="auto"/>
                      <w:sz w:val="21"/>
                      <w:szCs w:val="21"/>
                      <w:u w:val="none" w:color="auto"/>
                      <w:lang w:val="en-US" w:eastAsia="zh-CN"/>
                    </w:rPr>
                    <w:t>NH</w:t>
                  </w:r>
                  <w:r>
                    <w:rPr>
                      <w:rFonts w:hint="default" w:ascii="Times New Roman" w:hAnsi="Times New Roman" w:eastAsia="宋体" w:cs="Times New Roman"/>
                      <w:color w:val="auto"/>
                      <w:sz w:val="21"/>
                      <w:szCs w:val="21"/>
                      <w:u w:val="none" w:color="auto"/>
                      <w:vertAlign w:val="subscript"/>
                      <w:lang w:val="en-US" w:eastAsia="zh-CN"/>
                    </w:rPr>
                    <w:t>3</w:t>
                  </w:r>
                  <w:r>
                    <w:rPr>
                      <w:rFonts w:hint="default" w:ascii="Times New Roman" w:hAnsi="Times New Roman" w:eastAsia="宋体" w:cs="Times New Roman"/>
                      <w:color w:val="auto"/>
                      <w:sz w:val="21"/>
                      <w:szCs w:val="21"/>
                      <w:u w:val="none" w:color="auto"/>
                      <w:lang w:val="en-US" w:eastAsia="zh-CN"/>
                    </w:rPr>
                    <w:t>-N</w:t>
                  </w:r>
                </w:p>
              </w:tc>
              <w:tc>
                <w:tcPr>
                  <w:tcW w:w="1133" w:type="pct"/>
                  <w:tcBorders>
                    <w:tl2br w:val="nil"/>
                    <w:tr2bl w:val="nil"/>
                  </w:tcBorders>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 w:val="0"/>
                      <w:bCs/>
                      <w:color w:val="auto"/>
                      <w:sz w:val="21"/>
                      <w:szCs w:val="21"/>
                      <w:lang w:val="en-US" w:eastAsia="zh-CN"/>
                    </w:rPr>
                    <w:t>0.131</w:t>
                  </w:r>
                </w:p>
              </w:tc>
              <w:tc>
                <w:tcPr>
                  <w:tcW w:w="940" w:type="pct"/>
                  <w:tcBorders>
                    <w:tl2br w:val="nil"/>
                    <w:tr2bl w:val="nil"/>
                  </w:tcBorders>
                  <w:vAlign w:val="center"/>
                </w:tcPr>
                <w:p>
                  <w:pPr>
                    <w:pStyle w:val="47"/>
                    <w:spacing w:line="240" w:lineRule="auto"/>
                    <w:jc w:val="center"/>
                    <w:rPr>
                      <w:rFonts w:hint="default" w:eastAsia="宋体" w:cs="Times New Roman"/>
                      <w:color w:val="auto"/>
                      <w:sz w:val="21"/>
                      <w:szCs w:val="21"/>
                      <w:u w:val="none" w:color="auto"/>
                      <w:lang w:val="en-US" w:eastAsia="zh-CN"/>
                    </w:rPr>
                  </w:pPr>
                  <w:r>
                    <w:rPr>
                      <w:rFonts w:hint="eastAsia" w:eastAsia="宋体" w:cs="Times New Roman"/>
                      <w:color w:val="auto"/>
                      <w:sz w:val="21"/>
                      <w:szCs w:val="21"/>
                      <w:u w:val="none" w:color="auto"/>
                      <w:lang w:val="en-US" w:eastAsia="zh-CN"/>
                    </w:rPr>
                    <w:t>0.00000001</w:t>
                  </w:r>
                </w:p>
              </w:tc>
              <w:tc>
                <w:tcPr>
                  <w:tcW w:w="972" w:type="pct"/>
                  <w:tcBorders>
                    <w:tl2br w:val="nil"/>
                    <w:tr2bl w:val="nil"/>
                  </w:tcBorders>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 w:val="0"/>
                      <w:bCs/>
                      <w:color w:val="auto"/>
                      <w:sz w:val="21"/>
                      <w:szCs w:val="21"/>
                      <w:lang w:val="en-US" w:eastAsia="zh-CN"/>
                    </w:rPr>
                    <w:t>0.000003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44" w:type="pct"/>
                  <w:tcBorders>
                    <w:tl2br w:val="nil"/>
                    <w:tr2bl w:val="nil"/>
                  </w:tcBorders>
                  <w:vAlign w:val="center"/>
                </w:tcPr>
                <w:p>
                  <w:pPr>
                    <w:pStyle w:val="47"/>
                    <w:spacing w:line="240" w:lineRule="auto"/>
                    <w:jc w:val="center"/>
                    <w:rPr>
                      <w:rFonts w:hint="default" w:eastAsia="宋体" w:cs="Times New Roman"/>
                      <w:color w:val="auto"/>
                      <w:sz w:val="21"/>
                      <w:szCs w:val="21"/>
                      <w:u w:val="none" w:color="auto"/>
                      <w:lang w:val="en-US" w:eastAsia="zh-CN"/>
                    </w:rPr>
                  </w:pPr>
                  <w:r>
                    <w:rPr>
                      <w:rFonts w:hint="eastAsia" w:eastAsia="宋体" w:cs="Times New Roman"/>
                      <w:color w:val="auto"/>
                      <w:sz w:val="21"/>
                      <w:szCs w:val="21"/>
                      <w:u w:val="none" w:color="auto"/>
                      <w:lang w:val="en-US" w:eastAsia="zh-CN"/>
                    </w:rPr>
                    <w:t>15</w:t>
                  </w:r>
                </w:p>
              </w:tc>
              <w:tc>
                <w:tcPr>
                  <w:tcW w:w="932" w:type="pct"/>
                  <w:vMerge w:val="continue"/>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p>
              </w:tc>
              <w:tc>
                <w:tcPr>
                  <w:tcW w:w="676" w:type="pct"/>
                  <w:tcBorders>
                    <w:tl2br w:val="nil"/>
                    <w:tr2bl w:val="nil"/>
                  </w:tcBorders>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 w:val="0"/>
                      <w:bCs/>
                      <w:color w:val="auto"/>
                      <w:sz w:val="21"/>
                      <w:szCs w:val="21"/>
                      <w:lang w:val="en-US" w:eastAsia="zh-CN"/>
                    </w:rPr>
                    <w:t>石油类</w:t>
                  </w:r>
                </w:p>
              </w:tc>
              <w:tc>
                <w:tcPr>
                  <w:tcW w:w="1133" w:type="pct"/>
                  <w:tcBorders>
                    <w:tl2br w:val="nil"/>
                    <w:tr2bl w:val="nil"/>
                  </w:tcBorders>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 w:val="0"/>
                      <w:bCs/>
                      <w:color w:val="auto"/>
                      <w:sz w:val="21"/>
                      <w:szCs w:val="21"/>
                      <w:lang w:val="en-US" w:eastAsia="zh-CN"/>
                    </w:rPr>
                    <w:t>17.1</w:t>
                  </w:r>
                </w:p>
              </w:tc>
              <w:tc>
                <w:tcPr>
                  <w:tcW w:w="940" w:type="pct"/>
                  <w:tcBorders>
                    <w:tl2br w:val="nil"/>
                    <w:tr2bl w:val="nil"/>
                  </w:tcBorders>
                  <w:vAlign w:val="center"/>
                </w:tcPr>
                <w:p>
                  <w:pPr>
                    <w:pStyle w:val="47"/>
                    <w:spacing w:line="240" w:lineRule="auto"/>
                    <w:jc w:val="center"/>
                    <w:rPr>
                      <w:rFonts w:hint="default" w:eastAsia="宋体" w:cs="Times New Roman"/>
                      <w:color w:val="auto"/>
                      <w:sz w:val="21"/>
                      <w:szCs w:val="21"/>
                      <w:u w:val="none" w:color="auto"/>
                      <w:lang w:val="en-US" w:eastAsia="zh-CN"/>
                    </w:rPr>
                  </w:pPr>
                  <w:r>
                    <w:rPr>
                      <w:rFonts w:hint="eastAsia" w:eastAsia="宋体" w:cs="Times New Roman"/>
                      <w:color w:val="auto"/>
                      <w:sz w:val="21"/>
                      <w:szCs w:val="21"/>
                      <w:u w:val="none" w:color="auto"/>
                      <w:lang w:val="en-US" w:eastAsia="zh-CN"/>
                    </w:rPr>
                    <w:t>0.000002</w:t>
                  </w:r>
                </w:p>
              </w:tc>
              <w:tc>
                <w:tcPr>
                  <w:tcW w:w="972" w:type="pct"/>
                  <w:tcBorders>
                    <w:tl2br w:val="nil"/>
                    <w:tr2bl w:val="nil"/>
                  </w:tcBorders>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 w:val="0"/>
                      <w:bCs/>
                      <w:color w:val="auto"/>
                      <w:sz w:val="21"/>
                      <w:szCs w:val="21"/>
                      <w:lang w:val="en-US" w:eastAsia="zh-CN"/>
                    </w:rPr>
                    <w:t>0.00046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77" w:type="pct"/>
                  <w:gridSpan w:val="2"/>
                  <w:vMerge w:val="restart"/>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p>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全厂排放口合计</w:t>
                  </w:r>
                </w:p>
              </w:tc>
              <w:tc>
                <w:tcPr>
                  <w:tcW w:w="2750" w:type="pct"/>
                  <w:gridSpan w:val="3"/>
                  <w:tcBorders>
                    <w:tl2br w:val="nil"/>
                    <w:tr2bl w:val="nil"/>
                  </w:tcBorders>
                  <w:vAlign w:val="center"/>
                </w:tcPr>
                <w:p>
                  <w:pPr>
                    <w:pStyle w:val="47"/>
                    <w:spacing w:line="240" w:lineRule="auto"/>
                    <w:jc w:val="center"/>
                    <w:rPr>
                      <w:rFonts w:hint="eastAsia" w:ascii="Times New Roman" w:hAnsi="Times New Roman" w:eastAsia="宋体" w:cs="Times New Roman"/>
                      <w:color w:val="auto"/>
                      <w:kern w:val="2"/>
                      <w:sz w:val="21"/>
                      <w:szCs w:val="21"/>
                      <w:u w:val="none" w:color="auto"/>
                      <w:lang w:val="en-US" w:eastAsia="zh-CN" w:bidi="ar-SA"/>
                    </w:rPr>
                  </w:pPr>
                  <w:r>
                    <w:rPr>
                      <w:rFonts w:hint="default" w:ascii="Times New Roman" w:hAnsi="Times New Roman" w:eastAsia="宋体" w:cs="Times New Roman"/>
                      <w:color w:val="auto"/>
                      <w:sz w:val="21"/>
                      <w:szCs w:val="21"/>
                      <w:u w:val="none" w:color="auto"/>
                      <w:lang w:val="en-US" w:eastAsia="zh-CN"/>
                    </w:rPr>
                    <w:t>COD</w:t>
                  </w:r>
                </w:p>
              </w:tc>
              <w:tc>
                <w:tcPr>
                  <w:tcW w:w="972" w:type="pct"/>
                  <w:tcBorders>
                    <w:tl2br w:val="nil"/>
                    <w:tr2bl w:val="nil"/>
                  </w:tcBorders>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0.4151</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77" w:type="pct"/>
                  <w:gridSpan w:val="2"/>
                  <w:vMerge w:val="continue"/>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p>
              </w:tc>
              <w:tc>
                <w:tcPr>
                  <w:tcW w:w="2750" w:type="pct"/>
                  <w:gridSpan w:val="3"/>
                  <w:tcBorders>
                    <w:tl2br w:val="nil"/>
                    <w:tr2bl w:val="nil"/>
                  </w:tcBorders>
                  <w:vAlign w:val="center"/>
                </w:tcPr>
                <w:p>
                  <w:pPr>
                    <w:pStyle w:val="47"/>
                    <w:spacing w:line="240" w:lineRule="auto"/>
                    <w:jc w:val="center"/>
                    <w:rPr>
                      <w:rFonts w:hint="eastAsia" w:ascii="Times New Roman" w:hAnsi="Times New Roman" w:eastAsia="宋体" w:cs="Times New Roman"/>
                      <w:color w:val="auto"/>
                      <w:kern w:val="2"/>
                      <w:sz w:val="21"/>
                      <w:szCs w:val="21"/>
                      <w:u w:val="none" w:color="auto"/>
                      <w:lang w:val="en-US" w:eastAsia="zh-CN" w:bidi="ar-SA"/>
                    </w:rPr>
                  </w:pPr>
                  <w:r>
                    <w:rPr>
                      <w:rFonts w:hint="default" w:ascii="Times New Roman" w:hAnsi="Times New Roman" w:eastAsia="宋体" w:cs="Times New Roman"/>
                      <w:color w:val="auto"/>
                      <w:sz w:val="21"/>
                      <w:szCs w:val="21"/>
                      <w:u w:val="none" w:color="auto"/>
                      <w:lang w:val="en-US" w:eastAsia="zh-CN"/>
                    </w:rPr>
                    <w:t>BOD</w:t>
                  </w:r>
                  <w:r>
                    <w:rPr>
                      <w:rFonts w:hint="default" w:ascii="Times New Roman" w:hAnsi="Times New Roman" w:eastAsia="宋体" w:cs="Times New Roman"/>
                      <w:color w:val="auto"/>
                      <w:sz w:val="21"/>
                      <w:szCs w:val="21"/>
                      <w:u w:val="none" w:color="auto"/>
                      <w:vertAlign w:val="subscript"/>
                      <w:lang w:val="en-US" w:eastAsia="zh-CN"/>
                    </w:rPr>
                    <w:t>5</w:t>
                  </w:r>
                </w:p>
              </w:tc>
              <w:tc>
                <w:tcPr>
                  <w:tcW w:w="972" w:type="pct"/>
                  <w:tcBorders>
                    <w:tl2br w:val="nil"/>
                    <w:tr2bl w:val="nil"/>
                  </w:tcBorders>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0.1905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77" w:type="pct"/>
                  <w:gridSpan w:val="2"/>
                  <w:vMerge w:val="continue"/>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p>
              </w:tc>
              <w:tc>
                <w:tcPr>
                  <w:tcW w:w="2750" w:type="pct"/>
                  <w:gridSpan w:val="3"/>
                  <w:tcBorders>
                    <w:tl2br w:val="nil"/>
                    <w:tr2bl w:val="nil"/>
                  </w:tcBorders>
                  <w:vAlign w:val="center"/>
                </w:tcPr>
                <w:p>
                  <w:pPr>
                    <w:pStyle w:val="47"/>
                    <w:spacing w:line="240" w:lineRule="auto"/>
                    <w:jc w:val="center"/>
                    <w:rPr>
                      <w:rFonts w:hint="eastAsia" w:ascii="Times New Roman" w:hAnsi="Times New Roman" w:eastAsia="宋体" w:cs="Times New Roman"/>
                      <w:color w:val="auto"/>
                      <w:kern w:val="2"/>
                      <w:sz w:val="21"/>
                      <w:szCs w:val="21"/>
                      <w:u w:val="none" w:color="auto"/>
                      <w:lang w:val="en-US" w:eastAsia="zh-CN" w:bidi="ar-SA"/>
                    </w:rPr>
                  </w:pPr>
                  <w:r>
                    <w:rPr>
                      <w:rFonts w:hint="default" w:ascii="Times New Roman" w:hAnsi="Times New Roman" w:eastAsia="宋体" w:cs="Times New Roman"/>
                      <w:color w:val="auto"/>
                      <w:sz w:val="21"/>
                      <w:szCs w:val="21"/>
                      <w:u w:val="none" w:color="auto"/>
                      <w:lang w:val="en-US" w:eastAsia="zh-CN"/>
                    </w:rPr>
                    <w:t>SS</w:t>
                  </w:r>
                </w:p>
              </w:tc>
              <w:tc>
                <w:tcPr>
                  <w:tcW w:w="972" w:type="pct"/>
                  <w:tcBorders>
                    <w:tl2br w:val="nil"/>
                    <w:tr2bl w:val="nil"/>
                  </w:tcBorders>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0.1668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77" w:type="pct"/>
                  <w:gridSpan w:val="2"/>
                  <w:vMerge w:val="continue"/>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p>
              </w:tc>
              <w:tc>
                <w:tcPr>
                  <w:tcW w:w="2750" w:type="pct"/>
                  <w:gridSpan w:val="3"/>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default" w:ascii="Times New Roman" w:hAnsi="Times New Roman" w:eastAsia="宋体" w:cs="Times New Roman"/>
                      <w:color w:val="auto"/>
                      <w:sz w:val="21"/>
                      <w:szCs w:val="21"/>
                      <w:u w:val="none" w:color="auto"/>
                      <w:lang w:val="en-US" w:eastAsia="zh-CN"/>
                    </w:rPr>
                    <w:t>NH</w:t>
                  </w:r>
                  <w:r>
                    <w:rPr>
                      <w:rFonts w:hint="default" w:ascii="Times New Roman" w:hAnsi="Times New Roman" w:eastAsia="宋体" w:cs="Times New Roman"/>
                      <w:color w:val="auto"/>
                      <w:sz w:val="21"/>
                      <w:szCs w:val="21"/>
                      <w:u w:val="none" w:color="auto"/>
                      <w:vertAlign w:val="subscript"/>
                      <w:lang w:val="en-US" w:eastAsia="zh-CN"/>
                    </w:rPr>
                    <w:t>3</w:t>
                  </w:r>
                  <w:r>
                    <w:rPr>
                      <w:rFonts w:hint="default" w:ascii="Times New Roman" w:hAnsi="Times New Roman" w:eastAsia="宋体" w:cs="Times New Roman"/>
                      <w:color w:val="auto"/>
                      <w:sz w:val="21"/>
                      <w:szCs w:val="21"/>
                      <w:u w:val="none" w:color="auto"/>
                      <w:lang w:val="en-US" w:eastAsia="zh-CN"/>
                    </w:rPr>
                    <w:t>-N</w:t>
                  </w:r>
                </w:p>
              </w:tc>
              <w:tc>
                <w:tcPr>
                  <w:tcW w:w="972"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0.0384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77" w:type="pct"/>
                  <w:gridSpan w:val="2"/>
                  <w:vMerge w:val="continue"/>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p>
              </w:tc>
              <w:tc>
                <w:tcPr>
                  <w:tcW w:w="2750" w:type="pct"/>
                  <w:gridSpan w:val="3"/>
                  <w:tcBorders>
                    <w:tl2br w:val="nil"/>
                    <w:tr2bl w:val="nil"/>
                  </w:tcBorders>
                  <w:vAlign w:val="center"/>
                </w:tcPr>
                <w:p>
                  <w:pPr>
                    <w:pStyle w:val="47"/>
                    <w:spacing w:line="240" w:lineRule="auto"/>
                    <w:jc w:val="center"/>
                    <w:rPr>
                      <w:rFonts w:hint="eastAsia" w:ascii="Times New Roman" w:hAnsi="Times New Roman" w:eastAsia="宋体" w:cs="Times New Roman"/>
                      <w:color w:val="auto"/>
                      <w:kern w:val="2"/>
                      <w:sz w:val="21"/>
                      <w:szCs w:val="21"/>
                      <w:u w:val="none" w:color="auto"/>
                      <w:lang w:val="en-US" w:eastAsia="zh-CN" w:bidi="ar-SA"/>
                    </w:rPr>
                  </w:pPr>
                  <w:r>
                    <w:rPr>
                      <w:rFonts w:hint="eastAsia" w:ascii="Times New Roman" w:hAnsi="Times New Roman" w:eastAsia="宋体" w:cs="Times New Roman"/>
                      <w:color w:val="auto"/>
                      <w:sz w:val="21"/>
                      <w:szCs w:val="21"/>
                      <w:u w:val="none" w:color="auto"/>
                      <w:lang w:val="en-US" w:eastAsia="zh-CN"/>
                    </w:rPr>
                    <w:t>动植物油</w:t>
                  </w:r>
                </w:p>
              </w:tc>
              <w:tc>
                <w:tcPr>
                  <w:tcW w:w="972" w:type="pct"/>
                  <w:tcBorders>
                    <w:tl2br w:val="nil"/>
                    <w:tr2bl w:val="nil"/>
                  </w:tcBorders>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0.024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77" w:type="pct"/>
                  <w:gridSpan w:val="2"/>
                  <w:vMerge w:val="continue"/>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p>
              </w:tc>
              <w:tc>
                <w:tcPr>
                  <w:tcW w:w="2750" w:type="pct"/>
                  <w:gridSpan w:val="3"/>
                  <w:tcBorders>
                    <w:tl2br w:val="nil"/>
                    <w:tr2bl w:val="nil"/>
                  </w:tcBorders>
                  <w:vAlign w:val="center"/>
                </w:tcPr>
                <w:p>
                  <w:pPr>
                    <w:pStyle w:val="47"/>
                    <w:spacing w:line="240" w:lineRule="auto"/>
                    <w:jc w:val="center"/>
                    <w:rPr>
                      <w:rFonts w:hint="eastAsia" w:ascii="Times New Roman" w:hAnsi="Times New Roman" w:eastAsia="宋体" w:cs="Times New Roman"/>
                      <w:color w:val="auto"/>
                      <w:kern w:val="2"/>
                      <w:sz w:val="21"/>
                      <w:szCs w:val="21"/>
                      <w:u w:val="none" w:color="auto"/>
                      <w:lang w:val="en-US" w:eastAsia="zh-CN" w:bidi="ar-SA"/>
                    </w:rPr>
                  </w:pPr>
                  <w:r>
                    <w:rPr>
                      <w:rFonts w:hint="eastAsia" w:ascii="Times New Roman" w:hAnsi="Times New Roman" w:eastAsia="宋体" w:cs="Times New Roman"/>
                      <w:b w:val="0"/>
                      <w:bCs/>
                      <w:color w:val="auto"/>
                      <w:sz w:val="21"/>
                      <w:szCs w:val="21"/>
                      <w:lang w:val="en-US" w:eastAsia="zh-CN"/>
                    </w:rPr>
                    <w:t>石油类</w:t>
                  </w:r>
                </w:p>
              </w:tc>
              <w:tc>
                <w:tcPr>
                  <w:tcW w:w="972" w:type="pct"/>
                  <w:tcBorders>
                    <w:tl2br w:val="nil"/>
                    <w:tr2bl w:val="nil"/>
                  </w:tcBorders>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0.0138</w:t>
                  </w:r>
                </w:p>
              </w:tc>
            </w:tr>
          </w:tbl>
          <w:p>
            <w:pPr>
              <w:pStyle w:val="15"/>
              <w:keepNext w:val="0"/>
              <w:keepLines w:val="0"/>
              <w:pageBreakBefore w:val="0"/>
              <w:widowControl/>
              <w:kinsoku/>
              <w:wordWrap/>
              <w:overflowPunct/>
              <w:topLinePunct w:val="0"/>
              <w:autoSpaceDE/>
              <w:autoSpaceDN/>
              <w:bidi w:val="0"/>
              <w:adjustRightInd/>
              <w:snapToGrid/>
              <w:spacing w:before="0" w:beforeAutospacing="0" w:after="0" w:afterAutospacing="0" w:line="240" w:lineRule="auto"/>
              <w:jc w:val="center"/>
              <w:textAlignment w:val="auto"/>
              <w:outlineLvl w:val="0"/>
              <w:rPr>
                <w:rFonts w:hint="eastAsia" w:ascii="Times New Roman" w:hAnsi="Times New Roman" w:eastAsia="宋体" w:cs="Times New Roman"/>
                <w:b/>
                <w:bCs/>
                <w:snapToGrid w:val="0"/>
                <w:color w:val="auto"/>
                <w:sz w:val="28"/>
                <w:szCs w:val="28"/>
                <w:u w:val="none" w:color="auto"/>
                <w:vertAlign w:val="baseline"/>
              </w:rPr>
            </w:pPr>
            <w:r>
              <w:rPr>
                <w:rFonts w:hint="eastAsia" w:ascii="Times New Roman" w:hAnsi="Times New Roman" w:eastAsia="宋体" w:cs="Times New Roman"/>
                <w:b/>
                <w:bCs/>
                <w:color w:val="auto"/>
                <w:kern w:val="2"/>
                <w:sz w:val="21"/>
                <w:szCs w:val="21"/>
                <w:lang w:val="en-US" w:eastAsia="zh-CN" w:bidi="ar-SA"/>
              </w:rPr>
              <w:t>表4-9项目废水经污水处理厂处理后排放信息表</w:t>
            </w:r>
          </w:p>
          <w:tbl>
            <w:tblPr>
              <w:tblStyle w:val="19"/>
              <w:tblW w:w="4998"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551"/>
              <w:gridCol w:w="1502"/>
              <w:gridCol w:w="1088"/>
              <w:gridCol w:w="1826"/>
              <w:gridCol w:w="1521"/>
              <w:gridCol w:w="156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42" w:type="pct"/>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序号</w:t>
                  </w:r>
                </w:p>
              </w:tc>
              <w:tc>
                <w:tcPr>
                  <w:tcW w:w="932"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eastAsia="宋体" w:cs="Times New Roman"/>
                      <w:color w:val="auto"/>
                      <w:sz w:val="21"/>
                      <w:szCs w:val="21"/>
                      <w:u w:val="none" w:color="auto"/>
                      <w:lang w:val="en-US" w:eastAsia="zh-CN"/>
                    </w:rPr>
                    <w:t>废水名称</w:t>
                  </w:r>
                </w:p>
              </w:tc>
              <w:tc>
                <w:tcPr>
                  <w:tcW w:w="675"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污染物种类</w:t>
                  </w:r>
                </w:p>
              </w:tc>
              <w:tc>
                <w:tcPr>
                  <w:tcW w:w="1133"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排放浓度（mg/L）</w:t>
                  </w:r>
                </w:p>
              </w:tc>
              <w:tc>
                <w:tcPr>
                  <w:tcW w:w="1916" w:type="pct"/>
                  <w:gridSpan w:val="2"/>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年排放量（t/a）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42"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1</w:t>
                  </w:r>
                </w:p>
              </w:tc>
              <w:tc>
                <w:tcPr>
                  <w:tcW w:w="932" w:type="pct"/>
                  <w:vMerge w:val="restart"/>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eastAsia" w:eastAsia="宋体" w:cs="Times New Roman"/>
                      <w:color w:val="auto"/>
                      <w:sz w:val="21"/>
                      <w:szCs w:val="21"/>
                      <w:u w:val="none" w:color="auto"/>
                      <w:lang w:val="en-US" w:eastAsia="zh-CN"/>
                    </w:rPr>
                    <w:t>生活污水</w:t>
                  </w:r>
                  <w:r>
                    <w:rPr>
                      <w:rFonts w:hint="eastAsia" w:ascii="Times New Roman" w:hAnsi="Times New Roman" w:eastAsia="宋体" w:cs="Times New Roman"/>
                      <w:color w:val="auto"/>
                      <w:sz w:val="21"/>
                      <w:szCs w:val="21"/>
                      <w:u w:val="none" w:color="auto"/>
                      <w:lang w:val="en-US" w:eastAsia="zh-CN"/>
                    </w:rPr>
                    <w:t>DW001</w:t>
                  </w:r>
                </w:p>
              </w:tc>
              <w:tc>
                <w:tcPr>
                  <w:tcW w:w="675" w:type="pct"/>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default" w:ascii="Times New Roman" w:hAnsi="Times New Roman" w:eastAsia="宋体" w:cs="Times New Roman"/>
                      <w:color w:val="auto"/>
                      <w:sz w:val="21"/>
                      <w:szCs w:val="21"/>
                      <w:u w:val="none" w:color="auto"/>
                      <w:lang w:val="en-US" w:eastAsia="zh-CN"/>
                    </w:rPr>
                    <w:t>COD</w:t>
                  </w:r>
                </w:p>
              </w:tc>
              <w:tc>
                <w:tcPr>
                  <w:tcW w:w="1133" w:type="pct"/>
                  <w:tcBorders>
                    <w:tl2br w:val="nil"/>
                    <w:tr2bl w:val="nil"/>
                  </w:tcBorders>
                  <w:vAlign w:val="center"/>
                </w:tcPr>
                <w:p>
                  <w:pPr>
                    <w:pStyle w:val="28"/>
                    <w:pageBreakBefore w:val="0"/>
                    <w:kinsoku/>
                    <w:overflowPunct/>
                    <w:bidi w:val="0"/>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b w:val="0"/>
                      <w:bCs/>
                      <w:color w:val="auto"/>
                      <w:sz w:val="21"/>
                      <w:szCs w:val="21"/>
                      <w:lang w:val="en-US" w:eastAsia="zh-CN"/>
                    </w:rPr>
                    <w:t>60</w:t>
                  </w:r>
                </w:p>
              </w:tc>
              <w:tc>
                <w:tcPr>
                  <w:tcW w:w="1916" w:type="pct"/>
                  <w:gridSpan w:val="2"/>
                  <w:tcBorders>
                    <w:tl2br w:val="nil"/>
                    <w:tr2bl w:val="nil"/>
                  </w:tcBorders>
                  <w:vAlign w:val="center"/>
                </w:tcPr>
                <w:p>
                  <w:pPr>
                    <w:pStyle w:val="28"/>
                    <w:pageBreakBefore w:val="0"/>
                    <w:kinsoku/>
                    <w:overflowPunct/>
                    <w:bidi w:val="0"/>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0.071</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42"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2</w:t>
                  </w:r>
                </w:p>
              </w:tc>
              <w:tc>
                <w:tcPr>
                  <w:tcW w:w="932" w:type="pct"/>
                  <w:vMerge w:val="continue"/>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p>
              </w:tc>
              <w:tc>
                <w:tcPr>
                  <w:tcW w:w="675" w:type="pct"/>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default" w:ascii="Times New Roman" w:hAnsi="Times New Roman" w:eastAsia="宋体" w:cs="Times New Roman"/>
                      <w:color w:val="auto"/>
                      <w:sz w:val="21"/>
                      <w:szCs w:val="21"/>
                      <w:u w:val="none" w:color="auto"/>
                      <w:lang w:val="en-US" w:eastAsia="zh-CN"/>
                    </w:rPr>
                    <w:t>BOD</w:t>
                  </w:r>
                  <w:r>
                    <w:rPr>
                      <w:rFonts w:hint="default" w:ascii="Times New Roman" w:hAnsi="Times New Roman" w:eastAsia="宋体" w:cs="Times New Roman"/>
                      <w:color w:val="auto"/>
                      <w:sz w:val="21"/>
                      <w:szCs w:val="21"/>
                      <w:u w:val="none" w:color="auto"/>
                      <w:vertAlign w:val="subscript"/>
                      <w:lang w:val="en-US" w:eastAsia="zh-CN"/>
                    </w:rPr>
                    <w:t>5</w:t>
                  </w:r>
                </w:p>
              </w:tc>
              <w:tc>
                <w:tcPr>
                  <w:tcW w:w="1133" w:type="pct"/>
                  <w:tcBorders>
                    <w:tl2br w:val="nil"/>
                    <w:tr2bl w:val="nil"/>
                  </w:tcBorders>
                  <w:vAlign w:val="center"/>
                </w:tcPr>
                <w:p>
                  <w:pPr>
                    <w:pStyle w:val="28"/>
                    <w:pageBreakBefore w:val="0"/>
                    <w:kinsoku/>
                    <w:overflowPunct/>
                    <w:bidi w:val="0"/>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20</w:t>
                  </w:r>
                </w:p>
              </w:tc>
              <w:tc>
                <w:tcPr>
                  <w:tcW w:w="1916" w:type="pct"/>
                  <w:gridSpan w:val="2"/>
                  <w:tcBorders>
                    <w:tl2br w:val="nil"/>
                    <w:tr2bl w:val="nil"/>
                  </w:tcBorders>
                  <w:vAlign w:val="center"/>
                </w:tcPr>
                <w:p>
                  <w:pPr>
                    <w:pStyle w:val="28"/>
                    <w:pageBreakBefore w:val="0"/>
                    <w:kinsoku/>
                    <w:overflowPunct/>
                    <w:bidi w:val="0"/>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0.024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42"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3</w:t>
                  </w:r>
                </w:p>
              </w:tc>
              <w:tc>
                <w:tcPr>
                  <w:tcW w:w="932" w:type="pct"/>
                  <w:vMerge w:val="continue"/>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p>
              </w:tc>
              <w:tc>
                <w:tcPr>
                  <w:tcW w:w="675" w:type="pct"/>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default" w:ascii="Times New Roman" w:hAnsi="Times New Roman" w:eastAsia="宋体" w:cs="Times New Roman"/>
                      <w:color w:val="auto"/>
                      <w:sz w:val="21"/>
                      <w:szCs w:val="21"/>
                      <w:u w:val="none" w:color="auto"/>
                      <w:lang w:val="en-US" w:eastAsia="zh-CN"/>
                    </w:rPr>
                    <w:t>SS</w:t>
                  </w:r>
                </w:p>
              </w:tc>
              <w:tc>
                <w:tcPr>
                  <w:tcW w:w="1133" w:type="pct"/>
                  <w:tcBorders>
                    <w:tl2br w:val="nil"/>
                    <w:tr2bl w:val="nil"/>
                  </w:tcBorders>
                  <w:vAlign w:val="center"/>
                </w:tcPr>
                <w:p>
                  <w:pPr>
                    <w:pStyle w:val="28"/>
                    <w:pageBreakBefore w:val="0"/>
                    <w:kinsoku/>
                    <w:overflowPunct/>
                    <w:bidi w:val="0"/>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20</w:t>
                  </w:r>
                </w:p>
              </w:tc>
              <w:tc>
                <w:tcPr>
                  <w:tcW w:w="1916" w:type="pct"/>
                  <w:gridSpan w:val="2"/>
                  <w:tcBorders>
                    <w:tl2br w:val="nil"/>
                    <w:tr2bl w:val="nil"/>
                  </w:tcBorders>
                  <w:vAlign w:val="center"/>
                </w:tcPr>
                <w:p>
                  <w:pPr>
                    <w:pStyle w:val="28"/>
                    <w:pageBreakBefore w:val="0"/>
                    <w:kinsoku/>
                    <w:overflowPunct/>
                    <w:bidi w:val="0"/>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0.024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42"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4</w:t>
                  </w:r>
                </w:p>
              </w:tc>
              <w:tc>
                <w:tcPr>
                  <w:tcW w:w="932" w:type="pct"/>
                  <w:vMerge w:val="continue"/>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p>
              </w:tc>
              <w:tc>
                <w:tcPr>
                  <w:tcW w:w="675" w:type="pct"/>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default" w:ascii="Times New Roman" w:hAnsi="Times New Roman" w:eastAsia="宋体" w:cs="Times New Roman"/>
                      <w:color w:val="auto"/>
                      <w:sz w:val="21"/>
                      <w:szCs w:val="21"/>
                      <w:u w:val="none" w:color="auto"/>
                      <w:lang w:val="en-US" w:eastAsia="zh-CN"/>
                    </w:rPr>
                    <w:t>NH</w:t>
                  </w:r>
                  <w:r>
                    <w:rPr>
                      <w:rFonts w:hint="default" w:ascii="Times New Roman" w:hAnsi="Times New Roman" w:eastAsia="宋体" w:cs="Times New Roman"/>
                      <w:color w:val="auto"/>
                      <w:sz w:val="21"/>
                      <w:szCs w:val="21"/>
                      <w:u w:val="none" w:color="auto"/>
                      <w:vertAlign w:val="subscript"/>
                      <w:lang w:val="en-US" w:eastAsia="zh-CN"/>
                    </w:rPr>
                    <w:t>3</w:t>
                  </w:r>
                  <w:r>
                    <w:rPr>
                      <w:rFonts w:hint="default" w:ascii="Times New Roman" w:hAnsi="Times New Roman" w:eastAsia="宋体" w:cs="Times New Roman"/>
                      <w:color w:val="auto"/>
                      <w:sz w:val="21"/>
                      <w:szCs w:val="21"/>
                      <w:u w:val="none" w:color="auto"/>
                      <w:lang w:val="en-US" w:eastAsia="zh-CN"/>
                    </w:rPr>
                    <w:t>-N</w:t>
                  </w:r>
                </w:p>
              </w:tc>
              <w:tc>
                <w:tcPr>
                  <w:tcW w:w="1133" w:type="pct"/>
                  <w:tcBorders>
                    <w:tl2br w:val="nil"/>
                    <w:tr2bl w:val="nil"/>
                  </w:tcBorders>
                  <w:vAlign w:val="center"/>
                </w:tcPr>
                <w:p>
                  <w:pPr>
                    <w:pStyle w:val="28"/>
                    <w:pageBreakBefore w:val="0"/>
                    <w:kinsoku/>
                    <w:overflowPunct/>
                    <w:bidi w:val="0"/>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b w:val="0"/>
                      <w:bCs/>
                      <w:color w:val="auto"/>
                      <w:sz w:val="21"/>
                      <w:szCs w:val="21"/>
                      <w:lang w:val="en-US" w:eastAsia="zh-CN"/>
                    </w:rPr>
                    <w:t>15</w:t>
                  </w:r>
                </w:p>
              </w:tc>
              <w:tc>
                <w:tcPr>
                  <w:tcW w:w="1916" w:type="pct"/>
                  <w:gridSpan w:val="2"/>
                  <w:tcBorders>
                    <w:tl2br w:val="nil"/>
                    <w:tr2bl w:val="nil"/>
                  </w:tcBorders>
                  <w:vAlign w:val="center"/>
                </w:tcPr>
                <w:p>
                  <w:pPr>
                    <w:pStyle w:val="28"/>
                    <w:pageBreakBefore w:val="0"/>
                    <w:kinsoku/>
                    <w:overflowPunct/>
                    <w:bidi w:val="0"/>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0.018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42"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5</w:t>
                  </w:r>
                </w:p>
              </w:tc>
              <w:tc>
                <w:tcPr>
                  <w:tcW w:w="932" w:type="pct"/>
                  <w:vMerge w:val="continue"/>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p>
              </w:tc>
              <w:tc>
                <w:tcPr>
                  <w:tcW w:w="675" w:type="pct"/>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动植物油</w:t>
                  </w:r>
                </w:p>
              </w:tc>
              <w:tc>
                <w:tcPr>
                  <w:tcW w:w="1133" w:type="pct"/>
                  <w:tcBorders>
                    <w:tl2br w:val="nil"/>
                    <w:tr2bl w:val="nil"/>
                  </w:tcBorders>
                  <w:vAlign w:val="center"/>
                </w:tcPr>
                <w:p>
                  <w:pPr>
                    <w:pStyle w:val="28"/>
                    <w:pageBreakBefore w:val="0"/>
                    <w:kinsoku/>
                    <w:overflowPunct/>
                    <w:bidi w:val="0"/>
                    <w:spacing w:line="240" w:lineRule="auto"/>
                    <w:jc w:val="center"/>
                    <w:rPr>
                      <w:rFonts w:hint="eastAsia"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b w:val="0"/>
                      <w:bCs/>
                      <w:color w:val="auto"/>
                      <w:sz w:val="21"/>
                      <w:szCs w:val="21"/>
                      <w:lang w:val="en-US" w:eastAsia="zh-CN"/>
                    </w:rPr>
                    <w:t>3</w:t>
                  </w:r>
                </w:p>
              </w:tc>
              <w:tc>
                <w:tcPr>
                  <w:tcW w:w="1916" w:type="pct"/>
                  <w:gridSpan w:val="2"/>
                  <w:tcBorders>
                    <w:tl2br w:val="nil"/>
                    <w:tr2bl w:val="nil"/>
                  </w:tcBorders>
                  <w:vAlign w:val="center"/>
                </w:tcPr>
                <w:p>
                  <w:pPr>
                    <w:pStyle w:val="28"/>
                    <w:pageBreakBefore w:val="0"/>
                    <w:kinsoku/>
                    <w:overflowPunct/>
                    <w:bidi w:val="0"/>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0.0035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42"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6</w:t>
                  </w:r>
                </w:p>
              </w:tc>
              <w:tc>
                <w:tcPr>
                  <w:tcW w:w="932" w:type="pct"/>
                  <w:vMerge w:val="restart"/>
                  <w:tcBorders>
                    <w:tl2br w:val="nil"/>
                    <w:tr2bl w:val="nil"/>
                  </w:tcBorders>
                  <w:vAlign w:val="center"/>
                </w:tcPr>
                <w:p>
                  <w:pPr>
                    <w:pStyle w:val="47"/>
                    <w:spacing w:line="240" w:lineRule="auto"/>
                    <w:jc w:val="center"/>
                    <w:rPr>
                      <w:rFonts w:hint="eastAsia" w:eastAsia="宋体" w:cs="Times New Roman"/>
                      <w:color w:val="auto"/>
                      <w:sz w:val="21"/>
                      <w:szCs w:val="21"/>
                      <w:u w:val="none" w:color="auto"/>
                      <w:lang w:val="en-US" w:eastAsia="zh-CN"/>
                    </w:rPr>
                  </w:pPr>
                  <w:r>
                    <w:rPr>
                      <w:rFonts w:hint="eastAsia" w:eastAsia="宋体" w:cs="Times New Roman"/>
                      <w:color w:val="auto"/>
                      <w:sz w:val="21"/>
                      <w:szCs w:val="21"/>
                      <w:u w:val="none" w:color="auto"/>
                      <w:lang w:val="en-US" w:eastAsia="zh-CN"/>
                    </w:rPr>
                    <w:t>初期雨水</w:t>
                  </w:r>
                </w:p>
                <w:p>
                  <w:pPr>
                    <w:pStyle w:val="47"/>
                    <w:spacing w:line="240" w:lineRule="auto"/>
                    <w:jc w:val="center"/>
                    <w:rPr>
                      <w:rFonts w:hint="default"/>
                      <w:lang w:val="en-US" w:eastAsia="zh-CN"/>
                    </w:rPr>
                  </w:pPr>
                  <w:r>
                    <w:rPr>
                      <w:rFonts w:hint="eastAsia" w:eastAsia="宋体" w:cs="Times New Roman"/>
                      <w:color w:val="auto"/>
                      <w:sz w:val="21"/>
                      <w:szCs w:val="21"/>
                      <w:u w:val="none" w:color="auto"/>
                      <w:lang w:val="en-US" w:eastAsia="zh-CN"/>
                    </w:rPr>
                    <w:t>DW002</w:t>
                  </w:r>
                </w:p>
              </w:tc>
              <w:tc>
                <w:tcPr>
                  <w:tcW w:w="675" w:type="pct"/>
                  <w:tcBorders>
                    <w:tl2br w:val="nil"/>
                    <w:tr2bl w:val="nil"/>
                  </w:tcBorders>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 w:val="0"/>
                      <w:bCs/>
                      <w:color w:val="auto"/>
                      <w:sz w:val="21"/>
                      <w:szCs w:val="21"/>
                      <w:lang w:val="en-US" w:eastAsia="zh-CN"/>
                    </w:rPr>
                    <w:t>COD</w:t>
                  </w:r>
                </w:p>
              </w:tc>
              <w:tc>
                <w:tcPr>
                  <w:tcW w:w="1133" w:type="pct"/>
                  <w:tcBorders>
                    <w:tl2br w:val="nil"/>
                    <w:tr2bl w:val="nil"/>
                  </w:tcBorders>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 w:val="0"/>
                      <w:bCs/>
                      <w:color w:val="auto"/>
                      <w:sz w:val="21"/>
                      <w:szCs w:val="21"/>
                      <w:lang w:val="en-US" w:eastAsia="zh-CN"/>
                    </w:rPr>
                    <w:t>60</w:t>
                  </w:r>
                </w:p>
              </w:tc>
              <w:tc>
                <w:tcPr>
                  <w:tcW w:w="1916" w:type="pct"/>
                  <w:gridSpan w:val="2"/>
                  <w:tcBorders>
                    <w:tl2br w:val="nil"/>
                    <w:tr2bl w:val="nil"/>
                  </w:tcBorders>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 w:val="0"/>
                      <w:bCs/>
                      <w:color w:val="auto"/>
                      <w:kern w:val="2"/>
                      <w:sz w:val="21"/>
                      <w:szCs w:val="21"/>
                      <w:lang w:val="en-US" w:eastAsia="zh-CN" w:bidi="ar-SA"/>
                    </w:rPr>
                    <w:t>0.185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42"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7</w:t>
                  </w:r>
                </w:p>
              </w:tc>
              <w:tc>
                <w:tcPr>
                  <w:tcW w:w="932" w:type="pct"/>
                  <w:vMerge w:val="continue"/>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p>
              </w:tc>
              <w:tc>
                <w:tcPr>
                  <w:tcW w:w="675" w:type="pct"/>
                  <w:tcBorders>
                    <w:tl2br w:val="nil"/>
                    <w:tr2bl w:val="nil"/>
                  </w:tcBorders>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 w:val="0"/>
                      <w:bCs/>
                      <w:color w:val="auto"/>
                      <w:sz w:val="21"/>
                      <w:szCs w:val="21"/>
                      <w:lang w:val="en-US" w:eastAsia="zh-CN"/>
                    </w:rPr>
                    <w:t>BOD</w:t>
                  </w:r>
                  <w:r>
                    <w:rPr>
                      <w:rFonts w:hint="eastAsia" w:ascii="Times New Roman" w:hAnsi="Times New Roman" w:eastAsia="宋体" w:cs="Times New Roman"/>
                      <w:b w:val="0"/>
                      <w:bCs/>
                      <w:color w:val="auto"/>
                      <w:sz w:val="21"/>
                      <w:szCs w:val="21"/>
                      <w:vertAlign w:val="subscript"/>
                      <w:lang w:val="en-US" w:eastAsia="zh-CN"/>
                    </w:rPr>
                    <w:t>5</w:t>
                  </w:r>
                </w:p>
              </w:tc>
              <w:tc>
                <w:tcPr>
                  <w:tcW w:w="1133" w:type="pct"/>
                  <w:tcBorders>
                    <w:tl2br w:val="nil"/>
                    <w:tr2bl w:val="nil"/>
                  </w:tcBorders>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color w:val="auto"/>
                      <w:sz w:val="21"/>
                      <w:szCs w:val="21"/>
                      <w:u w:val="none" w:color="auto"/>
                      <w:lang w:val="en-US" w:eastAsia="zh-CN"/>
                    </w:rPr>
                    <w:t>20</w:t>
                  </w:r>
                </w:p>
              </w:tc>
              <w:tc>
                <w:tcPr>
                  <w:tcW w:w="1916" w:type="pct"/>
                  <w:gridSpan w:val="2"/>
                  <w:tcBorders>
                    <w:tl2br w:val="nil"/>
                    <w:tr2bl w:val="nil"/>
                  </w:tcBorders>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 w:val="0"/>
                      <w:bCs/>
                      <w:color w:val="auto"/>
                      <w:kern w:val="2"/>
                      <w:sz w:val="21"/>
                      <w:szCs w:val="21"/>
                      <w:lang w:val="en-US" w:eastAsia="zh-CN" w:bidi="ar-SA"/>
                    </w:rPr>
                    <w:t>0.062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42"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eastAsia="宋体" w:cs="Times New Roman"/>
                      <w:color w:val="auto"/>
                      <w:sz w:val="21"/>
                      <w:szCs w:val="21"/>
                      <w:u w:val="none" w:color="auto"/>
                      <w:lang w:val="en-US" w:eastAsia="zh-CN"/>
                    </w:rPr>
                    <w:t>8</w:t>
                  </w:r>
                </w:p>
              </w:tc>
              <w:tc>
                <w:tcPr>
                  <w:tcW w:w="932" w:type="pct"/>
                  <w:vMerge w:val="continue"/>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p>
              </w:tc>
              <w:tc>
                <w:tcPr>
                  <w:tcW w:w="675" w:type="pct"/>
                  <w:tcBorders>
                    <w:tl2br w:val="nil"/>
                    <w:tr2bl w:val="nil"/>
                  </w:tcBorders>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 w:val="0"/>
                      <w:bCs/>
                      <w:color w:val="auto"/>
                      <w:sz w:val="21"/>
                      <w:szCs w:val="21"/>
                      <w:lang w:val="en-US" w:eastAsia="zh-CN"/>
                    </w:rPr>
                    <w:t>SS</w:t>
                  </w:r>
                </w:p>
              </w:tc>
              <w:tc>
                <w:tcPr>
                  <w:tcW w:w="1133" w:type="pct"/>
                  <w:tcBorders>
                    <w:tl2br w:val="nil"/>
                    <w:tr2bl w:val="nil"/>
                  </w:tcBorders>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color w:val="auto"/>
                      <w:sz w:val="21"/>
                      <w:szCs w:val="21"/>
                      <w:u w:val="none" w:color="auto"/>
                      <w:lang w:val="en-US" w:eastAsia="zh-CN"/>
                    </w:rPr>
                    <w:t>20</w:t>
                  </w:r>
                </w:p>
              </w:tc>
              <w:tc>
                <w:tcPr>
                  <w:tcW w:w="1916" w:type="pct"/>
                  <w:gridSpan w:val="2"/>
                  <w:tcBorders>
                    <w:tl2br w:val="nil"/>
                    <w:tr2bl w:val="nil"/>
                  </w:tcBorders>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 w:val="0"/>
                      <w:bCs/>
                      <w:color w:val="auto"/>
                      <w:kern w:val="2"/>
                      <w:sz w:val="21"/>
                      <w:szCs w:val="21"/>
                      <w:lang w:val="en-US" w:eastAsia="zh-CN" w:bidi="ar-SA"/>
                    </w:rPr>
                    <w:t>0.062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42"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eastAsia="宋体" w:cs="Times New Roman"/>
                      <w:color w:val="auto"/>
                      <w:sz w:val="21"/>
                      <w:szCs w:val="21"/>
                      <w:u w:val="none" w:color="auto"/>
                      <w:lang w:val="en-US" w:eastAsia="zh-CN"/>
                    </w:rPr>
                    <w:t>9</w:t>
                  </w:r>
                </w:p>
              </w:tc>
              <w:tc>
                <w:tcPr>
                  <w:tcW w:w="932" w:type="pct"/>
                  <w:vMerge w:val="continue"/>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p>
              </w:tc>
              <w:tc>
                <w:tcPr>
                  <w:tcW w:w="675" w:type="pct"/>
                  <w:tcBorders>
                    <w:tl2br w:val="nil"/>
                    <w:tr2bl w:val="nil"/>
                  </w:tcBorders>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color w:val="auto"/>
                      <w:sz w:val="21"/>
                      <w:szCs w:val="21"/>
                      <w:u w:val="none" w:color="auto"/>
                      <w:lang w:val="en-US" w:eastAsia="zh-CN"/>
                    </w:rPr>
                    <w:t>NH</w:t>
                  </w:r>
                  <w:r>
                    <w:rPr>
                      <w:rFonts w:hint="default" w:ascii="Times New Roman" w:hAnsi="Times New Roman" w:eastAsia="宋体" w:cs="Times New Roman"/>
                      <w:color w:val="auto"/>
                      <w:sz w:val="21"/>
                      <w:szCs w:val="21"/>
                      <w:u w:val="none" w:color="auto"/>
                      <w:vertAlign w:val="subscript"/>
                      <w:lang w:val="en-US" w:eastAsia="zh-CN"/>
                    </w:rPr>
                    <w:t>3</w:t>
                  </w:r>
                  <w:r>
                    <w:rPr>
                      <w:rFonts w:hint="default" w:ascii="Times New Roman" w:hAnsi="Times New Roman" w:eastAsia="宋体" w:cs="Times New Roman"/>
                      <w:color w:val="auto"/>
                      <w:sz w:val="21"/>
                      <w:szCs w:val="21"/>
                      <w:u w:val="none" w:color="auto"/>
                      <w:lang w:val="en-US" w:eastAsia="zh-CN"/>
                    </w:rPr>
                    <w:t>-N</w:t>
                  </w:r>
                </w:p>
              </w:tc>
              <w:tc>
                <w:tcPr>
                  <w:tcW w:w="1133" w:type="pct"/>
                  <w:tcBorders>
                    <w:tl2br w:val="nil"/>
                    <w:tr2bl w:val="nil"/>
                  </w:tcBorders>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 w:val="0"/>
                      <w:bCs/>
                      <w:color w:val="auto"/>
                      <w:sz w:val="21"/>
                      <w:szCs w:val="21"/>
                      <w:lang w:val="en-US" w:eastAsia="zh-CN"/>
                    </w:rPr>
                    <w:t>15</w:t>
                  </w:r>
                </w:p>
              </w:tc>
              <w:tc>
                <w:tcPr>
                  <w:tcW w:w="1916" w:type="pct"/>
                  <w:gridSpan w:val="2"/>
                  <w:tcBorders>
                    <w:tl2br w:val="nil"/>
                    <w:tr2bl w:val="nil"/>
                  </w:tcBorders>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 w:val="0"/>
                      <w:bCs/>
                      <w:color w:val="auto"/>
                      <w:kern w:val="2"/>
                      <w:sz w:val="21"/>
                      <w:szCs w:val="21"/>
                      <w:lang w:val="en-US" w:eastAsia="zh-CN" w:bidi="ar-SA"/>
                    </w:rPr>
                    <w:t>0.046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42"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eastAsia="宋体" w:cs="Times New Roman"/>
                      <w:color w:val="auto"/>
                      <w:sz w:val="21"/>
                      <w:szCs w:val="21"/>
                      <w:u w:val="none" w:color="auto"/>
                      <w:lang w:val="en-US" w:eastAsia="zh-CN"/>
                    </w:rPr>
                    <w:t>10</w:t>
                  </w:r>
                </w:p>
              </w:tc>
              <w:tc>
                <w:tcPr>
                  <w:tcW w:w="932" w:type="pct"/>
                  <w:vMerge w:val="continue"/>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p>
              </w:tc>
              <w:tc>
                <w:tcPr>
                  <w:tcW w:w="675" w:type="pct"/>
                  <w:tcBorders>
                    <w:tl2br w:val="nil"/>
                    <w:tr2bl w:val="nil"/>
                  </w:tcBorders>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 w:val="0"/>
                      <w:bCs/>
                      <w:color w:val="auto"/>
                      <w:sz w:val="21"/>
                      <w:szCs w:val="21"/>
                      <w:lang w:val="en-US" w:eastAsia="zh-CN"/>
                    </w:rPr>
                    <w:t>石油类</w:t>
                  </w:r>
                </w:p>
              </w:tc>
              <w:tc>
                <w:tcPr>
                  <w:tcW w:w="1133" w:type="pct"/>
                  <w:tcBorders>
                    <w:tl2br w:val="nil"/>
                    <w:tr2bl w:val="nil"/>
                  </w:tcBorders>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 w:val="0"/>
                      <w:bCs/>
                      <w:color w:val="auto"/>
                      <w:sz w:val="21"/>
                      <w:szCs w:val="21"/>
                      <w:lang w:val="en-US" w:eastAsia="zh-CN"/>
                    </w:rPr>
                    <w:t>3</w:t>
                  </w:r>
                </w:p>
              </w:tc>
              <w:tc>
                <w:tcPr>
                  <w:tcW w:w="1916" w:type="pct"/>
                  <w:gridSpan w:val="2"/>
                  <w:tcBorders>
                    <w:tl2br w:val="nil"/>
                    <w:tr2bl w:val="nil"/>
                  </w:tcBorders>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 w:val="0"/>
                      <w:bCs/>
                      <w:color w:val="auto"/>
                      <w:kern w:val="2"/>
                      <w:sz w:val="21"/>
                      <w:szCs w:val="21"/>
                      <w:lang w:val="en-US" w:eastAsia="zh-CN" w:bidi="ar-SA"/>
                    </w:rPr>
                    <w:t>0.0093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42" w:type="pct"/>
                  <w:tcBorders>
                    <w:tl2br w:val="nil"/>
                    <w:tr2bl w:val="nil"/>
                  </w:tcBorders>
                  <w:vAlign w:val="center"/>
                </w:tcPr>
                <w:p>
                  <w:pPr>
                    <w:pStyle w:val="47"/>
                    <w:spacing w:line="240" w:lineRule="auto"/>
                    <w:jc w:val="center"/>
                    <w:rPr>
                      <w:rFonts w:hint="default" w:eastAsia="宋体" w:cs="Times New Roman"/>
                      <w:color w:val="auto"/>
                      <w:sz w:val="21"/>
                      <w:szCs w:val="21"/>
                      <w:u w:val="none" w:color="auto"/>
                      <w:lang w:val="en-US" w:eastAsia="zh-CN"/>
                    </w:rPr>
                  </w:pPr>
                  <w:r>
                    <w:rPr>
                      <w:rFonts w:hint="eastAsia" w:eastAsia="宋体" w:cs="Times New Roman"/>
                      <w:color w:val="auto"/>
                      <w:sz w:val="21"/>
                      <w:szCs w:val="21"/>
                      <w:u w:val="none" w:color="auto"/>
                      <w:lang w:val="en-US" w:eastAsia="zh-CN"/>
                    </w:rPr>
                    <w:t>11</w:t>
                  </w:r>
                </w:p>
              </w:tc>
              <w:tc>
                <w:tcPr>
                  <w:tcW w:w="932" w:type="pct"/>
                  <w:vMerge w:val="restart"/>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eastAsia" w:eastAsia="宋体" w:cs="Times New Roman"/>
                      <w:color w:val="auto"/>
                      <w:sz w:val="21"/>
                      <w:szCs w:val="21"/>
                      <w:u w:val="none" w:color="auto"/>
                      <w:lang w:val="en-US" w:eastAsia="zh-CN"/>
                    </w:rPr>
                    <w:t>拖把清洗废水DW002</w:t>
                  </w:r>
                </w:p>
              </w:tc>
              <w:tc>
                <w:tcPr>
                  <w:tcW w:w="675" w:type="pct"/>
                  <w:tcBorders>
                    <w:tl2br w:val="nil"/>
                    <w:tr2bl w:val="nil"/>
                  </w:tcBorders>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 w:val="0"/>
                      <w:bCs/>
                      <w:color w:val="auto"/>
                      <w:sz w:val="21"/>
                      <w:szCs w:val="21"/>
                      <w:lang w:val="en-US" w:eastAsia="zh-CN"/>
                    </w:rPr>
                    <w:t>COD</w:t>
                  </w:r>
                </w:p>
              </w:tc>
              <w:tc>
                <w:tcPr>
                  <w:tcW w:w="1133" w:type="pct"/>
                  <w:tcBorders>
                    <w:tl2br w:val="nil"/>
                    <w:tr2bl w:val="nil"/>
                  </w:tcBorders>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 w:val="0"/>
                      <w:bCs/>
                      <w:color w:val="auto"/>
                      <w:sz w:val="21"/>
                      <w:szCs w:val="21"/>
                      <w:lang w:val="en-US" w:eastAsia="zh-CN"/>
                    </w:rPr>
                    <w:t>60</w:t>
                  </w:r>
                </w:p>
              </w:tc>
              <w:tc>
                <w:tcPr>
                  <w:tcW w:w="1916" w:type="pct"/>
                  <w:gridSpan w:val="2"/>
                  <w:tcBorders>
                    <w:tl2br w:val="nil"/>
                    <w:tr2bl w:val="nil"/>
                  </w:tcBorders>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 w:val="0"/>
                      <w:bCs/>
                      <w:color w:val="auto"/>
                      <w:kern w:val="2"/>
                      <w:sz w:val="21"/>
                      <w:szCs w:val="21"/>
                      <w:lang w:val="en-US" w:eastAsia="zh-CN" w:bidi="ar-SA"/>
                    </w:rPr>
                    <w:t>0.0016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42" w:type="pct"/>
                  <w:tcBorders>
                    <w:tl2br w:val="nil"/>
                    <w:tr2bl w:val="nil"/>
                  </w:tcBorders>
                  <w:vAlign w:val="center"/>
                </w:tcPr>
                <w:p>
                  <w:pPr>
                    <w:pStyle w:val="47"/>
                    <w:spacing w:line="240" w:lineRule="auto"/>
                    <w:jc w:val="center"/>
                    <w:rPr>
                      <w:rFonts w:hint="default" w:eastAsia="宋体" w:cs="Times New Roman"/>
                      <w:color w:val="auto"/>
                      <w:sz w:val="21"/>
                      <w:szCs w:val="21"/>
                      <w:u w:val="none" w:color="auto"/>
                      <w:lang w:val="en-US" w:eastAsia="zh-CN"/>
                    </w:rPr>
                  </w:pPr>
                  <w:r>
                    <w:rPr>
                      <w:rFonts w:hint="eastAsia" w:eastAsia="宋体" w:cs="Times New Roman"/>
                      <w:color w:val="auto"/>
                      <w:sz w:val="21"/>
                      <w:szCs w:val="21"/>
                      <w:u w:val="none" w:color="auto"/>
                      <w:lang w:val="en-US" w:eastAsia="zh-CN"/>
                    </w:rPr>
                    <w:t>12</w:t>
                  </w:r>
                </w:p>
              </w:tc>
              <w:tc>
                <w:tcPr>
                  <w:tcW w:w="932" w:type="pct"/>
                  <w:vMerge w:val="continue"/>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p>
              </w:tc>
              <w:tc>
                <w:tcPr>
                  <w:tcW w:w="675" w:type="pct"/>
                  <w:tcBorders>
                    <w:tl2br w:val="nil"/>
                    <w:tr2bl w:val="nil"/>
                  </w:tcBorders>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 w:val="0"/>
                      <w:bCs/>
                      <w:color w:val="auto"/>
                      <w:sz w:val="21"/>
                      <w:szCs w:val="21"/>
                      <w:lang w:val="en-US" w:eastAsia="zh-CN"/>
                    </w:rPr>
                    <w:t>BOD</w:t>
                  </w:r>
                  <w:r>
                    <w:rPr>
                      <w:rFonts w:hint="eastAsia" w:ascii="Times New Roman" w:hAnsi="Times New Roman" w:eastAsia="宋体" w:cs="Times New Roman"/>
                      <w:b w:val="0"/>
                      <w:bCs/>
                      <w:color w:val="auto"/>
                      <w:sz w:val="21"/>
                      <w:szCs w:val="21"/>
                      <w:vertAlign w:val="subscript"/>
                      <w:lang w:val="en-US" w:eastAsia="zh-CN"/>
                    </w:rPr>
                    <w:t>5</w:t>
                  </w:r>
                </w:p>
              </w:tc>
              <w:tc>
                <w:tcPr>
                  <w:tcW w:w="1133" w:type="pct"/>
                  <w:tcBorders>
                    <w:tl2br w:val="nil"/>
                    <w:tr2bl w:val="nil"/>
                  </w:tcBorders>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color w:val="auto"/>
                      <w:sz w:val="21"/>
                      <w:szCs w:val="21"/>
                      <w:u w:val="none" w:color="auto"/>
                      <w:lang w:val="en-US" w:eastAsia="zh-CN"/>
                    </w:rPr>
                    <w:t>20</w:t>
                  </w:r>
                </w:p>
              </w:tc>
              <w:tc>
                <w:tcPr>
                  <w:tcW w:w="1916" w:type="pct"/>
                  <w:gridSpan w:val="2"/>
                  <w:tcBorders>
                    <w:tl2br w:val="nil"/>
                    <w:tr2bl w:val="nil"/>
                  </w:tcBorders>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 w:val="0"/>
                      <w:bCs/>
                      <w:color w:val="auto"/>
                      <w:kern w:val="2"/>
                      <w:sz w:val="21"/>
                      <w:szCs w:val="21"/>
                      <w:lang w:val="en-US" w:eastAsia="zh-CN" w:bidi="ar-SA"/>
                    </w:rPr>
                    <w:t>0.0005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342" w:type="pct"/>
                  <w:tcBorders>
                    <w:tl2br w:val="nil"/>
                    <w:tr2bl w:val="nil"/>
                  </w:tcBorders>
                  <w:vAlign w:val="center"/>
                </w:tcPr>
                <w:p>
                  <w:pPr>
                    <w:pStyle w:val="47"/>
                    <w:spacing w:line="240" w:lineRule="auto"/>
                    <w:jc w:val="center"/>
                    <w:rPr>
                      <w:rFonts w:hint="default" w:eastAsia="宋体" w:cs="Times New Roman"/>
                      <w:color w:val="auto"/>
                      <w:sz w:val="21"/>
                      <w:szCs w:val="21"/>
                      <w:u w:val="none" w:color="auto"/>
                      <w:lang w:val="en-US" w:eastAsia="zh-CN"/>
                    </w:rPr>
                  </w:pPr>
                  <w:r>
                    <w:rPr>
                      <w:rFonts w:hint="eastAsia" w:eastAsia="宋体" w:cs="Times New Roman"/>
                      <w:color w:val="auto"/>
                      <w:sz w:val="21"/>
                      <w:szCs w:val="21"/>
                      <w:u w:val="none" w:color="auto"/>
                      <w:lang w:val="en-US" w:eastAsia="zh-CN"/>
                    </w:rPr>
                    <w:t>13</w:t>
                  </w:r>
                </w:p>
              </w:tc>
              <w:tc>
                <w:tcPr>
                  <w:tcW w:w="932" w:type="pct"/>
                  <w:vMerge w:val="continue"/>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p>
              </w:tc>
              <w:tc>
                <w:tcPr>
                  <w:tcW w:w="675" w:type="pct"/>
                  <w:tcBorders>
                    <w:tl2br w:val="nil"/>
                    <w:tr2bl w:val="nil"/>
                  </w:tcBorders>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 w:val="0"/>
                      <w:bCs/>
                      <w:color w:val="auto"/>
                      <w:sz w:val="21"/>
                      <w:szCs w:val="21"/>
                      <w:lang w:val="en-US" w:eastAsia="zh-CN"/>
                    </w:rPr>
                    <w:t>SS</w:t>
                  </w:r>
                </w:p>
              </w:tc>
              <w:tc>
                <w:tcPr>
                  <w:tcW w:w="1133" w:type="pct"/>
                  <w:tcBorders>
                    <w:tl2br w:val="nil"/>
                    <w:tr2bl w:val="nil"/>
                  </w:tcBorders>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color w:val="auto"/>
                      <w:sz w:val="21"/>
                      <w:szCs w:val="21"/>
                      <w:u w:val="none" w:color="auto"/>
                      <w:lang w:val="en-US" w:eastAsia="zh-CN"/>
                    </w:rPr>
                    <w:t>20</w:t>
                  </w:r>
                </w:p>
              </w:tc>
              <w:tc>
                <w:tcPr>
                  <w:tcW w:w="1916" w:type="pct"/>
                  <w:gridSpan w:val="2"/>
                  <w:tcBorders>
                    <w:tl2br w:val="nil"/>
                    <w:tr2bl w:val="nil"/>
                  </w:tcBorders>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 w:val="0"/>
                      <w:bCs/>
                      <w:color w:val="auto"/>
                      <w:kern w:val="2"/>
                      <w:sz w:val="21"/>
                      <w:szCs w:val="21"/>
                      <w:lang w:val="en-US" w:eastAsia="zh-CN" w:bidi="ar-SA"/>
                    </w:rPr>
                    <w:t>0.0005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42" w:type="pct"/>
                  <w:tcBorders>
                    <w:tl2br w:val="nil"/>
                    <w:tr2bl w:val="nil"/>
                  </w:tcBorders>
                  <w:vAlign w:val="center"/>
                </w:tcPr>
                <w:p>
                  <w:pPr>
                    <w:pStyle w:val="47"/>
                    <w:spacing w:line="240" w:lineRule="auto"/>
                    <w:jc w:val="center"/>
                    <w:rPr>
                      <w:rFonts w:hint="default" w:eastAsia="宋体" w:cs="Times New Roman"/>
                      <w:color w:val="auto"/>
                      <w:sz w:val="21"/>
                      <w:szCs w:val="21"/>
                      <w:u w:val="none" w:color="auto"/>
                      <w:lang w:val="en-US" w:eastAsia="zh-CN"/>
                    </w:rPr>
                  </w:pPr>
                  <w:r>
                    <w:rPr>
                      <w:rFonts w:hint="eastAsia" w:eastAsia="宋体" w:cs="Times New Roman"/>
                      <w:color w:val="auto"/>
                      <w:sz w:val="21"/>
                      <w:szCs w:val="21"/>
                      <w:u w:val="none" w:color="auto"/>
                      <w:lang w:val="en-US" w:eastAsia="zh-CN"/>
                    </w:rPr>
                    <w:t>14</w:t>
                  </w:r>
                </w:p>
              </w:tc>
              <w:tc>
                <w:tcPr>
                  <w:tcW w:w="932" w:type="pct"/>
                  <w:vMerge w:val="continue"/>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p>
              </w:tc>
              <w:tc>
                <w:tcPr>
                  <w:tcW w:w="675" w:type="pct"/>
                  <w:tcBorders>
                    <w:tl2br w:val="nil"/>
                    <w:tr2bl w:val="nil"/>
                  </w:tcBorders>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default" w:ascii="Times New Roman" w:hAnsi="Times New Roman" w:eastAsia="宋体" w:cs="Times New Roman"/>
                      <w:color w:val="auto"/>
                      <w:sz w:val="21"/>
                      <w:szCs w:val="21"/>
                      <w:u w:val="none" w:color="auto"/>
                      <w:lang w:val="en-US" w:eastAsia="zh-CN"/>
                    </w:rPr>
                    <w:t>NH</w:t>
                  </w:r>
                  <w:r>
                    <w:rPr>
                      <w:rFonts w:hint="default" w:ascii="Times New Roman" w:hAnsi="Times New Roman" w:eastAsia="宋体" w:cs="Times New Roman"/>
                      <w:color w:val="auto"/>
                      <w:sz w:val="21"/>
                      <w:szCs w:val="21"/>
                      <w:u w:val="none" w:color="auto"/>
                      <w:vertAlign w:val="subscript"/>
                      <w:lang w:val="en-US" w:eastAsia="zh-CN"/>
                    </w:rPr>
                    <w:t>3</w:t>
                  </w:r>
                  <w:r>
                    <w:rPr>
                      <w:rFonts w:hint="default" w:ascii="Times New Roman" w:hAnsi="Times New Roman" w:eastAsia="宋体" w:cs="Times New Roman"/>
                      <w:color w:val="auto"/>
                      <w:sz w:val="21"/>
                      <w:szCs w:val="21"/>
                      <w:u w:val="none" w:color="auto"/>
                      <w:lang w:val="en-US" w:eastAsia="zh-CN"/>
                    </w:rPr>
                    <w:t>-N</w:t>
                  </w:r>
                </w:p>
              </w:tc>
              <w:tc>
                <w:tcPr>
                  <w:tcW w:w="1133" w:type="pct"/>
                  <w:tcBorders>
                    <w:tl2br w:val="nil"/>
                    <w:tr2bl w:val="nil"/>
                  </w:tcBorders>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 w:val="0"/>
                      <w:bCs/>
                      <w:color w:val="auto"/>
                      <w:sz w:val="21"/>
                      <w:szCs w:val="21"/>
                      <w:lang w:val="en-US" w:eastAsia="zh-CN"/>
                    </w:rPr>
                    <w:t>15</w:t>
                  </w:r>
                </w:p>
              </w:tc>
              <w:tc>
                <w:tcPr>
                  <w:tcW w:w="1916" w:type="pct"/>
                  <w:gridSpan w:val="2"/>
                  <w:tcBorders>
                    <w:tl2br w:val="nil"/>
                    <w:tr2bl w:val="nil"/>
                  </w:tcBorders>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 w:val="0"/>
                      <w:bCs/>
                      <w:color w:val="auto"/>
                      <w:kern w:val="2"/>
                      <w:sz w:val="21"/>
                      <w:szCs w:val="21"/>
                      <w:lang w:val="en-US" w:eastAsia="zh-CN" w:bidi="ar-SA"/>
                    </w:rPr>
                    <w:t>0.0004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42" w:type="pct"/>
                  <w:tcBorders>
                    <w:tl2br w:val="nil"/>
                    <w:tr2bl w:val="nil"/>
                  </w:tcBorders>
                  <w:vAlign w:val="center"/>
                </w:tcPr>
                <w:p>
                  <w:pPr>
                    <w:pStyle w:val="47"/>
                    <w:spacing w:line="240" w:lineRule="auto"/>
                    <w:jc w:val="center"/>
                    <w:rPr>
                      <w:rFonts w:hint="default" w:eastAsia="宋体" w:cs="Times New Roman"/>
                      <w:color w:val="auto"/>
                      <w:sz w:val="21"/>
                      <w:szCs w:val="21"/>
                      <w:u w:val="none" w:color="auto"/>
                      <w:lang w:val="en-US" w:eastAsia="zh-CN"/>
                    </w:rPr>
                  </w:pPr>
                  <w:r>
                    <w:rPr>
                      <w:rFonts w:hint="eastAsia" w:eastAsia="宋体" w:cs="Times New Roman"/>
                      <w:color w:val="auto"/>
                      <w:sz w:val="21"/>
                      <w:szCs w:val="21"/>
                      <w:u w:val="none" w:color="auto"/>
                      <w:lang w:val="en-US" w:eastAsia="zh-CN"/>
                    </w:rPr>
                    <w:t>15</w:t>
                  </w:r>
                </w:p>
              </w:tc>
              <w:tc>
                <w:tcPr>
                  <w:tcW w:w="932" w:type="pct"/>
                  <w:vMerge w:val="continue"/>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p>
              </w:tc>
              <w:tc>
                <w:tcPr>
                  <w:tcW w:w="675" w:type="pct"/>
                  <w:tcBorders>
                    <w:tl2br w:val="nil"/>
                    <w:tr2bl w:val="nil"/>
                  </w:tcBorders>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 w:val="0"/>
                      <w:bCs/>
                      <w:color w:val="auto"/>
                      <w:sz w:val="21"/>
                      <w:szCs w:val="21"/>
                      <w:lang w:val="en-US" w:eastAsia="zh-CN"/>
                    </w:rPr>
                    <w:t>石油类</w:t>
                  </w:r>
                </w:p>
              </w:tc>
              <w:tc>
                <w:tcPr>
                  <w:tcW w:w="1133" w:type="pct"/>
                  <w:tcBorders>
                    <w:tl2br w:val="nil"/>
                    <w:tr2bl w:val="nil"/>
                  </w:tcBorders>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 w:val="0"/>
                      <w:bCs/>
                      <w:color w:val="auto"/>
                      <w:sz w:val="21"/>
                      <w:szCs w:val="21"/>
                      <w:lang w:val="en-US" w:eastAsia="zh-CN"/>
                    </w:rPr>
                    <w:t>3</w:t>
                  </w:r>
                </w:p>
              </w:tc>
              <w:tc>
                <w:tcPr>
                  <w:tcW w:w="1916" w:type="pct"/>
                  <w:gridSpan w:val="2"/>
                  <w:tcBorders>
                    <w:tl2br w:val="nil"/>
                    <w:tr2bl w:val="nil"/>
                  </w:tcBorders>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 w:val="0"/>
                      <w:bCs/>
                      <w:color w:val="auto"/>
                      <w:kern w:val="2"/>
                      <w:sz w:val="21"/>
                      <w:szCs w:val="21"/>
                      <w:lang w:val="en-US" w:eastAsia="zh-CN" w:bidi="ar-SA"/>
                    </w:rPr>
                    <w:t>0.00008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74" w:type="pct"/>
                  <w:gridSpan w:val="2"/>
                  <w:vMerge w:val="restart"/>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p>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污水处理厂排放口合计</w:t>
                  </w:r>
                </w:p>
              </w:tc>
              <w:tc>
                <w:tcPr>
                  <w:tcW w:w="2752" w:type="pct"/>
                  <w:gridSpan w:val="3"/>
                  <w:tcBorders>
                    <w:tl2br w:val="nil"/>
                    <w:tr2bl w:val="nil"/>
                  </w:tcBorders>
                  <w:vAlign w:val="center"/>
                </w:tcPr>
                <w:p>
                  <w:pPr>
                    <w:pStyle w:val="47"/>
                    <w:spacing w:line="240" w:lineRule="auto"/>
                    <w:jc w:val="center"/>
                    <w:rPr>
                      <w:rFonts w:hint="eastAsia" w:ascii="Times New Roman" w:hAnsi="Times New Roman" w:eastAsia="宋体" w:cs="Times New Roman"/>
                      <w:color w:val="auto"/>
                      <w:kern w:val="2"/>
                      <w:sz w:val="21"/>
                      <w:szCs w:val="21"/>
                      <w:u w:val="none" w:color="auto"/>
                      <w:lang w:val="en-US" w:eastAsia="zh-CN" w:bidi="ar-SA"/>
                    </w:rPr>
                  </w:pPr>
                  <w:r>
                    <w:rPr>
                      <w:rFonts w:hint="default" w:ascii="Times New Roman" w:hAnsi="Times New Roman" w:eastAsia="宋体" w:cs="Times New Roman"/>
                      <w:color w:val="auto"/>
                      <w:sz w:val="21"/>
                      <w:szCs w:val="21"/>
                      <w:u w:val="none" w:color="auto"/>
                      <w:lang w:val="en-US" w:eastAsia="zh-CN"/>
                    </w:rPr>
                    <w:t>COD</w:t>
                  </w:r>
                </w:p>
              </w:tc>
              <w:tc>
                <w:tcPr>
                  <w:tcW w:w="972" w:type="pct"/>
                  <w:tcBorders>
                    <w:tl2br w:val="nil"/>
                    <w:tr2bl w:val="nil"/>
                  </w:tcBorders>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0.2576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74" w:type="pct"/>
                  <w:gridSpan w:val="2"/>
                  <w:vMerge w:val="continue"/>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p>
              </w:tc>
              <w:tc>
                <w:tcPr>
                  <w:tcW w:w="2752" w:type="pct"/>
                  <w:gridSpan w:val="3"/>
                  <w:tcBorders>
                    <w:tl2br w:val="nil"/>
                    <w:tr2bl w:val="nil"/>
                  </w:tcBorders>
                  <w:vAlign w:val="center"/>
                </w:tcPr>
                <w:p>
                  <w:pPr>
                    <w:pStyle w:val="47"/>
                    <w:spacing w:line="240" w:lineRule="auto"/>
                    <w:jc w:val="center"/>
                    <w:rPr>
                      <w:rFonts w:hint="eastAsia" w:ascii="Times New Roman" w:hAnsi="Times New Roman" w:eastAsia="宋体" w:cs="Times New Roman"/>
                      <w:color w:val="auto"/>
                      <w:kern w:val="2"/>
                      <w:sz w:val="21"/>
                      <w:szCs w:val="21"/>
                      <w:u w:val="none" w:color="auto"/>
                      <w:lang w:val="en-US" w:eastAsia="zh-CN" w:bidi="ar-SA"/>
                    </w:rPr>
                  </w:pPr>
                  <w:r>
                    <w:rPr>
                      <w:rFonts w:hint="default" w:ascii="Times New Roman" w:hAnsi="Times New Roman" w:eastAsia="宋体" w:cs="Times New Roman"/>
                      <w:color w:val="auto"/>
                      <w:sz w:val="21"/>
                      <w:szCs w:val="21"/>
                      <w:u w:val="none" w:color="auto"/>
                      <w:lang w:val="en-US" w:eastAsia="zh-CN"/>
                    </w:rPr>
                    <w:t>BOD</w:t>
                  </w:r>
                  <w:r>
                    <w:rPr>
                      <w:rFonts w:hint="default" w:ascii="Times New Roman" w:hAnsi="Times New Roman" w:eastAsia="宋体" w:cs="Times New Roman"/>
                      <w:color w:val="auto"/>
                      <w:sz w:val="21"/>
                      <w:szCs w:val="21"/>
                      <w:u w:val="none" w:color="auto"/>
                      <w:vertAlign w:val="subscript"/>
                      <w:lang w:val="en-US" w:eastAsia="zh-CN"/>
                    </w:rPr>
                    <w:t>5</w:t>
                  </w:r>
                </w:p>
              </w:tc>
              <w:tc>
                <w:tcPr>
                  <w:tcW w:w="972" w:type="pct"/>
                  <w:tcBorders>
                    <w:tl2br w:val="nil"/>
                    <w:tr2bl w:val="nil"/>
                  </w:tcBorders>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0.0865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74" w:type="pct"/>
                  <w:gridSpan w:val="2"/>
                  <w:vMerge w:val="continue"/>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p>
              </w:tc>
              <w:tc>
                <w:tcPr>
                  <w:tcW w:w="2752" w:type="pct"/>
                  <w:gridSpan w:val="3"/>
                  <w:tcBorders>
                    <w:tl2br w:val="nil"/>
                    <w:tr2bl w:val="nil"/>
                  </w:tcBorders>
                  <w:vAlign w:val="center"/>
                </w:tcPr>
                <w:p>
                  <w:pPr>
                    <w:pStyle w:val="47"/>
                    <w:spacing w:line="240" w:lineRule="auto"/>
                    <w:jc w:val="center"/>
                    <w:rPr>
                      <w:rFonts w:hint="eastAsia" w:ascii="Times New Roman" w:hAnsi="Times New Roman" w:eastAsia="宋体" w:cs="Times New Roman"/>
                      <w:color w:val="auto"/>
                      <w:kern w:val="2"/>
                      <w:sz w:val="21"/>
                      <w:szCs w:val="21"/>
                      <w:u w:val="none" w:color="auto"/>
                      <w:lang w:val="en-US" w:eastAsia="zh-CN" w:bidi="ar-SA"/>
                    </w:rPr>
                  </w:pPr>
                  <w:r>
                    <w:rPr>
                      <w:rFonts w:hint="default" w:ascii="Times New Roman" w:hAnsi="Times New Roman" w:eastAsia="宋体" w:cs="Times New Roman"/>
                      <w:color w:val="auto"/>
                      <w:sz w:val="21"/>
                      <w:szCs w:val="21"/>
                      <w:u w:val="none" w:color="auto"/>
                      <w:lang w:val="en-US" w:eastAsia="zh-CN"/>
                    </w:rPr>
                    <w:t>SS</w:t>
                  </w:r>
                </w:p>
              </w:tc>
              <w:tc>
                <w:tcPr>
                  <w:tcW w:w="972" w:type="pct"/>
                  <w:tcBorders>
                    <w:tl2br w:val="nil"/>
                    <w:tr2bl w:val="nil"/>
                  </w:tcBorders>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0.0865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74" w:type="pct"/>
                  <w:gridSpan w:val="2"/>
                  <w:vMerge w:val="continue"/>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p>
              </w:tc>
              <w:tc>
                <w:tcPr>
                  <w:tcW w:w="2752" w:type="pct"/>
                  <w:gridSpan w:val="3"/>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default" w:ascii="Times New Roman" w:hAnsi="Times New Roman" w:eastAsia="宋体" w:cs="Times New Roman"/>
                      <w:color w:val="auto"/>
                      <w:sz w:val="21"/>
                      <w:szCs w:val="21"/>
                      <w:u w:val="none" w:color="auto"/>
                      <w:lang w:val="en-US" w:eastAsia="zh-CN"/>
                    </w:rPr>
                    <w:t>NH</w:t>
                  </w:r>
                  <w:r>
                    <w:rPr>
                      <w:rFonts w:hint="default" w:ascii="Times New Roman" w:hAnsi="Times New Roman" w:eastAsia="宋体" w:cs="Times New Roman"/>
                      <w:color w:val="auto"/>
                      <w:sz w:val="21"/>
                      <w:szCs w:val="21"/>
                      <w:u w:val="none" w:color="auto"/>
                      <w:vertAlign w:val="subscript"/>
                      <w:lang w:val="en-US" w:eastAsia="zh-CN"/>
                    </w:rPr>
                    <w:t>3</w:t>
                  </w:r>
                  <w:r>
                    <w:rPr>
                      <w:rFonts w:hint="default" w:ascii="Times New Roman" w:hAnsi="Times New Roman" w:eastAsia="宋体" w:cs="Times New Roman"/>
                      <w:color w:val="auto"/>
                      <w:sz w:val="21"/>
                      <w:szCs w:val="21"/>
                      <w:u w:val="none" w:color="auto"/>
                      <w:lang w:val="en-US" w:eastAsia="zh-CN"/>
                    </w:rPr>
                    <w:t>-N</w:t>
                  </w:r>
                </w:p>
              </w:tc>
              <w:tc>
                <w:tcPr>
                  <w:tcW w:w="972" w:type="pc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0.0644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74" w:type="pct"/>
                  <w:gridSpan w:val="2"/>
                  <w:vMerge w:val="continue"/>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p>
              </w:tc>
              <w:tc>
                <w:tcPr>
                  <w:tcW w:w="2752" w:type="pct"/>
                  <w:gridSpan w:val="3"/>
                  <w:tcBorders>
                    <w:tl2br w:val="nil"/>
                    <w:tr2bl w:val="nil"/>
                  </w:tcBorders>
                  <w:vAlign w:val="center"/>
                </w:tcPr>
                <w:p>
                  <w:pPr>
                    <w:pStyle w:val="47"/>
                    <w:spacing w:line="240" w:lineRule="auto"/>
                    <w:jc w:val="center"/>
                    <w:rPr>
                      <w:rFonts w:hint="eastAsia" w:ascii="Times New Roman" w:hAnsi="Times New Roman" w:eastAsia="宋体" w:cs="Times New Roman"/>
                      <w:color w:val="auto"/>
                      <w:kern w:val="2"/>
                      <w:sz w:val="21"/>
                      <w:szCs w:val="21"/>
                      <w:u w:val="none" w:color="auto"/>
                      <w:lang w:val="en-US" w:eastAsia="zh-CN" w:bidi="ar-SA"/>
                    </w:rPr>
                  </w:pPr>
                  <w:r>
                    <w:rPr>
                      <w:rFonts w:hint="eastAsia" w:ascii="Times New Roman" w:hAnsi="Times New Roman" w:eastAsia="宋体" w:cs="Times New Roman"/>
                      <w:color w:val="auto"/>
                      <w:sz w:val="21"/>
                      <w:szCs w:val="21"/>
                      <w:u w:val="none" w:color="auto"/>
                      <w:lang w:val="en-US" w:eastAsia="zh-CN"/>
                    </w:rPr>
                    <w:t>动植物油</w:t>
                  </w:r>
                </w:p>
              </w:tc>
              <w:tc>
                <w:tcPr>
                  <w:tcW w:w="972" w:type="pct"/>
                  <w:tcBorders>
                    <w:tl2br w:val="nil"/>
                    <w:tr2bl w:val="nil"/>
                  </w:tcBorders>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0.0035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74" w:type="pct"/>
                  <w:gridSpan w:val="2"/>
                  <w:vMerge w:val="continue"/>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p>
              </w:tc>
              <w:tc>
                <w:tcPr>
                  <w:tcW w:w="2752" w:type="pct"/>
                  <w:gridSpan w:val="3"/>
                  <w:tcBorders>
                    <w:tl2br w:val="nil"/>
                    <w:tr2bl w:val="nil"/>
                  </w:tcBorders>
                  <w:vAlign w:val="center"/>
                </w:tcPr>
                <w:p>
                  <w:pPr>
                    <w:pStyle w:val="47"/>
                    <w:spacing w:line="240" w:lineRule="auto"/>
                    <w:jc w:val="center"/>
                    <w:rPr>
                      <w:rFonts w:hint="eastAsia" w:ascii="Times New Roman" w:hAnsi="Times New Roman" w:eastAsia="宋体" w:cs="Times New Roman"/>
                      <w:color w:val="auto"/>
                      <w:kern w:val="2"/>
                      <w:sz w:val="21"/>
                      <w:szCs w:val="21"/>
                      <w:u w:val="none" w:color="auto"/>
                      <w:lang w:val="en-US" w:eastAsia="zh-CN" w:bidi="ar-SA"/>
                    </w:rPr>
                  </w:pPr>
                  <w:r>
                    <w:rPr>
                      <w:rFonts w:hint="eastAsia" w:ascii="Times New Roman" w:hAnsi="Times New Roman" w:eastAsia="宋体" w:cs="Times New Roman"/>
                      <w:b w:val="0"/>
                      <w:bCs/>
                      <w:color w:val="auto"/>
                      <w:sz w:val="21"/>
                      <w:szCs w:val="21"/>
                      <w:lang w:val="en-US" w:eastAsia="zh-CN"/>
                    </w:rPr>
                    <w:t>石油类</w:t>
                  </w:r>
                </w:p>
              </w:tc>
              <w:tc>
                <w:tcPr>
                  <w:tcW w:w="972" w:type="pct"/>
                  <w:tcBorders>
                    <w:tl2br w:val="nil"/>
                    <w:tr2bl w:val="nil"/>
                  </w:tcBorders>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sz w:val="21"/>
                      <w:szCs w:val="21"/>
                      <w:lang w:val="en-US" w:eastAsia="zh-CN"/>
                    </w:rPr>
                  </w:pPr>
                  <w:r>
                    <w:rPr>
                      <w:rFonts w:hint="eastAsia" w:ascii="Times New Roman" w:hAnsi="Times New Roman" w:eastAsia="宋体" w:cs="Times New Roman"/>
                      <w:b w:val="0"/>
                      <w:bCs/>
                      <w:color w:val="auto"/>
                      <w:sz w:val="21"/>
                      <w:szCs w:val="21"/>
                      <w:lang w:val="en-US" w:eastAsia="zh-CN"/>
                    </w:rPr>
                    <w:t>0.0094</w:t>
                  </w:r>
                </w:p>
              </w:tc>
            </w:tr>
          </w:tbl>
          <w:p>
            <w:pPr>
              <w:keepNext w:val="0"/>
              <w:keepLines w:val="0"/>
              <w:widowControl/>
              <w:suppressLineNumbers w:val="0"/>
              <w:ind w:firstLine="482" w:firstLineChars="200"/>
              <w:jc w:val="left"/>
              <w:rPr>
                <w:rFonts w:hint="eastAsia" w:ascii="Times New Roman" w:hAnsi="Times New Roman" w:eastAsia="宋体" w:cs="Times New Roman"/>
                <w:b/>
                <w:bCs/>
                <w:color w:val="auto"/>
                <w:sz w:val="24"/>
                <w:szCs w:val="24"/>
                <w:u w:val="none" w:color="auto"/>
                <w:lang w:val="en-US" w:eastAsia="zh-CN"/>
              </w:rPr>
            </w:pPr>
            <w:r>
              <w:rPr>
                <w:rFonts w:hint="eastAsia" w:ascii="Times New Roman" w:hAnsi="Times New Roman" w:eastAsia="宋体" w:cs="Times New Roman"/>
                <w:b/>
                <w:bCs/>
                <w:color w:val="auto"/>
                <w:sz w:val="24"/>
                <w:szCs w:val="24"/>
                <w:u w:val="none" w:color="auto"/>
                <w:lang w:val="en-US" w:eastAsia="zh-CN"/>
              </w:rPr>
              <w:t>4、监测要求</w:t>
            </w:r>
          </w:p>
          <w:p>
            <w:pPr>
              <w:keepNext w:val="0"/>
              <w:keepLines w:val="0"/>
              <w:widowControl/>
              <w:suppressLineNumbers w:val="0"/>
              <w:ind w:firstLine="480" w:firstLineChars="200"/>
              <w:jc w:val="left"/>
              <w:rPr>
                <w:rFonts w:hint="eastAsia" w:ascii="宋体" w:hAnsi="宋体" w:eastAsia="宋体" w:cs="宋体"/>
                <w:color w:val="000000"/>
                <w:kern w:val="0"/>
                <w:sz w:val="24"/>
                <w:szCs w:val="24"/>
                <w:lang w:val="en-US" w:eastAsia="zh-CN" w:bidi="ar"/>
              </w:rPr>
            </w:pPr>
            <w:r>
              <w:rPr>
                <w:rFonts w:hint="eastAsia" w:ascii="宋体" w:hAnsi="宋体" w:eastAsia="宋体" w:cs="宋体"/>
                <w:color w:val="000000"/>
                <w:kern w:val="0"/>
                <w:sz w:val="24"/>
                <w:szCs w:val="24"/>
                <w:lang w:val="en-US" w:eastAsia="zh-CN" w:bidi="ar"/>
              </w:rPr>
              <w:t>根据《排污许可证申请与核发技术规范 废弃资源加工工业》（</w:t>
            </w:r>
            <w:r>
              <w:rPr>
                <w:rFonts w:hint="default" w:ascii="Times New Roman" w:hAnsi="Times New Roman" w:eastAsia="宋体" w:cs="Times New Roman"/>
                <w:color w:val="000000"/>
                <w:kern w:val="0"/>
                <w:sz w:val="24"/>
                <w:szCs w:val="24"/>
                <w:lang w:val="en-US" w:eastAsia="zh-CN" w:bidi="ar"/>
              </w:rPr>
              <w:t>HJ 1034</w:t>
            </w:r>
            <w:r>
              <w:rPr>
                <w:rFonts w:hint="eastAsia" w:ascii="宋体" w:hAnsi="宋体" w:eastAsia="宋体" w:cs="宋体"/>
                <w:color w:val="000000"/>
                <w:kern w:val="0"/>
                <w:sz w:val="24"/>
                <w:szCs w:val="24"/>
                <w:lang w:val="en-US" w:eastAsia="zh-CN" w:bidi="ar"/>
              </w:rPr>
              <w:t>—</w:t>
            </w:r>
            <w:r>
              <w:rPr>
                <w:rFonts w:hint="default" w:ascii="Times New Roman" w:hAnsi="Times New Roman" w:eastAsia="宋体" w:cs="Times New Roman"/>
                <w:color w:val="000000"/>
                <w:kern w:val="0"/>
                <w:sz w:val="24"/>
                <w:szCs w:val="24"/>
                <w:lang w:val="en-US" w:eastAsia="zh-CN" w:bidi="ar"/>
              </w:rPr>
              <w:t>2019</w:t>
            </w:r>
            <w:r>
              <w:rPr>
                <w:rFonts w:hint="eastAsia" w:ascii="宋体" w:hAnsi="宋体" w:eastAsia="宋体" w:cs="宋体"/>
                <w:color w:val="000000"/>
                <w:kern w:val="0"/>
                <w:sz w:val="24"/>
                <w:szCs w:val="24"/>
                <w:lang w:val="en-US" w:eastAsia="zh-CN" w:bidi="ar"/>
              </w:rPr>
              <w:t>） 中“表</w:t>
            </w:r>
            <w:r>
              <w:rPr>
                <w:rFonts w:hint="default" w:ascii="Times New Roman" w:hAnsi="Times New Roman" w:eastAsia="宋体" w:cs="Times New Roman"/>
                <w:color w:val="000000"/>
                <w:kern w:val="0"/>
                <w:sz w:val="24"/>
                <w:szCs w:val="24"/>
                <w:lang w:val="en-US" w:eastAsia="zh-CN" w:bidi="ar"/>
              </w:rPr>
              <w:t>34</w:t>
            </w:r>
            <w:r>
              <w:rPr>
                <w:rFonts w:hint="eastAsia" w:ascii="宋体" w:hAnsi="宋体" w:eastAsia="宋体" w:cs="宋体"/>
                <w:color w:val="000000"/>
                <w:kern w:val="0"/>
                <w:sz w:val="24"/>
                <w:szCs w:val="24"/>
                <w:lang w:val="en-US" w:eastAsia="zh-CN" w:bidi="ar"/>
              </w:rPr>
              <w:t>废弃资源加工工业排污单位废水排放口监测点位、监测指标及最低监测频次”，本项目排放口基本情况及监测要求见下表：</w:t>
            </w:r>
          </w:p>
          <w:p>
            <w:pPr>
              <w:pStyle w:val="15"/>
              <w:keepNext w:val="0"/>
              <w:keepLines w:val="0"/>
              <w:pageBreakBefore w:val="0"/>
              <w:widowControl/>
              <w:kinsoku/>
              <w:wordWrap/>
              <w:overflowPunct/>
              <w:topLinePunct w:val="0"/>
              <w:autoSpaceDE/>
              <w:autoSpaceDN/>
              <w:bidi w:val="0"/>
              <w:adjustRightInd/>
              <w:snapToGrid/>
              <w:spacing w:before="0" w:beforeAutospacing="0" w:after="0" w:afterAutospacing="0" w:line="240" w:lineRule="auto"/>
              <w:jc w:val="center"/>
              <w:textAlignment w:val="auto"/>
              <w:outlineLvl w:val="0"/>
              <w:rPr>
                <w:rFonts w:hint="eastAsia" w:ascii="Times New Roman" w:hAnsi="Times New Roman" w:eastAsia="宋体" w:cs="Times New Roman"/>
                <w:b/>
                <w:bCs/>
                <w:color w:val="auto"/>
                <w:kern w:val="2"/>
                <w:sz w:val="21"/>
                <w:szCs w:val="21"/>
                <w:lang w:val="en-US" w:eastAsia="zh-CN" w:bidi="ar-SA"/>
              </w:rPr>
            </w:pPr>
            <w:r>
              <w:rPr>
                <w:rFonts w:hint="eastAsia" w:ascii="Times New Roman" w:hAnsi="Times New Roman" w:eastAsia="宋体" w:cs="Times New Roman"/>
                <w:b/>
                <w:bCs/>
                <w:color w:val="auto"/>
                <w:kern w:val="2"/>
                <w:sz w:val="21"/>
                <w:szCs w:val="21"/>
                <w:lang w:val="en-US" w:eastAsia="zh-CN" w:bidi="ar-SA"/>
              </w:rPr>
              <w:t>表4-</w:t>
            </w:r>
            <w:r>
              <w:rPr>
                <w:rFonts w:hint="eastAsia" w:ascii="Times New Roman" w:hAnsi="Times New Roman" w:cs="Times New Roman"/>
                <w:b/>
                <w:bCs/>
                <w:color w:val="auto"/>
                <w:kern w:val="2"/>
                <w:sz w:val="21"/>
                <w:szCs w:val="21"/>
                <w:lang w:val="en-US" w:eastAsia="zh-CN" w:bidi="ar-SA"/>
              </w:rPr>
              <w:t>10</w:t>
            </w:r>
            <w:r>
              <w:rPr>
                <w:rFonts w:hint="eastAsia" w:ascii="Times New Roman" w:hAnsi="Times New Roman" w:eastAsia="宋体" w:cs="Times New Roman"/>
                <w:b/>
                <w:bCs/>
                <w:color w:val="auto"/>
                <w:kern w:val="2"/>
                <w:sz w:val="21"/>
                <w:szCs w:val="21"/>
                <w:lang w:val="en-US" w:eastAsia="zh-CN" w:bidi="ar-SA"/>
              </w:rPr>
              <w:t xml:space="preserve">  废水监测计划一览表</w:t>
            </w:r>
          </w:p>
          <w:tbl>
            <w:tblPr>
              <w:tblStyle w:val="19"/>
              <w:tblW w:w="0" w:type="auto"/>
              <w:tblInd w:w="-11"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592"/>
              <w:gridCol w:w="916"/>
              <w:gridCol w:w="2422"/>
              <w:gridCol w:w="1069"/>
              <w:gridCol w:w="193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35" w:hRule="atLeast"/>
              </w:trPr>
              <w:tc>
                <w:tcPr>
                  <w:tcW w:w="1592" w:type="dxa"/>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类别</w:t>
                  </w:r>
                </w:p>
              </w:tc>
              <w:tc>
                <w:tcPr>
                  <w:tcW w:w="916" w:type="dxa"/>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default" w:ascii="Times New Roman" w:hAnsi="Times New Roman" w:eastAsia="宋体" w:cs="Times New Roman"/>
                      <w:color w:val="auto"/>
                      <w:sz w:val="21"/>
                      <w:szCs w:val="21"/>
                      <w:u w:val="none" w:color="auto"/>
                      <w:lang w:val="en-US" w:eastAsia="zh-CN"/>
                    </w:rPr>
                    <w:t>监测点</w:t>
                  </w:r>
                </w:p>
              </w:tc>
              <w:tc>
                <w:tcPr>
                  <w:tcW w:w="2422" w:type="dxa"/>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default" w:ascii="Times New Roman" w:hAnsi="Times New Roman" w:eastAsia="宋体" w:cs="Times New Roman"/>
                      <w:color w:val="auto"/>
                      <w:sz w:val="21"/>
                      <w:szCs w:val="21"/>
                      <w:u w:val="none" w:color="auto"/>
                      <w:lang w:val="en-US" w:eastAsia="zh-CN"/>
                    </w:rPr>
                    <w:t>监测项目</w:t>
                  </w:r>
                </w:p>
              </w:tc>
              <w:tc>
                <w:tcPr>
                  <w:tcW w:w="1069" w:type="dxa"/>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default" w:ascii="Times New Roman" w:hAnsi="Times New Roman" w:eastAsia="宋体" w:cs="Times New Roman"/>
                      <w:color w:val="auto"/>
                      <w:sz w:val="21"/>
                      <w:szCs w:val="21"/>
                      <w:u w:val="none" w:color="auto"/>
                      <w:lang w:val="en-US" w:eastAsia="zh-CN"/>
                    </w:rPr>
                    <w:t>频率</w:t>
                  </w:r>
                </w:p>
              </w:tc>
              <w:tc>
                <w:tcPr>
                  <w:tcW w:w="1935" w:type="dxa"/>
                  <w:tcBorders>
                    <w:tl2br w:val="nil"/>
                    <w:tr2bl w:val="nil"/>
                  </w:tcBorders>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default" w:ascii="Times New Roman" w:hAnsi="Times New Roman" w:eastAsia="宋体" w:cs="Times New Roman"/>
                      <w:color w:val="auto"/>
                      <w:sz w:val="21"/>
                      <w:szCs w:val="21"/>
                      <w:u w:val="none" w:color="auto"/>
                      <w:lang w:val="en-US" w:eastAsia="zh-CN"/>
                    </w:rPr>
                    <w:t>执行标准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592" w:type="dxa"/>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生活污水</w:t>
                  </w:r>
                </w:p>
              </w:tc>
              <w:tc>
                <w:tcPr>
                  <w:tcW w:w="916" w:type="dxa"/>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DW001</w:t>
                  </w:r>
                </w:p>
              </w:tc>
              <w:tc>
                <w:tcPr>
                  <w:tcW w:w="2422" w:type="dxa"/>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ph、COD、BOD</w:t>
                  </w:r>
                  <w:r>
                    <w:rPr>
                      <w:rFonts w:hint="eastAsia" w:ascii="Times New Roman" w:hAnsi="Times New Roman" w:eastAsia="宋体" w:cs="Times New Roman"/>
                      <w:color w:val="auto"/>
                      <w:sz w:val="21"/>
                      <w:szCs w:val="21"/>
                      <w:u w:val="none" w:color="auto"/>
                      <w:vertAlign w:val="subscript"/>
                      <w:lang w:val="en-US" w:eastAsia="zh-CN"/>
                    </w:rPr>
                    <w:t>5</w:t>
                  </w:r>
                  <w:r>
                    <w:rPr>
                      <w:rFonts w:hint="eastAsia" w:ascii="Times New Roman" w:hAnsi="Times New Roman" w:eastAsia="宋体" w:cs="Times New Roman"/>
                      <w:color w:val="auto"/>
                      <w:sz w:val="21"/>
                      <w:szCs w:val="21"/>
                      <w:u w:val="none" w:color="auto"/>
                      <w:lang w:val="en-US" w:eastAsia="zh-CN"/>
                    </w:rPr>
                    <w:t>、</w:t>
                  </w:r>
                  <w:r>
                    <w:rPr>
                      <w:rFonts w:hint="default" w:ascii="Times New Roman" w:hAnsi="Times New Roman" w:eastAsia="宋体" w:cs="Times New Roman"/>
                      <w:color w:val="auto"/>
                      <w:sz w:val="21"/>
                      <w:szCs w:val="21"/>
                      <w:u w:val="none" w:color="auto"/>
                      <w:lang w:val="en-US" w:eastAsia="zh-CN"/>
                    </w:rPr>
                    <w:t>SS</w:t>
                  </w:r>
                  <w:r>
                    <w:rPr>
                      <w:rFonts w:hint="eastAsia" w:ascii="Times New Roman" w:hAnsi="Times New Roman" w:eastAsia="宋体" w:cs="Times New Roman"/>
                      <w:color w:val="auto"/>
                      <w:sz w:val="21"/>
                      <w:szCs w:val="21"/>
                      <w:u w:val="none" w:color="auto"/>
                      <w:lang w:val="en-US" w:eastAsia="zh-CN"/>
                    </w:rPr>
                    <w:t>、</w:t>
                  </w:r>
                  <w:r>
                    <w:rPr>
                      <w:rFonts w:hint="default" w:ascii="Times New Roman" w:hAnsi="Times New Roman" w:eastAsia="宋体" w:cs="Times New Roman"/>
                      <w:color w:val="auto"/>
                      <w:sz w:val="21"/>
                      <w:szCs w:val="21"/>
                      <w:u w:val="none" w:color="auto"/>
                      <w:lang w:val="en-US" w:eastAsia="zh-CN"/>
                    </w:rPr>
                    <w:t>NH</w:t>
                  </w:r>
                  <w:r>
                    <w:rPr>
                      <w:rFonts w:hint="default" w:ascii="Times New Roman" w:hAnsi="Times New Roman" w:eastAsia="宋体" w:cs="Times New Roman"/>
                      <w:color w:val="auto"/>
                      <w:sz w:val="21"/>
                      <w:szCs w:val="21"/>
                      <w:u w:val="none" w:color="auto"/>
                      <w:vertAlign w:val="subscript"/>
                      <w:lang w:val="en-US" w:eastAsia="zh-CN"/>
                    </w:rPr>
                    <w:t>3</w:t>
                  </w:r>
                  <w:r>
                    <w:rPr>
                      <w:rFonts w:hint="default" w:ascii="Times New Roman" w:hAnsi="Times New Roman" w:eastAsia="宋体" w:cs="Times New Roman"/>
                      <w:color w:val="auto"/>
                      <w:sz w:val="21"/>
                      <w:szCs w:val="21"/>
                      <w:u w:val="none" w:color="auto"/>
                      <w:lang w:val="en-US" w:eastAsia="zh-CN"/>
                    </w:rPr>
                    <w:t>-N</w:t>
                  </w:r>
                  <w:r>
                    <w:rPr>
                      <w:rFonts w:hint="eastAsia" w:ascii="Times New Roman" w:hAnsi="Times New Roman" w:eastAsia="宋体" w:cs="Times New Roman"/>
                      <w:color w:val="auto"/>
                      <w:sz w:val="21"/>
                      <w:szCs w:val="21"/>
                      <w:u w:val="none" w:color="auto"/>
                      <w:lang w:val="en-US" w:eastAsia="zh-CN"/>
                    </w:rPr>
                    <w:t>、动植物油</w:t>
                  </w:r>
                </w:p>
              </w:tc>
              <w:tc>
                <w:tcPr>
                  <w:tcW w:w="1069" w:type="dxa"/>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default" w:ascii="Times New Roman" w:hAnsi="Times New Roman" w:cs="Times New Roman"/>
                      <w:color w:val="auto"/>
                      <w:sz w:val="21"/>
                      <w:szCs w:val="21"/>
                      <w:highlight w:val="none"/>
                      <w:u w:val="none" w:color="auto"/>
                    </w:rPr>
                    <w:t>1次/年</w:t>
                  </w:r>
                </w:p>
              </w:tc>
              <w:tc>
                <w:tcPr>
                  <w:tcW w:w="1935" w:type="dxa"/>
                  <w:vMerge w:val="restar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《污水综合排放标准》（G8978-1996）表4中三级标准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592" w:type="dxa"/>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初期雨水</w:t>
                  </w:r>
                </w:p>
              </w:tc>
              <w:tc>
                <w:tcPr>
                  <w:tcW w:w="916" w:type="dxa"/>
                  <w:vMerge w:val="restar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DW002</w:t>
                  </w:r>
                </w:p>
              </w:tc>
              <w:tc>
                <w:tcPr>
                  <w:tcW w:w="2422" w:type="dxa"/>
                  <w:vMerge w:val="restar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COD、BOD</w:t>
                  </w:r>
                  <w:r>
                    <w:rPr>
                      <w:rFonts w:hint="eastAsia" w:ascii="Times New Roman" w:hAnsi="Times New Roman" w:eastAsia="宋体" w:cs="Times New Roman"/>
                      <w:color w:val="auto"/>
                      <w:sz w:val="21"/>
                      <w:szCs w:val="21"/>
                      <w:u w:val="none" w:color="auto"/>
                      <w:vertAlign w:val="subscript"/>
                      <w:lang w:val="en-US" w:eastAsia="zh-CN"/>
                    </w:rPr>
                    <w:t>5</w:t>
                  </w:r>
                  <w:r>
                    <w:rPr>
                      <w:rFonts w:hint="eastAsia" w:ascii="Times New Roman" w:hAnsi="Times New Roman" w:eastAsia="宋体" w:cs="Times New Roman"/>
                      <w:color w:val="auto"/>
                      <w:sz w:val="21"/>
                      <w:szCs w:val="21"/>
                      <w:u w:val="none" w:color="auto"/>
                      <w:lang w:val="en-US" w:eastAsia="zh-CN"/>
                    </w:rPr>
                    <w:t>、</w:t>
                  </w:r>
                  <w:r>
                    <w:rPr>
                      <w:rFonts w:hint="default" w:ascii="Times New Roman" w:hAnsi="Times New Roman" w:eastAsia="宋体" w:cs="Times New Roman"/>
                      <w:color w:val="auto"/>
                      <w:sz w:val="21"/>
                      <w:szCs w:val="21"/>
                      <w:u w:val="none" w:color="auto"/>
                      <w:lang w:val="en-US" w:eastAsia="zh-CN"/>
                    </w:rPr>
                    <w:t>SS</w:t>
                  </w:r>
                  <w:r>
                    <w:rPr>
                      <w:rFonts w:hint="eastAsia" w:ascii="Times New Roman" w:hAnsi="Times New Roman" w:eastAsia="宋体" w:cs="Times New Roman"/>
                      <w:color w:val="auto"/>
                      <w:sz w:val="21"/>
                      <w:szCs w:val="21"/>
                      <w:u w:val="none" w:color="auto"/>
                      <w:lang w:val="en-US" w:eastAsia="zh-CN"/>
                    </w:rPr>
                    <w:t>、</w:t>
                  </w:r>
                  <w:r>
                    <w:rPr>
                      <w:rFonts w:hint="default" w:ascii="Times New Roman" w:hAnsi="Times New Roman" w:eastAsia="宋体" w:cs="Times New Roman"/>
                      <w:color w:val="auto"/>
                      <w:sz w:val="21"/>
                      <w:szCs w:val="21"/>
                      <w:u w:val="none" w:color="auto"/>
                      <w:lang w:val="en-US" w:eastAsia="zh-CN"/>
                    </w:rPr>
                    <w:t>NH</w:t>
                  </w:r>
                  <w:r>
                    <w:rPr>
                      <w:rFonts w:hint="default" w:ascii="Times New Roman" w:hAnsi="Times New Roman" w:eastAsia="宋体" w:cs="Times New Roman"/>
                      <w:color w:val="auto"/>
                      <w:sz w:val="21"/>
                      <w:szCs w:val="21"/>
                      <w:u w:val="none" w:color="auto"/>
                      <w:vertAlign w:val="subscript"/>
                      <w:lang w:val="en-US" w:eastAsia="zh-CN"/>
                    </w:rPr>
                    <w:t>3</w:t>
                  </w:r>
                  <w:r>
                    <w:rPr>
                      <w:rFonts w:hint="default" w:ascii="Times New Roman" w:hAnsi="Times New Roman" w:eastAsia="宋体" w:cs="Times New Roman"/>
                      <w:color w:val="auto"/>
                      <w:sz w:val="21"/>
                      <w:szCs w:val="21"/>
                      <w:u w:val="none" w:color="auto"/>
                      <w:lang w:val="en-US" w:eastAsia="zh-CN"/>
                    </w:rPr>
                    <w:t>-N</w:t>
                  </w:r>
                  <w:r>
                    <w:rPr>
                      <w:rFonts w:hint="eastAsia" w:ascii="Times New Roman" w:hAnsi="Times New Roman" w:eastAsia="宋体" w:cs="Times New Roman"/>
                      <w:color w:val="auto"/>
                      <w:sz w:val="21"/>
                      <w:szCs w:val="21"/>
                      <w:u w:val="none" w:color="auto"/>
                      <w:lang w:val="en-US" w:eastAsia="zh-CN"/>
                    </w:rPr>
                    <w:t>、石油类</w:t>
                  </w:r>
                </w:p>
              </w:tc>
              <w:tc>
                <w:tcPr>
                  <w:tcW w:w="1069" w:type="dxa"/>
                  <w:vMerge w:val="restart"/>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default" w:ascii="Times New Roman" w:hAnsi="Times New Roman" w:eastAsia="宋体" w:cs="Times New Roman"/>
                      <w:color w:val="auto"/>
                      <w:sz w:val="21"/>
                      <w:szCs w:val="21"/>
                      <w:u w:val="none" w:color="auto"/>
                      <w:lang w:val="en-US" w:eastAsia="zh-CN"/>
                    </w:rPr>
                    <w:t>1次/年</w:t>
                  </w:r>
                </w:p>
              </w:tc>
              <w:tc>
                <w:tcPr>
                  <w:tcW w:w="1935" w:type="dxa"/>
                  <w:vMerge w:val="continue"/>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592" w:type="dxa"/>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拖把清洗废水</w:t>
                  </w:r>
                </w:p>
              </w:tc>
              <w:tc>
                <w:tcPr>
                  <w:tcW w:w="916" w:type="dxa"/>
                  <w:vMerge w:val="continue"/>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p>
              </w:tc>
              <w:tc>
                <w:tcPr>
                  <w:tcW w:w="2422" w:type="dxa"/>
                  <w:vMerge w:val="continue"/>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p>
              </w:tc>
              <w:tc>
                <w:tcPr>
                  <w:tcW w:w="1069" w:type="dxa"/>
                  <w:vMerge w:val="continue"/>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p>
              </w:tc>
              <w:tc>
                <w:tcPr>
                  <w:tcW w:w="1935" w:type="dxa"/>
                  <w:vMerge w:val="continue"/>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p>
              </w:tc>
            </w:tr>
          </w:tbl>
          <w:p>
            <w:pPr>
              <w:pStyle w:val="25"/>
              <w:bidi w:val="0"/>
              <w:rPr>
                <w:rFonts w:hint="eastAsia"/>
                <w:lang w:val="en-US" w:eastAsia="zh-CN"/>
              </w:rPr>
            </w:pPr>
            <w:r>
              <w:rPr>
                <w:rFonts w:hint="eastAsia"/>
                <w:b/>
                <w:bCs/>
                <w:lang w:val="en-US" w:eastAsia="zh-CN"/>
              </w:rPr>
              <w:t>三、噪声</w:t>
            </w:r>
          </w:p>
          <w:p>
            <w:pPr>
              <w:pStyle w:val="25"/>
              <w:bidi w:val="0"/>
              <w:rPr>
                <w:rFonts w:hint="eastAsia"/>
                <w:lang w:val="en-US" w:eastAsia="zh-CN"/>
              </w:rPr>
            </w:pPr>
            <w:r>
              <w:rPr>
                <w:rFonts w:hint="eastAsia"/>
                <w:b/>
                <w:bCs/>
                <w:lang w:val="en-US" w:eastAsia="zh-CN"/>
              </w:rPr>
              <w:t>1 、源强分析</w:t>
            </w:r>
          </w:p>
          <w:p>
            <w:pPr>
              <w:pStyle w:val="25"/>
              <w:bidi w:val="0"/>
              <w:rPr>
                <w:rFonts w:hint="default"/>
                <w:b w:val="0"/>
                <w:bCs w:val="0"/>
                <w:lang w:val="en-US" w:eastAsia="zh-CN"/>
              </w:rPr>
            </w:pPr>
            <w:r>
              <w:rPr>
                <w:rFonts w:hint="eastAsia"/>
                <w:lang w:val="en-US" w:eastAsia="zh-CN"/>
              </w:rPr>
              <w:t>本项目噪声主要来源于预处理升降设备、翻转机、液压剪、等离子切割机、扒胎机、玻璃切割机、</w:t>
            </w:r>
            <w:r>
              <w:rPr>
                <w:rFonts w:hint="default"/>
                <w:lang w:val="en-US" w:eastAsia="zh-CN"/>
              </w:rPr>
              <w:t>安全气囊引爆装置</w:t>
            </w:r>
            <w:r>
              <w:rPr>
                <w:rFonts w:hint="eastAsia"/>
                <w:lang w:val="en-US" w:eastAsia="zh-CN"/>
              </w:rPr>
              <w:t>等设备运行</w:t>
            </w:r>
            <w:r>
              <w:rPr>
                <w:rFonts w:hint="eastAsia" w:ascii="宋体" w:hAnsi="宋体" w:eastAsia="宋体" w:cs="宋体"/>
                <w:lang w:val="en-US" w:eastAsia="zh-CN"/>
              </w:rPr>
              <w:t>。</w:t>
            </w:r>
            <w:r>
              <w:rPr>
                <w:rFonts w:hint="eastAsia"/>
                <w:b w:val="0"/>
                <w:bCs w:val="0"/>
                <w:lang w:val="en-US" w:eastAsia="zh-CN"/>
              </w:rPr>
              <w:t>参考《噪声与振动控制工程手册》和《环境噪声与振动控制工程技术导则》（HJ2034-2013）</w:t>
            </w:r>
            <w:r>
              <w:rPr>
                <w:rFonts w:hint="eastAsia" w:ascii="宋体" w:hAnsi="宋体" w:eastAsia="宋体" w:cs="宋体"/>
                <w:b w:val="0"/>
                <w:bCs w:val="0"/>
                <w:lang w:val="en-US" w:eastAsia="zh-CN"/>
              </w:rPr>
              <w:t>，</w:t>
            </w:r>
            <w:r>
              <w:rPr>
                <w:rFonts w:hint="eastAsia"/>
                <w:b w:val="0"/>
                <w:bCs w:val="0"/>
                <w:lang w:val="en-US" w:eastAsia="zh-CN"/>
              </w:rPr>
              <w:t>项目主要噪声为：普通加工机械的运行噪声</w:t>
            </w:r>
            <w:r>
              <w:rPr>
                <w:rFonts w:hint="eastAsia" w:ascii="宋体" w:hAnsi="宋体" w:eastAsia="宋体" w:cs="宋体"/>
                <w:b w:val="0"/>
                <w:bCs w:val="0"/>
                <w:lang w:val="en-US" w:eastAsia="zh-CN"/>
              </w:rPr>
              <w:t>，</w:t>
            </w:r>
            <w:r>
              <w:rPr>
                <w:rFonts w:hint="eastAsia"/>
                <w:b w:val="0"/>
                <w:bCs w:val="0"/>
                <w:lang w:val="en-US" w:eastAsia="zh-CN"/>
              </w:rPr>
              <w:t>噪声值约为 80~90dB（A）</w:t>
            </w:r>
            <w:r>
              <w:rPr>
                <w:rFonts w:hint="eastAsia" w:ascii="宋体" w:hAnsi="宋体" w:eastAsia="宋体" w:cs="宋体"/>
                <w:b w:val="0"/>
                <w:bCs w:val="0"/>
                <w:lang w:val="en-US" w:eastAsia="zh-CN"/>
              </w:rPr>
              <w:t>；</w:t>
            </w:r>
            <w:r>
              <w:rPr>
                <w:rFonts w:hint="eastAsia"/>
                <w:b w:val="0"/>
                <w:bCs w:val="0"/>
                <w:lang w:val="en-US" w:eastAsia="zh-CN"/>
              </w:rPr>
              <w:t>辅助设备运行时产生的噪声</w:t>
            </w:r>
            <w:r>
              <w:rPr>
                <w:rFonts w:hint="eastAsia" w:ascii="宋体" w:hAnsi="宋体" w:eastAsia="宋体" w:cs="宋体"/>
                <w:b w:val="0"/>
                <w:bCs w:val="0"/>
                <w:lang w:val="en-US" w:eastAsia="zh-CN"/>
              </w:rPr>
              <w:t>，</w:t>
            </w:r>
            <w:r>
              <w:rPr>
                <w:rFonts w:hint="eastAsia"/>
                <w:b w:val="0"/>
                <w:bCs w:val="0"/>
                <w:lang w:val="en-US" w:eastAsia="zh-CN"/>
              </w:rPr>
              <w:t>噪声值约70~85dB(A)</w:t>
            </w:r>
            <w:r>
              <w:rPr>
                <w:rFonts w:hint="eastAsia" w:ascii="宋体" w:hAnsi="宋体" w:eastAsia="宋体" w:cs="宋体"/>
                <w:b w:val="0"/>
                <w:bCs w:val="0"/>
                <w:lang w:val="en-US" w:eastAsia="zh-CN"/>
              </w:rPr>
              <w:t>。</w:t>
            </w:r>
          </w:p>
          <w:p>
            <w:pPr>
              <w:pStyle w:val="25"/>
              <w:bidi w:val="0"/>
              <w:rPr>
                <w:rFonts w:hint="default"/>
                <w:lang w:val="en-US" w:eastAsia="zh-CN"/>
              </w:rPr>
            </w:pPr>
            <w:r>
              <w:rPr>
                <w:rFonts w:hint="eastAsia"/>
                <w:b w:val="0"/>
                <w:bCs w:val="0"/>
                <w:lang w:val="en-US" w:eastAsia="zh-CN"/>
              </w:rPr>
              <w:t>根据刘惠玲主编《噪声控制技术》（2002年10月第1版）</w:t>
            </w:r>
            <w:r>
              <w:rPr>
                <w:rFonts w:hint="eastAsia" w:ascii="宋体" w:hAnsi="宋体" w:eastAsia="宋体" w:cs="宋体"/>
                <w:b w:val="0"/>
                <w:bCs w:val="0"/>
                <w:lang w:val="en-US" w:eastAsia="zh-CN"/>
              </w:rPr>
              <w:t>，</w:t>
            </w:r>
            <w:r>
              <w:rPr>
                <w:rFonts w:hint="eastAsia"/>
                <w:b w:val="0"/>
                <w:bCs w:val="0"/>
                <w:lang w:val="en-US" w:eastAsia="zh-CN"/>
              </w:rPr>
              <w:t>采用隔声间（室）技术措施</w:t>
            </w:r>
            <w:r>
              <w:rPr>
                <w:rFonts w:hint="eastAsia" w:ascii="宋体" w:hAnsi="宋体" w:eastAsia="宋体" w:cs="宋体"/>
                <w:b w:val="0"/>
                <w:bCs w:val="0"/>
                <w:lang w:val="en-US" w:eastAsia="zh-CN"/>
              </w:rPr>
              <w:t>，</w:t>
            </w:r>
            <w:r>
              <w:rPr>
                <w:rFonts w:hint="eastAsia"/>
                <w:b w:val="0"/>
                <w:bCs w:val="0"/>
                <w:lang w:val="en-US" w:eastAsia="zh-CN"/>
              </w:rPr>
              <w:t>降噪效果可达20~40dB（A）</w:t>
            </w:r>
            <w:r>
              <w:rPr>
                <w:rFonts w:hint="eastAsia" w:ascii="宋体" w:hAnsi="宋体" w:eastAsia="宋体" w:cs="宋体"/>
                <w:b w:val="0"/>
                <w:bCs w:val="0"/>
                <w:lang w:val="en-US" w:eastAsia="zh-CN"/>
              </w:rPr>
              <w:t>，</w:t>
            </w:r>
            <w:r>
              <w:rPr>
                <w:rFonts w:hint="eastAsia"/>
                <w:b w:val="0"/>
                <w:bCs w:val="0"/>
                <w:lang w:val="en-US" w:eastAsia="zh-CN"/>
              </w:rPr>
              <w:t>项目按20dB（A）计</w:t>
            </w:r>
            <w:r>
              <w:rPr>
                <w:rFonts w:hint="eastAsia" w:ascii="宋体" w:hAnsi="宋体" w:eastAsia="宋体" w:cs="宋体"/>
                <w:b w:val="0"/>
                <w:bCs w:val="0"/>
                <w:lang w:val="en-US" w:eastAsia="zh-CN"/>
              </w:rPr>
              <w:t>，</w:t>
            </w:r>
            <w:r>
              <w:rPr>
                <w:rFonts w:hint="eastAsia"/>
                <w:b w:val="0"/>
                <w:bCs w:val="0"/>
                <w:lang w:val="en-US" w:eastAsia="zh-CN"/>
              </w:rPr>
              <w:t>减振处理降噪效果可达5~25dB（A）</w:t>
            </w:r>
            <w:r>
              <w:rPr>
                <w:rFonts w:hint="eastAsia" w:ascii="宋体" w:hAnsi="宋体" w:eastAsia="宋体" w:cs="宋体"/>
                <w:b w:val="0"/>
                <w:bCs w:val="0"/>
                <w:lang w:val="en-US" w:eastAsia="zh-CN"/>
              </w:rPr>
              <w:t>，</w:t>
            </w:r>
            <w:r>
              <w:rPr>
                <w:rFonts w:hint="eastAsia"/>
                <w:b w:val="0"/>
                <w:bCs w:val="0"/>
                <w:lang w:val="en-US" w:eastAsia="zh-CN"/>
              </w:rPr>
              <w:t>项目按5dB（A）计</w:t>
            </w:r>
            <w:r>
              <w:rPr>
                <w:rFonts w:hint="eastAsia" w:ascii="宋体" w:hAnsi="宋体" w:eastAsia="宋体" w:cs="宋体"/>
                <w:b w:val="0"/>
                <w:bCs w:val="0"/>
                <w:lang w:val="en-US" w:eastAsia="zh-CN"/>
              </w:rPr>
              <w:t>。</w:t>
            </w:r>
            <w:r>
              <w:rPr>
                <w:rFonts w:hint="eastAsia"/>
                <w:b w:val="0"/>
                <w:bCs w:val="0"/>
                <w:lang w:val="en-US" w:eastAsia="zh-CN"/>
              </w:rPr>
              <w:t>项目生产设备均要求安装在室内</w:t>
            </w:r>
            <w:r>
              <w:rPr>
                <w:rFonts w:hint="eastAsia" w:ascii="宋体" w:hAnsi="宋体" w:eastAsia="宋体" w:cs="宋体"/>
                <w:b w:val="0"/>
                <w:bCs w:val="0"/>
                <w:lang w:val="en-US" w:eastAsia="zh-CN"/>
              </w:rPr>
              <w:t>，</w:t>
            </w:r>
            <w:r>
              <w:rPr>
                <w:rFonts w:hint="eastAsia"/>
                <w:b w:val="0"/>
                <w:bCs w:val="0"/>
                <w:lang w:val="en-US" w:eastAsia="zh-CN"/>
              </w:rPr>
              <w:t>经过减振处理、墙体隔音后</w:t>
            </w:r>
            <w:r>
              <w:rPr>
                <w:rFonts w:hint="eastAsia" w:ascii="宋体" w:hAnsi="宋体" w:eastAsia="宋体" w:cs="宋体"/>
                <w:b w:val="0"/>
                <w:bCs w:val="0"/>
                <w:lang w:val="en-US" w:eastAsia="zh-CN"/>
              </w:rPr>
              <w:t>，</w:t>
            </w:r>
            <w:r>
              <w:rPr>
                <w:rFonts w:hint="eastAsia"/>
                <w:b w:val="0"/>
                <w:bCs w:val="0"/>
                <w:lang w:val="en-US" w:eastAsia="zh-CN"/>
              </w:rPr>
              <w:t>噪声削减值取 25dB（A）</w:t>
            </w:r>
            <w:r>
              <w:rPr>
                <w:rFonts w:hint="eastAsia" w:ascii="宋体" w:hAnsi="宋体" w:eastAsia="宋体" w:cs="宋体"/>
                <w:b w:val="0"/>
                <w:bCs w:val="0"/>
                <w:lang w:val="en-US" w:eastAsia="zh-CN"/>
              </w:rPr>
              <w:t>。</w:t>
            </w:r>
          </w:p>
          <w:p>
            <w:pPr>
              <w:pStyle w:val="25"/>
              <w:bidi w:val="0"/>
              <w:rPr>
                <w:rFonts w:hint="eastAsia"/>
                <w:lang w:val="en-US" w:eastAsia="zh-CN"/>
              </w:rPr>
            </w:pPr>
            <w:r>
              <w:rPr>
                <w:rFonts w:hint="eastAsia"/>
                <w:lang w:val="en-US" w:eastAsia="zh-CN"/>
              </w:rPr>
              <w:t>本项目噪声产排情况见表4-11</w:t>
            </w:r>
            <w:r>
              <w:rPr>
                <w:rFonts w:hint="eastAsia" w:ascii="宋体" w:hAnsi="宋体" w:eastAsia="宋体" w:cs="宋体"/>
                <w:lang w:val="en-US" w:eastAsia="zh-CN"/>
              </w:rPr>
              <w:t>。</w:t>
            </w:r>
          </w:p>
          <w:p>
            <w:pPr>
              <w:pStyle w:val="15"/>
              <w:keepNext w:val="0"/>
              <w:keepLines w:val="0"/>
              <w:pageBreakBefore w:val="0"/>
              <w:widowControl/>
              <w:kinsoku/>
              <w:wordWrap/>
              <w:overflowPunct/>
              <w:topLinePunct w:val="0"/>
              <w:autoSpaceDE/>
              <w:autoSpaceDN/>
              <w:bidi w:val="0"/>
              <w:adjustRightInd/>
              <w:snapToGrid/>
              <w:spacing w:before="0" w:beforeAutospacing="0" w:after="0" w:afterAutospacing="0" w:line="240" w:lineRule="auto"/>
              <w:jc w:val="center"/>
              <w:textAlignment w:val="auto"/>
              <w:outlineLvl w:val="0"/>
              <w:rPr>
                <w:rFonts w:hint="eastAsia" w:ascii="Times New Roman" w:hAnsi="Times New Roman" w:eastAsia="宋体" w:cs="Times New Roman"/>
                <w:b/>
                <w:bCs/>
                <w:snapToGrid w:val="0"/>
                <w:color w:val="auto"/>
                <w:sz w:val="28"/>
                <w:szCs w:val="28"/>
                <w:u w:val="none" w:color="auto"/>
                <w:vertAlign w:val="baseline"/>
              </w:rPr>
            </w:pPr>
            <w:r>
              <w:rPr>
                <w:rFonts w:hint="eastAsia" w:ascii="Times New Roman" w:hAnsi="Times New Roman" w:eastAsia="宋体" w:cs="Times New Roman"/>
                <w:b/>
                <w:bCs/>
                <w:color w:val="auto"/>
                <w:kern w:val="2"/>
                <w:sz w:val="21"/>
                <w:szCs w:val="21"/>
                <w:lang w:val="en-US" w:eastAsia="zh-CN" w:bidi="ar-SA"/>
              </w:rPr>
              <w:t>表4-1</w:t>
            </w:r>
            <w:r>
              <w:rPr>
                <w:rFonts w:hint="eastAsia" w:ascii="Times New Roman" w:hAnsi="Times New Roman" w:cs="Times New Roman"/>
                <w:b/>
                <w:bCs/>
                <w:color w:val="auto"/>
                <w:kern w:val="2"/>
                <w:sz w:val="21"/>
                <w:szCs w:val="21"/>
                <w:lang w:val="en-US" w:eastAsia="zh-CN" w:bidi="ar-SA"/>
              </w:rPr>
              <w:t>1</w:t>
            </w:r>
            <w:r>
              <w:rPr>
                <w:rFonts w:hint="eastAsia" w:ascii="Times New Roman" w:hAnsi="Times New Roman" w:eastAsia="宋体" w:cs="Times New Roman"/>
                <w:b/>
                <w:bCs/>
                <w:color w:val="auto"/>
                <w:kern w:val="2"/>
                <w:sz w:val="21"/>
                <w:szCs w:val="21"/>
                <w:lang w:val="en-US" w:eastAsia="zh-CN" w:bidi="ar-SA"/>
              </w:rPr>
              <w:t xml:space="preserve"> 项目噪声产排情况</w:t>
            </w:r>
          </w:p>
        </w:tc>
      </w:tr>
    </w:tbl>
    <w:p>
      <w:pPr>
        <w:pStyle w:val="15"/>
        <w:keepNext w:val="0"/>
        <w:keepLines w:val="0"/>
        <w:pageBreakBefore w:val="0"/>
        <w:widowControl/>
        <w:kinsoku/>
        <w:wordWrap/>
        <w:overflowPunct/>
        <w:topLinePunct w:val="0"/>
        <w:autoSpaceDE/>
        <w:autoSpaceDN/>
        <w:bidi w:val="0"/>
        <w:adjustRightInd/>
        <w:snapToGrid/>
        <w:spacing w:before="0" w:beforeAutospacing="0" w:after="0" w:afterAutospacing="0" w:line="240" w:lineRule="auto"/>
        <w:jc w:val="both"/>
        <w:textAlignment w:val="auto"/>
        <w:outlineLvl w:val="0"/>
        <w:rPr>
          <w:rFonts w:hint="eastAsia" w:ascii="Times New Roman" w:hAnsi="Times New Roman" w:eastAsia="宋体" w:cs="Times New Roman"/>
          <w:b/>
          <w:bCs/>
          <w:snapToGrid w:val="0"/>
          <w:color w:val="auto"/>
          <w:sz w:val="28"/>
          <w:szCs w:val="28"/>
          <w:u w:val="none" w:color="auto"/>
        </w:rPr>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pPr>
    </w:p>
    <w:tbl>
      <w:tblPr>
        <w:tblStyle w:val="18"/>
        <w:tblW w:w="14894" w:type="dxa"/>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108" w:type="dxa"/>
          <w:bottom w:w="0" w:type="dxa"/>
          <w:right w:w="108" w:type="dxa"/>
        </w:tblCellMar>
      </w:tblPr>
      <w:tblGrid>
        <w:gridCol w:w="509"/>
        <w:gridCol w:w="672"/>
        <w:gridCol w:w="1559"/>
        <w:gridCol w:w="1113"/>
        <w:gridCol w:w="1081"/>
        <w:gridCol w:w="921"/>
        <w:gridCol w:w="2199"/>
        <w:gridCol w:w="605"/>
        <w:gridCol w:w="499"/>
        <w:gridCol w:w="713"/>
        <w:gridCol w:w="767"/>
        <w:gridCol w:w="865"/>
        <w:gridCol w:w="793"/>
        <w:gridCol w:w="927"/>
        <w:gridCol w:w="939"/>
        <w:gridCol w:w="732"/>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09" w:type="dxa"/>
            <w:vMerge w:val="restart"/>
            <w:tcBorders>
              <w:tl2br w:val="nil"/>
              <w:tr2bl w:val="nil"/>
            </w:tcBorders>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序号</w:t>
            </w:r>
          </w:p>
        </w:tc>
        <w:tc>
          <w:tcPr>
            <w:tcW w:w="672" w:type="dxa"/>
            <w:vMerge w:val="restart"/>
            <w:tcBorders>
              <w:tl2br w:val="nil"/>
              <w:tr2bl w:val="nil"/>
            </w:tcBorders>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建筑物名称</w:t>
            </w:r>
          </w:p>
        </w:tc>
        <w:tc>
          <w:tcPr>
            <w:tcW w:w="1559" w:type="dxa"/>
            <w:vMerge w:val="restart"/>
            <w:tcBorders>
              <w:tl2br w:val="nil"/>
              <w:tr2bl w:val="nil"/>
            </w:tcBorders>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声源名称</w:t>
            </w:r>
          </w:p>
        </w:tc>
        <w:tc>
          <w:tcPr>
            <w:tcW w:w="1113" w:type="dxa"/>
            <w:vMerge w:val="restart"/>
            <w:tcBorders>
              <w:tl2br w:val="nil"/>
              <w:tr2bl w:val="nil"/>
            </w:tcBorders>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型号</w:t>
            </w:r>
          </w:p>
        </w:tc>
        <w:tc>
          <w:tcPr>
            <w:tcW w:w="2002" w:type="dxa"/>
            <w:gridSpan w:val="2"/>
            <w:tcBorders>
              <w:tl2br w:val="nil"/>
              <w:tr2bl w:val="nil"/>
            </w:tcBorders>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声源源强</w:t>
            </w:r>
          </w:p>
        </w:tc>
        <w:tc>
          <w:tcPr>
            <w:tcW w:w="2199" w:type="dxa"/>
            <w:vMerge w:val="restart"/>
            <w:tcBorders>
              <w:tl2br w:val="nil"/>
              <w:tr2bl w:val="nil"/>
            </w:tcBorders>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声源控制措施</w:t>
            </w:r>
          </w:p>
        </w:tc>
        <w:tc>
          <w:tcPr>
            <w:tcW w:w="1817" w:type="dxa"/>
            <w:gridSpan w:val="3"/>
            <w:tcBorders>
              <w:tl2br w:val="nil"/>
              <w:tr2bl w:val="nil"/>
            </w:tcBorders>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空间相对位置/m</w:t>
            </w:r>
          </w:p>
        </w:tc>
        <w:tc>
          <w:tcPr>
            <w:tcW w:w="767" w:type="dxa"/>
            <w:vMerge w:val="restart"/>
            <w:tcBorders>
              <w:tl2br w:val="nil"/>
              <w:tr2bl w:val="nil"/>
            </w:tcBorders>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距室内边界距离/m</w:t>
            </w:r>
          </w:p>
        </w:tc>
        <w:tc>
          <w:tcPr>
            <w:tcW w:w="865" w:type="dxa"/>
            <w:vMerge w:val="restart"/>
            <w:tcBorders>
              <w:tl2br w:val="nil"/>
              <w:tr2bl w:val="nil"/>
            </w:tcBorders>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室内边界声级/dB(A)</w:t>
            </w:r>
          </w:p>
        </w:tc>
        <w:tc>
          <w:tcPr>
            <w:tcW w:w="793" w:type="dxa"/>
            <w:vMerge w:val="restart"/>
            <w:tcBorders>
              <w:tl2br w:val="nil"/>
              <w:tr2bl w:val="nil"/>
            </w:tcBorders>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运行时段</w:t>
            </w:r>
          </w:p>
        </w:tc>
        <w:tc>
          <w:tcPr>
            <w:tcW w:w="927" w:type="dxa"/>
            <w:vMerge w:val="restart"/>
            <w:tcBorders>
              <w:tl2br w:val="nil"/>
              <w:tr2bl w:val="nil"/>
            </w:tcBorders>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建筑物插入损失/dB(A</w:t>
            </w:r>
          </w:p>
        </w:tc>
        <w:tc>
          <w:tcPr>
            <w:tcW w:w="1671" w:type="dxa"/>
            <w:gridSpan w:val="2"/>
            <w:tcBorders>
              <w:tl2br w:val="nil"/>
              <w:tr2bl w:val="nil"/>
            </w:tcBorders>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建筑物外噪声</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09" w:type="dxa"/>
            <w:vMerge w:val="continue"/>
            <w:tcBorders>
              <w:tl2br w:val="nil"/>
              <w:tr2bl w:val="nil"/>
            </w:tcBorders>
            <w:vAlign w:val="center"/>
          </w:tcPr>
          <w:p>
            <w:pPr>
              <w:spacing w:line="240" w:lineRule="auto"/>
              <w:jc w:val="center"/>
              <w:rPr>
                <w:rFonts w:hint="default" w:ascii="Times New Roman" w:hAnsi="Times New Roman" w:eastAsia="宋体" w:cs="Times New Roman"/>
                <w:i w:val="0"/>
                <w:iCs w:val="0"/>
                <w:color w:val="auto"/>
                <w:sz w:val="21"/>
                <w:szCs w:val="21"/>
                <w:u w:val="none"/>
              </w:rPr>
            </w:pPr>
          </w:p>
        </w:tc>
        <w:tc>
          <w:tcPr>
            <w:tcW w:w="672" w:type="dxa"/>
            <w:vMerge w:val="continue"/>
            <w:tcBorders>
              <w:tl2br w:val="nil"/>
              <w:tr2bl w:val="nil"/>
            </w:tcBorders>
            <w:vAlign w:val="center"/>
          </w:tcPr>
          <w:p>
            <w:pPr>
              <w:spacing w:line="240" w:lineRule="auto"/>
              <w:jc w:val="center"/>
              <w:rPr>
                <w:rFonts w:hint="default" w:ascii="Times New Roman" w:hAnsi="Times New Roman" w:eastAsia="宋体" w:cs="Times New Roman"/>
                <w:i w:val="0"/>
                <w:iCs w:val="0"/>
                <w:color w:val="auto"/>
                <w:sz w:val="21"/>
                <w:szCs w:val="21"/>
                <w:u w:val="none"/>
              </w:rPr>
            </w:pPr>
          </w:p>
        </w:tc>
        <w:tc>
          <w:tcPr>
            <w:tcW w:w="1559" w:type="dxa"/>
            <w:vMerge w:val="continue"/>
            <w:tcBorders>
              <w:tl2br w:val="nil"/>
              <w:tr2bl w:val="nil"/>
            </w:tcBorders>
            <w:vAlign w:val="center"/>
          </w:tcPr>
          <w:p>
            <w:pPr>
              <w:spacing w:line="240" w:lineRule="auto"/>
              <w:jc w:val="center"/>
              <w:rPr>
                <w:rFonts w:hint="default" w:ascii="Times New Roman" w:hAnsi="Times New Roman" w:eastAsia="宋体" w:cs="Times New Roman"/>
                <w:i w:val="0"/>
                <w:iCs w:val="0"/>
                <w:color w:val="auto"/>
                <w:sz w:val="21"/>
                <w:szCs w:val="21"/>
                <w:u w:val="none"/>
              </w:rPr>
            </w:pPr>
          </w:p>
        </w:tc>
        <w:tc>
          <w:tcPr>
            <w:tcW w:w="1113" w:type="dxa"/>
            <w:vMerge w:val="continue"/>
            <w:tcBorders>
              <w:tl2br w:val="nil"/>
              <w:tr2bl w:val="nil"/>
            </w:tcBorders>
            <w:vAlign w:val="center"/>
          </w:tcPr>
          <w:p>
            <w:pPr>
              <w:spacing w:line="240" w:lineRule="auto"/>
              <w:jc w:val="center"/>
              <w:rPr>
                <w:rFonts w:hint="default" w:ascii="Times New Roman" w:hAnsi="Times New Roman" w:eastAsia="宋体" w:cs="Times New Roman"/>
                <w:i w:val="0"/>
                <w:iCs w:val="0"/>
                <w:color w:val="auto"/>
                <w:sz w:val="21"/>
                <w:szCs w:val="21"/>
                <w:u w:val="none"/>
              </w:rPr>
            </w:pPr>
          </w:p>
        </w:tc>
        <w:tc>
          <w:tcPr>
            <w:tcW w:w="1081" w:type="dxa"/>
            <w:tcBorders>
              <w:tl2br w:val="nil"/>
              <w:tr2bl w:val="nil"/>
            </w:tcBorders>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i w:val="0"/>
                <w:iCs w:val="0"/>
                <w:color w:val="auto"/>
                <w:kern w:val="2"/>
                <w:sz w:val="21"/>
                <w:szCs w:val="21"/>
                <w:u w:val="none"/>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声压级/dB(A)</w:t>
            </w:r>
          </w:p>
        </w:tc>
        <w:tc>
          <w:tcPr>
            <w:tcW w:w="921" w:type="dxa"/>
            <w:tcBorders>
              <w:tl2br w:val="nil"/>
              <w:tr2bl w:val="nil"/>
            </w:tcBorders>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i w:val="0"/>
                <w:iCs w:val="0"/>
                <w:color w:val="auto"/>
                <w:kern w:val="2"/>
                <w:sz w:val="21"/>
                <w:szCs w:val="21"/>
                <w:u w:val="none"/>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距声源距离/m</w:t>
            </w:r>
          </w:p>
        </w:tc>
        <w:tc>
          <w:tcPr>
            <w:tcW w:w="2199" w:type="dxa"/>
            <w:vMerge w:val="continue"/>
            <w:tcBorders>
              <w:tl2br w:val="nil"/>
              <w:tr2bl w:val="nil"/>
            </w:tcBorders>
            <w:vAlign w:val="center"/>
          </w:tcPr>
          <w:p>
            <w:pPr>
              <w:spacing w:line="240" w:lineRule="auto"/>
              <w:jc w:val="center"/>
              <w:rPr>
                <w:rFonts w:hint="default" w:ascii="Times New Roman" w:hAnsi="Times New Roman" w:eastAsia="宋体" w:cs="Times New Roman"/>
                <w:i w:val="0"/>
                <w:iCs w:val="0"/>
                <w:color w:val="auto"/>
                <w:sz w:val="21"/>
                <w:szCs w:val="21"/>
                <w:u w:val="none"/>
              </w:rPr>
            </w:pPr>
          </w:p>
        </w:tc>
        <w:tc>
          <w:tcPr>
            <w:tcW w:w="605" w:type="dxa"/>
            <w:tcBorders>
              <w:tl2br w:val="nil"/>
              <w:tr2bl w:val="nil"/>
            </w:tcBorders>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X</w:t>
            </w:r>
          </w:p>
        </w:tc>
        <w:tc>
          <w:tcPr>
            <w:tcW w:w="499" w:type="dxa"/>
            <w:tcBorders>
              <w:tl2br w:val="nil"/>
              <w:tr2bl w:val="nil"/>
            </w:tcBorders>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cs="Times New Roman"/>
                <w:i w:val="0"/>
                <w:iCs w:val="0"/>
                <w:color w:val="auto"/>
                <w:kern w:val="0"/>
                <w:sz w:val="21"/>
                <w:szCs w:val="21"/>
                <w:u w:val="none"/>
                <w:lang w:val="en-US" w:eastAsia="zh-CN" w:bidi="ar"/>
              </w:rPr>
              <w:t>Y</w:t>
            </w:r>
          </w:p>
        </w:tc>
        <w:tc>
          <w:tcPr>
            <w:tcW w:w="713" w:type="dxa"/>
            <w:tcBorders>
              <w:tl2br w:val="nil"/>
              <w:tr2bl w:val="nil"/>
            </w:tcBorders>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cs="Times New Roman"/>
                <w:i w:val="0"/>
                <w:iCs w:val="0"/>
                <w:color w:val="auto"/>
                <w:kern w:val="0"/>
                <w:sz w:val="21"/>
                <w:szCs w:val="21"/>
                <w:u w:val="none"/>
                <w:lang w:val="en-US" w:eastAsia="zh-CN" w:bidi="ar"/>
              </w:rPr>
              <w:t>Z</w:t>
            </w:r>
          </w:p>
        </w:tc>
        <w:tc>
          <w:tcPr>
            <w:tcW w:w="767" w:type="dxa"/>
            <w:vMerge w:val="continue"/>
            <w:tcBorders>
              <w:tl2br w:val="nil"/>
              <w:tr2bl w:val="nil"/>
            </w:tcBorders>
            <w:vAlign w:val="center"/>
          </w:tcPr>
          <w:p>
            <w:pPr>
              <w:spacing w:line="240" w:lineRule="auto"/>
              <w:jc w:val="center"/>
              <w:rPr>
                <w:rFonts w:hint="default" w:ascii="Times New Roman" w:hAnsi="Times New Roman" w:eastAsia="宋体" w:cs="Times New Roman"/>
                <w:i w:val="0"/>
                <w:iCs w:val="0"/>
                <w:color w:val="auto"/>
                <w:sz w:val="21"/>
                <w:szCs w:val="21"/>
                <w:u w:val="none"/>
              </w:rPr>
            </w:pPr>
          </w:p>
        </w:tc>
        <w:tc>
          <w:tcPr>
            <w:tcW w:w="865" w:type="dxa"/>
            <w:vMerge w:val="continue"/>
            <w:tcBorders>
              <w:tl2br w:val="nil"/>
              <w:tr2bl w:val="nil"/>
            </w:tcBorders>
            <w:vAlign w:val="center"/>
          </w:tcPr>
          <w:p>
            <w:pPr>
              <w:spacing w:line="240" w:lineRule="auto"/>
              <w:jc w:val="center"/>
              <w:rPr>
                <w:rFonts w:hint="default" w:ascii="Times New Roman" w:hAnsi="Times New Roman" w:eastAsia="宋体" w:cs="Times New Roman"/>
                <w:i w:val="0"/>
                <w:iCs w:val="0"/>
                <w:color w:val="auto"/>
                <w:sz w:val="21"/>
                <w:szCs w:val="21"/>
                <w:u w:val="none"/>
              </w:rPr>
            </w:pPr>
          </w:p>
        </w:tc>
        <w:tc>
          <w:tcPr>
            <w:tcW w:w="793" w:type="dxa"/>
            <w:vMerge w:val="continue"/>
            <w:tcBorders>
              <w:tl2br w:val="nil"/>
              <w:tr2bl w:val="nil"/>
            </w:tcBorders>
            <w:vAlign w:val="center"/>
          </w:tcPr>
          <w:p>
            <w:pPr>
              <w:spacing w:line="240" w:lineRule="auto"/>
              <w:jc w:val="center"/>
              <w:rPr>
                <w:rFonts w:hint="default" w:ascii="Times New Roman" w:hAnsi="Times New Roman" w:eastAsia="宋体" w:cs="Times New Roman"/>
                <w:i w:val="0"/>
                <w:iCs w:val="0"/>
                <w:color w:val="auto"/>
                <w:sz w:val="21"/>
                <w:szCs w:val="21"/>
                <w:u w:val="none"/>
              </w:rPr>
            </w:pPr>
          </w:p>
        </w:tc>
        <w:tc>
          <w:tcPr>
            <w:tcW w:w="927" w:type="dxa"/>
            <w:vMerge w:val="continue"/>
            <w:tcBorders>
              <w:tl2br w:val="nil"/>
              <w:tr2bl w:val="nil"/>
            </w:tcBorders>
            <w:vAlign w:val="center"/>
          </w:tcPr>
          <w:p>
            <w:pPr>
              <w:spacing w:line="240" w:lineRule="auto"/>
              <w:jc w:val="center"/>
              <w:rPr>
                <w:rFonts w:hint="default" w:ascii="Times New Roman" w:hAnsi="Times New Roman" w:eastAsia="宋体" w:cs="Times New Roman"/>
                <w:i w:val="0"/>
                <w:iCs w:val="0"/>
                <w:color w:val="auto"/>
                <w:sz w:val="21"/>
                <w:szCs w:val="21"/>
                <w:u w:val="none"/>
              </w:rPr>
            </w:pPr>
          </w:p>
        </w:tc>
        <w:tc>
          <w:tcPr>
            <w:tcW w:w="939" w:type="dxa"/>
            <w:tcBorders>
              <w:tl2br w:val="nil"/>
              <w:tr2bl w:val="nil"/>
            </w:tcBorders>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声压级/dB(A)</w:t>
            </w:r>
          </w:p>
        </w:tc>
        <w:tc>
          <w:tcPr>
            <w:tcW w:w="732" w:type="dxa"/>
            <w:tcBorders>
              <w:tl2br w:val="nil"/>
              <w:tr2bl w:val="nil"/>
            </w:tcBorders>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kern w:val="0"/>
                <w:sz w:val="21"/>
                <w:szCs w:val="21"/>
                <w:u w:val="none"/>
                <w:lang w:val="en-US" w:eastAsia="zh-CN" w:bidi="ar"/>
              </w:rPr>
              <w:t>建筑物外距离</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09" w:type="dxa"/>
            <w:tcBorders>
              <w:tl2br w:val="nil"/>
              <w:tr2bl w:val="nil"/>
            </w:tcBorders>
            <w:vAlign w:val="center"/>
          </w:tcPr>
          <w:p>
            <w:pPr>
              <w:spacing w:line="240" w:lineRule="auto"/>
              <w:jc w:val="center"/>
              <w:rPr>
                <w:rFonts w:hint="default" w:ascii="Times New Roman" w:hAnsi="Times New Roman" w:eastAsia="宋体" w:cs="Times New Roman"/>
                <w:i w:val="0"/>
                <w:iCs w:val="0"/>
                <w:color w:val="auto"/>
                <w:sz w:val="21"/>
                <w:szCs w:val="21"/>
                <w:u w:val="none"/>
                <w:lang w:val="en-US" w:eastAsia="zh-CN"/>
              </w:rPr>
            </w:pPr>
            <w:r>
              <w:rPr>
                <w:rFonts w:hint="eastAsia" w:cs="Times New Roman"/>
                <w:i w:val="0"/>
                <w:iCs w:val="0"/>
                <w:color w:val="auto"/>
                <w:sz w:val="21"/>
                <w:szCs w:val="21"/>
                <w:u w:val="none"/>
                <w:lang w:val="en-US" w:eastAsia="zh-CN"/>
              </w:rPr>
              <w:t>1</w:t>
            </w:r>
          </w:p>
        </w:tc>
        <w:tc>
          <w:tcPr>
            <w:tcW w:w="672" w:type="dxa"/>
            <w:vMerge w:val="restart"/>
            <w:tcBorders>
              <w:tl2br w:val="nil"/>
              <w:tr2bl w:val="nil"/>
            </w:tcBorders>
            <w:vAlign w:val="center"/>
          </w:tcPr>
          <w:p>
            <w:pPr>
              <w:spacing w:line="240" w:lineRule="auto"/>
              <w:jc w:val="center"/>
              <w:rPr>
                <w:rFonts w:hint="default" w:ascii="Times New Roman" w:hAnsi="Times New Roman" w:eastAsia="宋体" w:cs="Times New Roman"/>
                <w:i w:val="0"/>
                <w:iCs w:val="0"/>
                <w:color w:val="auto"/>
                <w:sz w:val="21"/>
                <w:szCs w:val="21"/>
                <w:u w:val="none"/>
                <w:lang w:val="en-US" w:eastAsia="zh-CN"/>
              </w:rPr>
            </w:pPr>
            <w:r>
              <w:rPr>
                <w:rFonts w:hint="default" w:ascii="Times New Roman" w:hAnsi="Times New Roman" w:cs="Times New Roman"/>
                <w:i w:val="0"/>
                <w:iCs w:val="0"/>
                <w:color w:val="auto"/>
                <w:sz w:val="21"/>
                <w:szCs w:val="21"/>
                <w:u w:val="none"/>
                <w:lang w:val="en-US" w:eastAsia="zh-CN"/>
              </w:rPr>
              <w:t>生产车间</w:t>
            </w:r>
          </w:p>
        </w:tc>
        <w:tc>
          <w:tcPr>
            <w:tcW w:w="1559" w:type="dxa"/>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highlight w:val="none"/>
                <w:lang w:val="en-US" w:eastAsia="zh-CN" w:bidi="ar-SA"/>
              </w:rPr>
            </w:pPr>
            <w:r>
              <w:rPr>
                <w:rFonts w:hint="eastAsia" w:ascii="Times New Roman" w:hAnsi="Times New Roman" w:eastAsia="宋体" w:cs="Times New Roman"/>
                <w:color w:val="auto"/>
                <w:sz w:val="21"/>
                <w:szCs w:val="21"/>
                <w:u w:val="none" w:color="auto"/>
                <w:lang w:val="en-US" w:eastAsia="zh-CN"/>
              </w:rPr>
              <w:t>预处理升降设备</w:t>
            </w:r>
          </w:p>
        </w:tc>
        <w:tc>
          <w:tcPr>
            <w:tcW w:w="1113" w:type="dxa"/>
            <w:tcBorders>
              <w:tl2br w:val="nil"/>
              <w:tr2bl w:val="nil"/>
            </w:tcBorders>
            <w:vAlign w:val="center"/>
          </w:tcPr>
          <w:p>
            <w:pPr>
              <w:spacing w:line="240" w:lineRule="auto"/>
              <w:jc w:val="center"/>
              <w:rPr>
                <w:rFonts w:hint="default"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sz w:val="21"/>
                <w:szCs w:val="21"/>
                <w:lang w:val="en-US" w:eastAsia="zh-CN"/>
              </w:rPr>
              <w:t>/</w:t>
            </w:r>
          </w:p>
        </w:tc>
        <w:tc>
          <w:tcPr>
            <w:tcW w:w="1081" w:type="dxa"/>
            <w:tcBorders>
              <w:tl2br w:val="nil"/>
              <w:tr2bl w:val="nil"/>
            </w:tcBorders>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75~80</w:t>
            </w:r>
          </w:p>
        </w:tc>
        <w:tc>
          <w:tcPr>
            <w:tcW w:w="921" w:type="dxa"/>
            <w:tcBorders>
              <w:tl2br w:val="nil"/>
              <w:tr2bl w:val="nil"/>
            </w:tcBorders>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cs="Times New Roman"/>
                <w:i w:val="0"/>
                <w:iCs w:val="0"/>
                <w:color w:val="auto"/>
                <w:kern w:val="0"/>
                <w:sz w:val="21"/>
                <w:szCs w:val="21"/>
                <w:u w:val="none"/>
                <w:lang w:val="en-US" w:eastAsia="zh-CN" w:bidi="ar"/>
              </w:rPr>
              <w:t>1</w:t>
            </w:r>
          </w:p>
        </w:tc>
        <w:tc>
          <w:tcPr>
            <w:tcW w:w="2199" w:type="dxa"/>
            <w:tcBorders>
              <w:tl2br w:val="nil"/>
              <w:tr2bl w:val="nil"/>
            </w:tcBorders>
            <w:vAlign w:val="center"/>
          </w:tcPr>
          <w:p>
            <w:pPr>
              <w:spacing w:line="240" w:lineRule="auto"/>
              <w:jc w:val="center"/>
              <w:rPr>
                <w:rFonts w:hint="default" w:ascii="Times New Roman" w:hAnsi="Times New Roman" w:eastAsia="宋体" w:cs="Times New Roman"/>
                <w:i w:val="0"/>
                <w:iCs w:val="0"/>
                <w:color w:val="auto"/>
                <w:kern w:val="2"/>
                <w:sz w:val="21"/>
                <w:szCs w:val="21"/>
                <w:u w:val="none"/>
                <w:lang w:val="en-US" w:eastAsia="zh-CN" w:bidi="ar-SA"/>
              </w:rPr>
            </w:pPr>
            <w:r>
              <w:rPr>
                <w:rFonts w:hint="default" w:ascii="Times New Roman" w:hAnsi="Times New Roman" w:eastAsia="宋体" w:cs="Times New Roman"/>
                <w:i w:val="0"/>
                <w:iCs w:val="0"/>
                <w:color w:val="auto"/>
                <w:sz w:val="21"/>
                <w:szCs w:val="21"/>
                <w:u w:val="none"/>
                <w:lang w:eastAsia="zh-CN"/>
              </w:rPr>
              <w:t>选择低噪声设备</w:t>
            </w:r>
          </w:p>
        </w:tc>
        <w:tc>
          <w:tcPr>
            <w:tcW w:w="605" w:type="dxa"/>
            <w:tcBorders>
              <w:tl2br w:val="nil"/>
              <w:tr2bl w:val="nil"/>
            </w:tcBorders>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-37</w:t>
            </w:r>
          </w:p>
        </w:tc>
        <w:tc>
          <w:tcPr>
            <w:tcW w:w="499" w:type="dxa"/>
            <w:tcBorders>
              <w:tl2br w:val="nil"/>
              <w:tr2bl w:val="nil"/>
            </w:tcBorders>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4</w:t>
            </w:r>
          </w:p>
        </w:tc>
        <w:tc>
          <w:tcPr>
            <w:tcW w:w="713" w:type="dxa"/>
            <w:tcBorders>
              <w:tl2br w:val="nil"/>
              <w:tr2bl w:val="nil"/>
            </w:tcBorders>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3.08</w:t>
            </w:r>
          </w:p>
        </w:tc>
        <w:tc>
          <w:tcPr>
            <w:tcW w:w="767" w:type="dxa"/>
            <w:tcBorders>
              <w:tl2br w:val="nil"/>
              <w:tr2bl w:val="nil"/>
            </w:tcBorders>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i w:val="0"/>
                <w:iCs w:val="0"/>
                <w:color w:val="auto"/>
                <w:kern w:val="2"/>
                <w:sz w:val="21"/>
                <w:szCs w:val="21"/>
                <w:u w:val="none"/>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27.22</w:t>
            </w:r>
          </w:p>
        </w:tc>
        <w:tc>
          <w:tcPr>
            <w:tcW w:w="865" w:type="dxa"/>
            <w:tcBorders>
              <w:tl2br w:val="nil"/>
              <w:tr2bl w:val="nil"/>
            </w:tcBorders>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i w:val="0"/>
                <w:iCs w:val="0"/>
                <w:color w:val="auto"/>
                <w:kern w:val="2"/>
                <w:sz w:val="21"/>
                <w:szCs w:val="21"/>
                <w:u w:val="none"/>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76.15</w:t>
            </w:r>
          </w:p>
        </w:tc>
        <w:tc>
          <w:tcPr>
            <w:tcW w:w="793" w:type="dxa"/>
            <w:tcBorders>
              <w:tl2br w:val="nil"/>
              <w:tr2bl w:val="nil"/>
            </w:tcBorders>
            <w:vAlign w:val="center"/>
          </w:tcPr>
          <w:p>
            <w:pPr>
              <w:spacing w:line="240" w:lineRule="auto"/>
              <w:jc w:val="center"/>
              <w:rPr>
                <w:rFonts w:hint="default" w:ascii="Times New Roman" w:hAnsi="Times New Roman" w:eastAsia="宋体" w:cs="Times New Roman"/>
                <w:i w:val="0"/>
                <w:iCs w:val="0"/>
                <w:color w:val="auto"/>
                <w:kern w:val="2"/>
                <w:sz w:val="21"/>
                <w:szCs w:val="21"/>
                <w:u w:val="none"/>
                <w:lang w:val="en-US" w:eastAsia="zh-CN" w:bidi="ar-SA"/>
              </w:rPr>
            </w:pPr>
            <w:r>
              <w:rPr>
                <w:rFonts w:hint="default" w:ascii="Times New Roman" w:hAnsi="Times New Roman" w:eastAsia="宋体" w:cs="Times New Roman"/>
                <w:i w:val="0"/>
                <w:iCs w:val="0"/>
                <w:color w:val="auto"/>
                <w:sz w:val="21"/>
                <w:szCs w:val="21"/>
                <w:u w:val="none"/>
                <w:lang w:val="en-US" w:eastAsia="zh-CN"/>
              </w:rPr>
              <w:t>全天</w:t>
            </w:r>
          </w:p>
        </w:tc>
        <w:tc>
          <w:tcPr>
            <w:tcW w:w="927" w:type="dxa"/>
            <w:tcBorders>
              <w:tl2br w:val="nil"/>
              <w:tr2bl w:val="nil"/>
            </w:tcBorders>
            <w:vAlign w:val="center"/>
          </w:tcPr>
          <w:p>
            <w:pPr>
              <w:spacing w:line="240" w:lineRule="auto"/>
              <w:jc w:val="center"/>
              <w:rPr>
                <w:rFonts w:hint="default" w:ascii="Times New Roman" w:hAnsi="Times New Roman" w:eastAsia="宋体" w:cs="Times New Roman"/>
                <w:i w:val="0"/>
                <w:iCs w:val="0"/>
                <w:color w:val="auto"/>
                <w:kern w:val="2"/>
                <w:sz w:val="21"/>
                <w:szCs w:val="21"/>
                <w:u w:val="none"/>
                <w:lang w:val="en-US" w:eastAsia="zh-CN" w:bidi="ar-SA"/>
              </w:rPr>
            </w:pPr>
            <w:r>
              <w:rPr>
                <w:rFonts w:hint="default" w:ascii="Times New Roman" w:hAnsi="Times New Roman" w:cs="Times New Roman"/>
                <w:i w:val="0"/>
                <w:iCs w:val="0"/>
                <w:color w:val="auto"/>
                <w:sz w:val="21"/>
                <w:szCs w:val="21"/>
                <w:u w:val="none"/>
                <w:lang w:val="en-US" w:eastAsia="zh-CN"/>
              </w:rPr>
              <w:t>25</w:t>
            </w:r>
          </w:p>
        </w:tc>
        <w:tc>
          <w:tcPr>
            <w:tcW w:w="939" w:type="dxa"/>
            <w:tcBorders>
              <w:tl2br w:val="nil"/>
              <w:tr2bl w:val="nil"/>
            </w:tcBorders>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45.13</w:t>
            </w:r>
          </w:p>
        </w:tc>
        <w:tc>
          <w:tcPr>
            <w:tcW w:w="732" w:type="dxa"/>
            <w:tcBorders>
              <w:tl2br w:val="nil"/>
              <w:tr2bl w:val="nil"/>
            </w:tcBorders>
            <w:vAlign w:val="center"/>
          </w:tcPr>
          <w:p>
            <w:pPr>
              <w:spacing w:line="240" w:lineRule="auto"/>
              <w:jc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cs="Times New Roman"/>
                <w:i w:val="0"/>
                <w:iCs w:val="0"/>
                <w:color w:val="auto"/>
                <w:sz w:val="21"/>
                <w:szCs w:val="21"/>
                <w:u w:val="none"/>
                <w:lang w:val="en-US" w:eastAsia="zh-CN"/>
              </w:rPr>
              <w:t>1</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09" w:type="dxa"/>
            <w:tcBorders>
              <w:tl2br w:val="nil"/>
              <w:tr2bl w:val="nil"/>
            </w:tcBorders>
            <w:vAlign w:val="center"/>
          </w:tcPr>
          <w:p>
            <w:pPr>
              <w:spacing w:line="240" w:lineRule="auto"/>
              <w:jc w:val="center"/>
              <w:rPr>
                <w:rFonts w:hint="default" w:ascii="Times New Roman" w:hAnsi="Times New Roman" w:eastAsia="宋体" w:cs="Times New Roman"/>
                <w:i w:val="0"/>
                <w:iCs w:val="0"/>
                <w:color w:val="auto"/>
                <w:kern w:val="2"/>
                <w:sz w:val="21"/>
                <w:szCs w:val="21"/>
                <w:u w:val="none"/>
                <w:lang w:val="en-US" w:eastAsia="zh-CN" w:bidi="ar-SA"/>
              </w:rPr>
            </w:pPr>
            <w:r>
              <w:rPr>
                <w:rFonts w:hint="default" w:ascii="Times New Roman" w:hAnsi="Times New Roman" w:cs="Times New Roman"/>
                <w:i w:val="0"/>
                <w:iCs w:val="0"/>
                <w:color w:val="auto"/>
                <w:sz w:val="21"/>
                <w:szCs w:val="21"/>
                <w:u w:val="none"/>
                <w:lang w:val="en-US" w:eastAsia="zh-CN"/>
              </w:rPr>
              <w:t>2</w:t>
            </w:r>
          </w:p>
        </w:tc>
        <w:tc>
          <w:tcPr>
            <w:tcW w:w="672" w:type="dxa"/>
            <w:vMerge w:val="continue"/>
            <w:tcBorders>
              <w:tl2br w:val="nil"/>
              <w:tr2bl w:val="nil"/>
            </w:tcBorders>
            <w:vAlign w:val="center"/>
          </w:tcPr>
          <w:p>
            <w:pPr>
              <w:spacing w:line="240" w:lineRule="auto"/>
              <w:jc w:val="center"/>
              <w:rPr>
                <w:rFonts w:hint="default" w:ascii="Times New Roman" w:hAnsi="Times New Roman" w:cs="Times New Roman"/>
                <w:i w:val="0"/>
                <w:iCs w:val="0"/>
                <w:color w:val="auto"/>
                <w:sz w:val="21"/>
                <w:szCs w:val="21"/>
                <w:u w:val="none"/>
                <w:lang w:val="en-US" w:eastAsia="zh-CN"/>
              </w:rPr>
            </w:pPr>
          </w:p>
        </w:tc>
        <w:tc>
          <w:tcPr>
            <w:tcW w:w="1559" w:type="dxa"/>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u w:val="none" w:color="auto"/>
                <w:lang w:val="en-US" w:eastAsia="zh-CN"/>
              </w:rPr>
              <w:t>手持液压剪（含支架）</w:t>
            </w:r>
          </w:p>
        </w:tc>
        <w:tc>
          <w:tcPr>
            <w:tcW w:w="1113" w:type="dxa"/>
            <w:tcBorders>
              <w:tl2br w:val="nil"/>
              <w:tr2bl w:val="nil"/>
            </w:tcBorders>
            <w:vAlign w:val="center"/>
          </w:tcPr>
          <w:p>
            <w:pPr>
              <w:spacing w:line="240" w:lineRule="auto"/>
              <w:jc w:val="center"/>
              <w:rPr>
                <w:rFonts w:hint="default"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sz w:val="21"/>
                <w:szCs w:val="21"/>
                <w:lang w:val="en-US" w:eastAsia="zh-CN"/>
              </w:rPr>
              <w:t>/</w:t>
            </w:r>
          </w:p>
        </w:tc>
        <w:tc>
          <w:tcPr>
            <w:tcW w:w="1081" w:type="dxa"/>
            <w:tcBorders>
              <w:tl2br w:val="nil"/>
              <w:tr2bl w:val="nil"/>
            </w:tcBorders>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75~80</w:t>
            </w:r>
          </w:p>
        </w:tc>
        <w:tc>
          <w:tcPr>
            <w:tcW w:w="921" w:type="dxa"/>
            <w:tcBorders>
              <w:tl2br w:val="nil"/>
              <w:tr2bl w:val="nil"/>
            </w:tcBorders>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cs="Times New Roman"/>
                <w:i w:val="0"/>
                <w:iCs w:val="0"/>
                <w:color w:val="auto"/>
                <w:kern w:val="0"/>
                <w:sz w:val="21"/>
                <w:szCs w:val="21"/>
                <w:u w:val="none"/>
                <w:lang w:val="en-US" w:eastAsia="zh-CN" w:bidi="ar"/>
              </w:rPr>
              <w:t>1</w:t>
            </w:r>
          </w:p>
        </w:tc>
        <w:tc>
          <w:tcPr>
            <w:tcW w:w="2199" w:type="dxa"/>
            <w:tcBorders>
              <w:tl2br w:val="nil"/>
              <w:tr2bl w:val="nil"/>
            </w:tcBorders>
            <w:vAlign w:val="center"/>
          </w:tcPr>
          <w:p>
            <w:pPr>
              <w:spacing w:line="240" w:lineRule="auto"/>
              <w:jc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sz w:val="21"/>
                <w:szCs w:val="21"/>
                <w:u w:val="none"/>
                <w:lang w:eastAsia="zh-CN"/>
              </w:rPr>
              <w:t>选择低噪声设备</w:t>
            </w:r>
          </w:p>
        </w:tc>
        <w:tc>
          <w:tcPr>
            <w:tcW w:w="605" w:type="dxa"/>
            <w:tcBorders>
              <w:tl2br w:val="nil"/>
              <w:tr2bl w:val="nil"/>
            </w:tcBorders>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-32</w:t>
            </w:r>
          </w:p>
        </w:tc>
        <w:tc>
          <w:tcPr>
            <w:tcW w:w="499" w:type="dxa"/>
            <w:tcBorders>
              <w:tl2br w:val="nil"/>
              <w:tr2bl w:val="nil"/>
            </w:tcBorders>
            <w:vAlign w:val="center"/>
          </w:tcPr>
          <w:p>
            <w:pPr>
              <w:keepNext w:val="0"/>
              <w:keepLines w:val="0"/>
              <w:widowControl/>
              <w:suppressLineNumbers w:val="0"/>
              <w:spacing w:line="240" w:lineRule="auto"/>
              <w:jc w:val="center"/>
              <w:textAlignment w:val="center"/>
              <w:rPr>
                <w:rFonts w:hint="default" w:ascii="Times New Roman" w:hAnsi="Times New Roman"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-4</w:t>
            </w:r>
          </w:p>
        </w:tc>
        <w:tc>
          <w:tcPr>
            <w:tcW w:w="713" w:type="dxa"/>
            <w:tcBorders>
              <w:tl2br w:val="nil"/>
              <w:tr2bl w:val="nil"/>
            </w:tcBorders>
            <w:vAlign w:val="center"/>
          </w:tcPr>
          <w:p>
            <w:pPr>
              <w:keepNext w:val="0"/>
              <w:keepLines w:val="0"/>
              <w:widowControl/>
              <w:suppressLineNumbers w:val="0"/>
              <w:spacing w:line="240" w:lineRule="auto"/>
              <w:jc w:val="center"/>
              <w:textAlignment w:val="center"/>
              <w:rPr>
                <w:rFonts w:hint="default" w:ascii="Times New Roman" w:hAnsi="Times New Roman"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3.08</w:t>
            </w:r>
          </w:p>
        </w:tc>
        <w:tc>
          <w:tcPr>
            <w:tcW w:w="767" w:type="dxa"/>
            <w:tcBorders>
              <w:tl2br w:val="nil"/>
              <w:tr2bl w:val="nil"/>
            </w:tcBorders>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i w:val="0"/>
                <w:iCs w:val="0"/>
                <w:color w:val="auto"/>
                <w:sz w:val="21"/>
                <w:szCs w:val="21"/>
                <w:u w:val="none"/>
                <w:lang w:val="en-US" w:eastAsia="zh-CN"/>
              </w:rPr>
            </w:pPr>
            <w:r>
              <w:rPr>
                <w:rFonts w:hint="default" w:ascii="Times New Roman" w:hAnsi="Times New Roman" w:eastAsia="宋体" w:cs="Times New Roman"/>
                <w:i w:val="0"/>
                <w:iCs w:val="0"/>
                <w:color w:val="auto"/>
                <w:kern w:val="0"/>
                <w:sz w:val="21"/>
                <w:szCs w:val="21"/>
                <w:u w:val="none"/>
                <w:lang w:val="en-US" w:eastAsia="zh-CN" w:bidi="ar"/>
              </w:rPr>
              <w:t>27.22</w:t>
            </w:r>
          </w:p>
        </w:tc>
        <w:tc>
          <w:tcPr>
            <w:tcW w:w="865" w:type="dxa"/>
            <w:tcBorders>
              <w:tl2br w:val="nil"/>
              <w:tr2bl w:val="nil"/>
            </w:tcBorders>
            <w:vAlign w:val="center"/>
          </w:tcPr>
          <w:p>
            <w:pPr>
              <w:keepNext w:val="0"/>
              <w:keepLines w:val="0"/>
              <w:widowControl/>
              <w:suppressLineNumbers w:val="0"/>
              <w:spacing w:line="240" w:lineRule="auto"/>
              <w:jc w:val="center"/>
              <w:textAlignment w:val="center"/>
              <w:rPr>
                <w:rFonts w:hint="default" w:ascii="Times New Roman" w:hAnsi="Times New Roman" w:cs="Times New Roman"/>
                <w:i w:val="0"/>
                <w:iCs w:val="0"/>
                <w:color w:val="auto"/>
                <w:sz w:val="21"/>
                <w:szCs w:val="21"/>
                <w:u w:val="none"/>
                <w:lang w:val="en-US" w:eastAsia="zh-CN"/>
              </w:rPr>
            </w:pPr>
            <w:r>
              <w:rPr>
                <w:rFonts w:hint="default" w:ascii="Times New Roman" w:hAnsi="Times New Roman" w:eastAsia="宋体" w:cs="Times New Roman"/>
                <w:i w:val="0"/>
                <w:iCs w:val="0"/>
                <w:color w:val="auto"/>
                <w:kern w:val="0"/>
                <w:sz w:val="21"/>
                <w:szCs w:val="21"/>
                <w:u w:val="none"/>
                <w:lang w:val="en-US" w:eastAsia="zh-CN" w:bidi="ar"/>
              </w:rPr>
              <w:t>76.15</w:t>
            </w:r>
          </w:p>
        </w:tc>
        <w:tc>
          <w:tcPr>
            <w:tcW w:w="793" w:type="dxa"/>
            <w:tcBorders>
              <w:tl2br w:val="nil"/>
              <w:tr2bl w:val="nil"/>
            </w:tcBorders>
            <w:vAlign w:val="center"/>
          </w:tcPr>
          <w:p>
            <w:pPr>
              <w:spacing w:line="240" w:lineRule="auto"/>
              <w:jc w:val="center"/>
              <w:rPr>
                <w:rFonts w:hint="default" w:ascii="Times New Roman" w:hAnsi="Times New Roman" w:eastAsia="宋体" w:cs="Times New Roman"/>
                <w:i w:val="0"/>
                <w:iCs w:val="0"/>
                <w:color w:val="auto"/>
                <w:sz w:val="21"/>
                <w:szCs w:val="21"/>
                <w:u w:val="none"/>
                <w:lang w:val="en-US" w:eastAsia="zh-CN"/>
              </w:rPr>
            </w:pPr>
            <w:r>
              <w:rPr>
                <w:rFonts w:hint="default" w:ascii="Times New Roman" w:hAnsi="Times New Roman" w:eastAsia="宋体" w:cs="Times New Roman"/>
                <w:i w:val="0"/>
                <w:iCs w:val="0"/>
                <w:color w:val="auto"/>
                <w:sz w:val="21"/>
                <w:szCs w:val="21"/>
                <w:u w:val="none"/>
                <w:lang w:val="en-US" w:eastAsia="zh-CN"/>
              </w:rPr>
              <w:t>全天</w:t>
            </w:r>
          </w:p>
        </w:tc>
        <w:tc>
          <w:tcPr>
            <w:tcW w:w="927" w:type="dxa"/>
            <w:tcBorders>
              <w:tl2br w:val="nil"/>
              <w:tr2bl w:val="nil"/>
            </w:tcBorders>
            <w:vAlign w:val="center"/>
          </w:tcPr>
          <w:p>
            <w:pPr>
              <w:spacing w:line="240" w:lineRule="auto"/>
              <w:jc w:val="center"/>
              <w:rPr>
                <w:rFonts w:hint="default" w:ascii="Times New Roman" w:hAnsi="Times New Roman" w:cs="Times New Roman"/>
                <w:i w:val="0"/>
                <w:iCs w:val="0"/>
                <w:color w:val="auto"/>
                <w:sz w:val="21"/>
                <w:szCs w:val="21"/>
                <w:u w:val="none"/>
                <w:lang w:val="en-US" w:eastAsia="zh-CN"/>
              </w:rPr>
            </w:pPr>
            <w:r>
              <w:rPr>
                <w:rFonts w:hint="default" w:ascii="Times New Roman" w:hAnsi="Times New Roman" w:cs="Times New Roman"/>
                <w:i w:val="0"/>
                <w:iCs w:val="0"/>
                <w:color w:val="auto"/>
                <w:sz w:val="21"/>
                <w:szCs w:val="21"/>
                <w:u w:val="none"/>
                <w:lang w:val="en-US" w:eastAsia="zh-CN"/>
              </w:rPr>
              <w:t>25</w:t>
            </w:r>
          </w:p>
        </w:tc>
        <w:tc>
          <w:tcPr>
            <w:tcW w:w="939" w:type="dxa"/>
            <w:tcBorders>
              <w:tl2br w:val="nil"/>
              <w:tr2bl w:val="nil"/>
            </w:tcBorders>
            <w:vAlign w:val="center"/>
          </w:tcPr>
          <w:p>
            <w:pPr>
              <w:keepNext w:val="0"/>
              <w:keepLines w:val="0"/>
              <w:widowControl/>
              <w:suppressLineNumbers w:val="0"/>
              <w:spacing w:line="240" w:lineRule="auto"/>
              <w:jc w:val="center"/>
              <w:textAlignment w:val="center"/>
              <w:rPr>
                <w:rFonts w:hint="default" w:ascii="Times New Roman" w:hAnsi="Times New Roman"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45.13</w:t>
            </w:r>
          </w:p>
        </w:tc>
        <w:tc>
          <w:tcPr>
            <w:tcW w:w="732" w:type="dxa"/>
            <w:tcBorders>
              <w:tl2br w:val="nil"/>
              <w:tr2bl w:val="nil"/>
            </w:tcBorders>
            <w:vAlign w:val="center"/>
          </w:tcPr>
          <w:p>
            <w:pPr>
              <w:spacing w:line="240" w:lineRule="auto"/>
              <w:jc w:val="center"/>
              <w:rPr>
                <w:rFonts w:hint="default" w:ascii="Times New Roman" w:hAnsi="Times New Roman" w:cs="Times New Roman"/>
                <w:i w:val="0"/>
                <w:iCs w:val="0"/>
                <w:color w:val="auto"/>
                <w:kern w:val="0"/>
                <w:sz w:val="21"/>
                <w:szCs w:val="21"/>
                <w:u w:val="none"/>
                <w:lang w:val="en-US" w:eastAsia="zh-CN" w:bidi="ar"/>
              </w:rPr>
            </w:pPr>
            <w:r>
              <w:rPr>
                <w:rFonts w:hint="default" w:ascii="Times New Roman" w:hAnsi="Times New Roman" w:cs="Times New Roman"/>
                <w:i w:val="0"/>
                <w:iCs w:val="0"/>
                <w:color w:val="auto"/>
                <w:sz w:val="21"/>
                <w:szCs w:val="21"/>
                <w:u w:val="none"/>
                <w:lang w:val="en-US" w:eastAsia="zh-CN"/>
              </w:rPr>
              <w:t>1</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09" w:type="dxa"/>
            <w:tcBorders>
              <w:tl2br w:val="nil"/>
              <w:tr2bl w:val="nil"/>
            </w:tcBorders>
            <w:vAlign w:val="center"/>
          </w:tcPr>
          <w:p>
            <w:pPr>
              <w:spacing w:line="240" w:lineRule="auto"/>
              <w:jc w:val="center"/>
              <w:rPr>
                <w:rFonts w:hint="default" w:ascii="Times New Roman" w:hAnsi="Times New Roman" w:eastAsia="宋体" w:cs="Times New Roman"/>
                <w:i w:val="0"/>
                <w:iCs w:val="0"/>
                <w:color w:val="auto"/>
                <w:kern w:val="2"/>
                <w:sz w:val="21"/>
                <w:szCs w:val="21"/>
                <w:u w:val="none"/>
                <w:lang w:val="en-US" w:eastAsia="zh-CN" w:bidi="ar-SA"/>
              </w:rPr>
            </w:pPr>
            <w:r>
              <w:rPr>
                <w:rFonts w:hint="default" w:ascii="Times New Roman" w:hAnsi="Times New Roman" w:cs="Times New Roman"/>
                <w:i w:val="0"/>
                <w:iCs w:val="0"/>
                <w:color w:val="auto"/>
                <w:sz w:val="21"/>
                <w:szCs w:val="21"/>
                <w:u w:val="none"/>
                <w:lang w:val="en-US" w:eastAsia="zh-CN"/>
              </w:rPr>
              <w:t>3</w:t>
            </w:r>
          </w:p>
        </w:tc>
        <w:tc>
          <w:tcPr>
            <w:tcW w:w="672" w:type="dxa"/>
            <w:vMerge w:val="continue"/>
            <w:tcBorders>
              <w:tl2br w:val="nil"/>
              <w:tr2bl w:val="nil"/>
            </w:tcBorders>
            <w:vAlign w:val="center"/>
          </w:tcPr>
          <w:p>
            <w:pPr>
              <w:spacing w:line="240" w:lineRule="auto"/>
              <w:jc w:val="center"/>
              <w:rPr>
                <w:rFonts w:hint="default" w:ascii="Times New Roman" w:hAnsi="Times New Roman" w:eastAsia="宋体" w:cs="Times New Roman"/>
                <w:i w:val="0"/>
                <w:iCs w:val="0"/>
                <w:color w:val="auto"/>
                <w:sz w:val="21"/>
                <w:szCs w:val="21"/>
                <w:u w:val="none"/>
                <w:lang w:val="en-US"/>
              </w:rPr>
            </w:pPr>
          </w:p>
        </w:tc>
        <w:tc>
          <w:tcPr>
            <w:tcW w:w="1559" w:type="dxa"/>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highlight w:val="none"/>
                <w:lang w:val="en-US" w:eastAsia="zh-CN" w:bidi="ar-SA"/>
              </w:rPr>
            </w:pPr>
            <w:r>
              <w:rPr>
                <w:rFonts w:hint="eastAsia" w:ascii="Times New Roman" w:hAnsi="Times New Roman" w:eastAsia="宋体" w:cs="Times New Roman"/>
                <w:color w:val="auto"/>
                <w:sz w:val="21"/>
                <w:szCs w:val="21"/>
                <w:u w:val="none" w:color="auto"/>
                <w:lang w:val="en-US" w:eastAsia="zh-CN"/>
              </w:rPr>
              <w:t>翻转机</w:t>
            </w:r>
          </w:p>
        </w:tc>
        <w:tc>
          <w:tcPr>
            <w:tcW w:w="1113" w:type="dxa"/>
            <w:tcBorders>
              <w:tl2br w:val="nil"/>
              <w:tr2bl w:val="nil"/>
            </w:tcBorders>
            <w:vAlign w:val="center"/>
          </w:tcPr>
          <w:p>
            <w:pPr>
              <w:spacing w:line="240" w:lineRule="auto"/>
              <w:jc w:val="center"/>
              <w:rPr>
                <w:rFonts w:hint="default" w:ascii="Times New Roman" w:hAnsi="Times New Roman" w:eastAsia="宋体" w:cs="Times New Roman"/>
                <w:i w:val="0"/>
                <w:iCs w:val="0"/>
                <w:color w:val="auto"/>
                <w:kern w:val="2"/>
                <w:sz w:val="21"/>
                <w:szCs w:val="21"/>
                <w:u w:val="none"/>
                <w:lang w:val="en-US" w:eastAsia="zh-CN" w:bidi="ar-SA"/>
              </w:rPr>
            </w:pPr>
            <w:r>
              <w:rPr>
                <w:rFonts w:hint="eastAsia" w:ascii="Times New Roman" w:hAnsi="Times New Roman" w:eastAsia="宋体" w:cs="Times New Roman"/>
                <w:sz w:val="21"/>
                <w:szCs w:val="21"/>
                <w:lang w:val="en-US" w:eastAsia="zh-CN"/>
              </w:rPr>
              <w:t>/</w:t>
            </w:r>
          </w:p>
        </w:tc>
        <w:tc>
          <w:tcPr>
            <w:tcW w:w="1081" w:type="dxa"/>
            <w:tcBorders>
              <w:tl2br w:val="nil"/>
              <w:tr2bl w:val="nil"/>
            </w:tcBorders>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75~80</w:t>
            </w:r>
          </w:p>
        </w:tc>
        <w:tc>
          <w:tcPr>
            <w:tcW w:w="921" w:type="dxa"/>
            <w:tcBorders>
              <w:tl2br w:val="nil"/>
              <w:tr2bl w:val="nil"/>
            </w:tcBorders>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1</w:t>
            </w:r>
          </w:p>
        </w:tc>
        <w:tc>
          <w:tcPr>
            <w:tcW w:w="2199" w:type="dxa"/>
            <w:tcBorders>
              <w:tl2br w:val="nil"/>
              <w:tr2bl w:val="nil"/>
            </w:tcBorders>
            <w:vAlign w:val="center"/>
          </w:tcPr>
          <w:p>
            <w:pPr>
              <w:spacing w:line="240" w:lineRule="auto"/>
              <w:jc w:val="center"/>
              <w:rPr>
                <w:rFonts w:hint="default" w:ascii="Times New Roman" w:hAnsi="Times New Roman" w:eastAsia="宋体" w:cs="Times New Roman"/>
                <w:i w:val="0"/>
                <w:iCs w:val="0"/>
                <w:color w:val="auto"/>
                <w:sz w:val="21"/>
                <w:szCs w:val="21"/>
                <w:u w:val="none"/>
                <w:lang w:eastAsia="zh-CN"/>
              </w:rPr>
            </w:pPr>
            <w:r>
              <w:rPr>
                <w:rFonts w:hint="default" w:ascii="Times New Roman" w:hAnsi="Times New Roman" w:eastAsia="宋体" w:cs="Times New Roman"/>
                <w:i w:val="0"/>
                <w:iCs w:val="0"/>
                <w:color w:val="auto"/>
                <w:sz w:val="21"/>
                <w:szCs w:val="21"/>
                <w:u w:val="none"/>
                <w:lang w:eastAsia="zh-CN"/>
              </w:rPr>
              <w:t>选择低噪声设备</w:t>
            </w:r>
          </w:p>
        </w:tc>
        <w:tc>
          <w:tcPr>
            <w:tcW w:w="605" w:type="dxa"/>
            <w:tcBorders>
              <w:tl2br w:val="nil"/>
              <w:tr2bl w:val="nil"/>
            </w:tcBorders>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-27</w:t>
            </w:r>
          </w:p>
        </w:tc>
        <w:tc>
          <w:tcPr>
            <w:tcW w:w="499" w:type="dxa"/>
            <w:tcBorders>
              <w:tl2br w:val="nil"/>
              <w:tr2bl w:val="nil"/>
            </w:tcBorders>
            <w:vAlign w:val="center"/>
          </w:tcPr>
          <w:p>
            <w:pPr>
              <w:keepNext w:val="0"/>
              <w:keepLines w:val="0"/>
              <w:widowControl/>
              <w:suppressLineNumbers w:val="0"/>
              <w:spacing w:line="240" w:lineRule="auto"/>
              <w:jc w:val="center"/>
              <w:textAlignment w:val="center"/>
              <w:rPr>
                <w:rFonts w:hint="default" w:ascii="Times New Roman" w:hAnsi="Times New Roman"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-8</w:t>
            </w:r>
          </w:p>
        </w:tc>
        <w:tc>
          <w:tcPr>
            <w:tcW w:w="713" w:type="dxa"/>
            <w:tcBorders>
              <w:tl2br w:val="nil"/>
              <w:tr2bl w:val="nil"/>
            </w:tcBorders>
            <w:vAlign w:val="center"/>
          </w:tcPr>
          <w:p>
            <w:pPr>
              <w:keepNext w:val="0"/>
              <w:keepLines w:val="0"/>
              <w:widowControl/>
              <w:suppressLineNumbers w:val="0"/>
              <w:spacing w:line="240" w:lineRule="auto"/>
              <w:jc w:val="center"/>
              <w:textAlignment w:val="center"/>
              <w:rPr>
                <w:rFonts w:hint="default" w:ascii="Times New Roman" w:hAnsi="Times New Roman"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3.08</w:t>
            </w:r>
          </w:p>
        </w:tc>
        <w:tc>
          <w:tcPr>
            <w:tcW w:w="767" w:type="dxa"/>
            <w:tcBorders>
              <w:tl2br w:val="nil"/>
              <w:tr2bl w:val="nil"/>
            </w:tcBorders>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i w:val="0"/>
                <w:iCs w:val="0"/>
                <w:color w:val="auto"/>
                <w:sz w:val="21"/>
                <w:szCs w:val="21"/>
                <w:u w:val="none"/>
                <w:lang w:val="en-US" w:eastAsia="zh-CN"/>
              </w:rPr>
            </w:pPr>
            <w:r>
              <w:rPr>
                <w:rFonts w:hint="default" w:ascii="Times New Roman" w:hAnsi="Times New Roman" w:eastAsia="宋体" w:cs="Times New Roman"/>
                <w:i w:val="0"/>
                <w:iCs w:val="0"/>
                <w:color w:val="auto"/>
                <w:kern w:val="0"/>
                <w:sz w:val="21"/>
                <w:szCs w:val="21"/>
                <w:u w:val="none"/>
                <w:lang w:val="en-US" w:eastAsia="zh-CN" w:bidi="ar"/>
              </w:rPr>
              <w:t>27.22</w:t>
            </w:r>
          </w:p>
        </w:tc>
        <w:tc>
          <w:tcPr>
            <w:tcW w:w="865" w:type="dxa"/>
            <w:tcBorders>
              <w:tl2br w:val="nil"/>
              <w:tr2bl w:val="nil"/>
            </w:tcBorders>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i w:val="0"/>
                <w:iCs w:val="0"/>
                <w:color w:val="auto"/>
                <w:sz w:val="21"/>
                <w:szCs w:val="21"/>
                <w:u w:val="none"/>
                <w:lang w:val="en-US" w:eastAsia="zh-CN"/>
              </w:rPr>
            </w:pPr>
            <w:r>
              <w:rPr>
                <w:rFonts w:hint="default" w:ascii="Times New Roman" w:hAnsi="Times New Roman" w:eastAsia="宋体" w:cs="Times New Roman"/>
                <w:i w:val="0"/>
                <w:iCs w:val="0"/>
                <w:color w:val="auto"/>
                <w:kern w:val="0"/>
                <w:sz w:val="21"/>
                <w:szCs w:val="21"/>
                <w:u w:val="none"/>
                <w:lang w:val="en-US" w:eastAsia="zh-CN" w:bidi="ar"/>
              </w:rPr>
              <w:t>76.15</w:t>
            </w:r>
          </w:p>
        </w:tc>
        <w:tc>
          <w:tcPr>
            <w:tcW w:w="793" w:type="dxa"/>
            <w:tcBorders>
              <w:tl2br w:val="nil"/>
              <w:tr2bl w:val="nil"/>
            </w:tcBorders>
            <w:vAlign w:val="center"/>
          </w:tcPr>
          <w:p>
            <w:pPr>
              <w:spacing w:line="240" w:lineRule="auto"/>
              <w:jc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sz w:val="21"/>
                <w:szCs w:val="21"/>
                <w:u w:val="none"/>
                <w:lang w:val="en-US" w:eastAsia="zh-CN"/>
              </w:rPr>
              <w:t>全天</w:t>
            </w:r>
          </w:p>
        </w:tc>
        <w:tc>
          <w:tcPr>
            <w:tcW w:w="927" w:type="dxa"/>
            <w:tcBorders>
              <w:tl2br w:val="nil"/>
              <w:tr2bl w:val="nil"/>
            </w:tcBorders>
            <w:vAlign w:val="center"/>
          </w:tcPr>
          <w:p>
            <w:pPr>
              <w:spacing w:line="240" w:lineRule="auto"/>
              <w:jc w:val="center"/>
              <w:rPr>
                <w:rFonts w:hint="default" w:ascii="Times New Roman" w:hAnsi="Times New Roman" w:eastAsia="宋体" w:cs="Times New Roman"/>
                <w:i w:val="0"/>
                <w:iCs w:val="0"/>
                <w:color w:val="auto"/>
                <w:sz w:val="21"/>
                <w:szCs w:val="21"/>
                <w:u w:val="none"/>
                <w:lang w:val="en-US" w:eastAsia="zh-CN"/>
              </w:rPr>
            </w:pPr>
            <w:r>
              <w:rPr>
                <w:rFonts w:hint="default" w:ascii="Times New Roman" w:hAnsi="Times New Roman" w:cs="Times New Roman"/>
                <w:i w:val="0"/>
                <w:iCs w:val="0"/>
                <w:color w:val="auto"/>
                <w:sz w:val="21"/>
                <w:szCs w:val="21"/>
                <w:u w:val="none"/>
                <w:lang w:val="en-US" w:eastAsia="zh-CN"/>
              </w:rPr>
              <w:t>25</w:t>
            </w:r>
          </w:p>
        </w:tc>
        <w:tc>
          <w:tcPr>
            <w:tcW w:w="939" w:type="dxa"/>
            <w:tcBorders>
              <w:tl2br w:val="nil"/>
              <w:tr2bl w:val="nil"/>
            </w:tcBorders>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45.13</w:t>
            </w:r>
          </w:p>
        </w:tc>
        <w:tc>
          <w:tcPr>
            <w:tcW w:w="732" w:type="dxa"/>
            <w:tcBorders>
              <w:tl2br w:val="nil"/>
              <w:tr2bl w:val="nil"/>
            </w:tcBorders>
            <w:vAlign w:val="center"/>
          </w:tcPr>
          <w:p>
            <w:pPr>
              <w:spacing w:line="240" w:lineRule="auto"/>
              <w:jc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sz w:val="21"/>
                <w:szCs w:val="21"/>
                <w:u w:val="none"/>
                <w:lang w:val="en-US" w:eastAsia="zh-CN"/>
              </w:rPr>
              <w:t>1</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09" w:type="dxa"/>
            <w:tcBorders>
              <w:tl2br w:val="nil"/>
              <w:tr2bl w:val="nil"/>
            </w:tcBorders>
            <w:vAlign w:val="center"/>
          </w:tcPr>
          <w:p>
            <w:pPr>
              <w:spacing w:line="240" w:lineRule="auto"/>
              <w:jc w:val="center"/>
              <w:rPr>
                <w:rFonts w:hint="default" w:ascii="Times New Roman" w:hAnsi="Times New Roman" w:eastAsia="宋体" w:cs="Times New Roman"/>
                <w:i w:val="0"/>
                <w:iCs w:val="0"/>
                <w:color w:val="auto"/>
                <w:kern w:val="2"/>
                <w:sz w:val="21"/>
                <w:szCs w:val="21"/>
                <w:u w:val="none"/>
                <w:lang w:val="en-US" w:eastAsia="zh-CN" w:bidi="ar-SA"/>
              </w:rPr>
            </w:pPr>
            <w:r>
              <w:rPr>
                <w:rFonts w:hint="default" w:ascii="Times New Roman" w:hAnsi="Times New Roman" w:cs="Times New Roman"/>
                <w:i w:val="0"/>
                <w:iCs w:val="0"/>
                <w:color w:val="auto"/>
                <w:sz w:val="21"/>
                <w:szCs w:val="21"/>
                <w:u w:val="none"/>
                <w:lang w:val="en-US" w:eastAsia="zh-CN"/>
              </w:rPr>
              <w:t>4</w:t>
            </w:r>
          </w:p>
        </w:tc>
        <w:tc>
          <w:tcPr>
            <w:tcW w:w="672" w:type="dxa"/>
            <w:vMerge w:val="continue"/>
            <w:tcBorders>
              <w:tl2br w:val="nil"/>
              <w:tr2bl w:val="nil"/>
            </w:tcBorders>
            <w:vAlign w:val="center"/>
          </w:tcPr>
          <w:p>
            <w:pPr>
              <w:spacing w:line="240" w:lineRule="auto"/>
              <w:jc w:val="center"/>
              <w:rPr>
                <w:rFonts w:hint="default" w:ascii="Times New Roman" w:hAnsi="Times New Roman" w:eastAsia="宋体" w:cs="Times New Roman"/>
                <w:i w:val="0"/>
                <w:iCs w:val="0"/>
                <w:color w:val="auto"/>
                <w:sz w:val="21"/>
                <w:szCs w:val="21"/>
                <w:u w:val="none"/>
                <w:lang w:val="en-US"/>
              </w:rPr>
            </w:pPr>
          </w:p>
        </w:tc>
        <w:tc>
          <w:tcPr>
            <w:tcW w:w="1559" w:type="dxa"/>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u w:val="none" w:color="auto"/>
                <w:lang w:val="en-US" w:eastAsia="zh-CN"/>
              </w:rPr>
              <w:t>玻璃切割机</w:t>
            </w:r>
          </w:p>
        </w:tc>
        <w:tc>
          <w:tcPr>
            <w:tcW w:w="1113" w:type="dxa"/>
            <w:tcBorders>
              <w:tl2br w:val="nil"/>
              <w:tr2bl w:val="nil"/>
            </w:tcBorders>
            <w:vAlign w:val="center"/>
          </w:tcPr>
          <w:p>
            <w:pPr>
              <w:spacing w:line="240" w:lineRule="auto"/>
              <w:jc w:val="center"/>
              <w:rPr>
                <w:rFonts w:hint="default" w:ascii="Times New Roman" w:hAnsi="Times New Roman" w:eastAsia="宋体" w:cs="Times New Roman"/>
                <w:i w:val="0"/>
                <w:iCs w:val="0"/>
                <w:color w:val="auto"/>
                <w:kern w:val="2"/>
                <w:sz w:val="21"/>
                <w:szCs w:val="21"/>
                <w:u w:val="none"/>
                <w:lang w:val="en-US" w:eastAsia="zh-CN" w:bidi="ar-SA"/>
              </w:rPr>
            </w:pPr>
            <w:r>
              <w:rPr>
                <w:rFonts w:hint="eastAsia" w:ascii="Times New Roman" w:hAnsi="Times New Roman" w:eastAsia="宋体" w:cs="Times New Roman"/>
                <w:sz w:val="21"/>
                <w:szCs w:val="21"/>
                <w:lang w:val="en-US" w:eastAsia="zh-CN"/>
              </w:rPr>
              <w:t>/</w:t>
            </w:r>
          </w:p>
        </w:tc>
        <w:tc>
          <w:tcPr>
            <w:tcW w:w="1081" w:type="dxa"/>
            <w:tcBorders>
              <w:tl2br w:val="nil"/>
              <w:tr2bl w:val="nil"/>
            </w:tcBorders>
            <w:vAlign w:val="center"/>
          </w:tcPr>
          <w:p>
            <w:pPr>
              <w:keepNext w:val="0"/>
              <w:keepLines w:val="0"/>
              <w:widowControl/>
              <w:suppressLineNumbers w:val="0"/>
              <w:spacing w:line="240" w:lineRule="auto"/>
              <w:jc w:val="center"/>
              <w:textAlignment w:val="center"/>
              <w:rPr>
                <w:rFonts w:hint="default" w:ascii="Times New Roman" w:hAnsi="Times New Roman"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75~80</w:t>
            </w:r>
          </w:p>
        </w:tc>
        <w:tc>
          <w:tcPr>
            <w:tcW w:w="921" w:type="dxa"/>
            <w:tcBorders>
              <w:tl2br w:val="nil"/>
              <w:tr2bl w:val="nil"/>
            </w:tcBorders>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1</w:t>
            </w:r>
          </w:p>
        </w:tc>
        <w:tc>
          <w:tcPr>
            <w:tcW w:w="2199" w:type="dxa"/>
            <w:tcBorders>
              <w:tl2br w:val="nil"/>
              <w:tr2bl w:val="nil"/>
            </w:tcBorders>
            <w:vAlign w:val="center"/>
          </w:tcPr>
          <w:p>
            <w:pPr>
              <w:spacing w:line="240" w:lineRule="auto"/>
              <w:jc w:val="center"/>
              <w:rPr>
                <w:rFonts w:hint="default" w:ascii="Times New Roman" w:hAnsi="Times New Roman" w:eastAsia="宋体" w:cs="Times New Roman"/>
                <w:i w:val="0"/>
                <w:iCs w:val="0"/>
                <w:color w:val="auto"/>
                <w:sz w:val="21"/>
                <w:szCs w:val="21"/>
                <w:u w:val="none"/>
                <w:lang w:eastAsia="zh-CN"/>
              </w:rPr>
            </w:pPr>
            <w:r>
              <w:rPr>
                <w:rFonts w:hint="default" w:ascii="Times New Roman" w:hAnsi="Times New Roman" w:eastAsia="宋体" w:cs="Times New Roman"/>
                <w:i w:val="0"/>
                <w:iCs w:val="0"/>
                <w:color w:val="auto"/>
                <w:sz w:val="21"/>
                <w:szCs w:val="21"/>
                <w:u w:val="none"/>
                <w:lang w:eastAsia="zh-CN"/>
              </w:rPr>
              <w:t>选择低噪声设备</w:t>
            </w:r>
          </w:p>
        </w:tc>
        <w:tc>
          <w:tcPr>
            <w:tcW w:w="605" w:type="dxa"/>
            <w:tcBorders>
              <w:tl2br w:val="nil"/>
              <w:tr2bl w:val="nil"/>
            </w:tcBorders>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-27</w:t>
            </w:r>
          </w:p>
        </w:tc>
        <w:tc>
          <w:tcPr>
            <w:tcW w:w="499" w:type="dxa"/>
            <w:tcBorders>
              <w:tl2br w:val="nil"/>
              <w:tr2bl w:val="nil"/>
            </w:tcBorders>
            <w:vAlign w:val="center"/>
          </w:tcPr>
          <w:p>
            <w:pPr>
              <w:keepNext w:val="0"/>
              <w:keepLines w:val="0"/>
              <w:widowControl/>
              <w:suppressLineNumbers w:val="0"/>
              <w:spacing w:line="240" w:lineRule="auto"/>
              <w:jc w:val="center"/>
              <w:textAlignment w:val="center"/>
              <w:rPr>
                <w:rFonts w:hint="default" w:ascii="Times New Roman" w:hAnsi="Times New Roman"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-6</w:t>
            </w:r>
          </w:p>
        </w:tc>
        <w:tc>
          <w:tcPr>
            <w:tcW w:w="713" w:type="dxa"/>
            <w:tcBorders>
              <w:tl2br w:val="nil"/>
              <w:tr2bl w:val="nil"/>
            </w:tcBorders>
            <w:vAlign w:val="center"/>
          </w:tcPr>
          <w:p>
            <w:pPr>
              <w:keepNext w:val="0"/>
              <w:keepLines w:val="0"/>
              <w:widowControl/>
              <w:suppressLineNumbers w:val="0"/>
              <w:spacing w:line="240" w:lineRule="auto"/>
              <w:jc w:val="center"/>
              <w:textAlignment w:val="center"/>
              <w:rPr>
                <w:rFonts w:hint="default" w:ascii="Times New Roman" w:hAnsi="Times New Roman"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3.08</w:t>
            </w:r>
          </w:p>
        </w:tc>
        <w:tc>
          <w:tcPr>
            <w:tcW w:w="767" w:type="dxa"/>
            <w:tcBorders>
              <w:tl2br w:val="nil"/>
              <w:tr2bl w:val="nil"/>
            </w:tcBorders>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i w:val="0"/>
                <w:iCs w:val="0"/>
                <w:color w:val="auto"/>
                <w:sz w:val="21"/>
                <w:szCs w:val="21"/>
                <w:u w:val="none"/>
                <w:lang w:val="en-US" w:eastAsia="zh-CN"/>
              </w:rPr>
            </w:pPr>
            <w:r>
              <w:rPr>
                <w:rFonts w:hint="default" w:ascii="Times New Roman" w:hAnsi="Times New Roman" w:eastAsia="宋体" w:cs="Times New Roman"/>
                <w:i w:val="0"/>
                <w:iCs w:val="0"/>
                <w:color w:val="auto"/>
                <w:kern w:val="0"/>
                <w:sz w:val="21"/>
                <w:szCs w:val="21"/>
                <w:u w:val="none"/>
                <w:lang w:val="en-US" w:eastAsia="zh-CN" w:bidi="ar"/>
              </w:rPr>
              <w:t>27.22</w:t>
            </w:r>
          </w:p>
        </w:tc>
        <w:tc>
          <w:tcPr>
            <w:tcW w:w="865" w:type="dxa"/>
            <w:tcBorders>
              <w:tl2br w:val="nil"/>
              <w:tr2bl w:val="nil"/>
            </w:tcBorders>
            <w:vAlign w:val="center"/>
          </w:tcPr>
          <w:p>
            <w:pPr>
              <w:keepNext w:val="0"/>
              <w:keepLines w:val="0"/>
              <w:widowControl/>
              <w:suppressLineNumbers w:val="0"/>
              <w:spacing w:line="240" w:lineRule="auto"/>
              <w:jc w:val="center"/>
              <w:textAlignment w:val="center"/>
              <w:rPr>
                <w:rFonts w:hint="default" w:ascii="Times New Roman" w:hAnsi="Times New Roman" w:cs="Times New Roman"/>
                <w:i w:val="0"/>
                <w:iCs w:val="0"/>
                <w:color w:val="auto"/>
                <w:sz w:val="21"/>
                <w:szCs w:val="21"/>
                <w:u w:val="none"/>
                <w:lang w:val="en-US" w:eastAsia="zh-CN"/>
              </w:rPr>
            </w:pPr>
            <w:r>
              <w:rPr>
                <w:rFonts w:hint="default" w:ascii="Times New Roman" w:hAnsi="Times New Roman" w:eastAsia="宋体" w:cs="Times New Roman"/>
                <w:i w:val="0"/>
                <w:iCs w:val="0"/>
                <w:color w:val="auto"/>
                <w:kern w:val="0"/>
                <w:sz w:val="21"/>
                <w:szCs w:val="21"/>
                <w:u w:val="none"/>
                <w:lang w:val="en-US" w:eastAsia="zh-CN" w:bidi="ar"/>
              </w:rPr>
              <w:t>76.15</w:t>
            </w:r>
          </w:p>
        </w:tc>
        <w:tc>
          <w:tcPr>
            <w:tcW w:w="793" w:type="dxa"/>
            <w:tcBorders>
              <w:tl2br w:val="nil"/>
              <w:tr2bl w:val="nil"/>
            </w:tcBorders>
            <w:vAlign w:val="center"/>
          </w:tcPr>
          <w:p>
            <w:pPr>
              <w:spacing w:line="240" w:lineRule="auto"/>
              <w:jc w:val="center"/>
              <w:rPr>
                <w:rFonts w:hint="default" w:ascii="Times New Roman" w:hAnsi="Times New Roman" w:eastAsia="宋体" w:cs="Times New Roman"/>
                <w:i w:val="0"/>
                <w:iCs w:val="0"/>
                <w:color w:val="auto"/>
                <w:sz w:val="21"/>
                <w:szCs w:val="21"/>
                <w:u w:val="none"/>
                <w:lang w:val="en-US" w:eastAsia="zh-CN"/>
              </w:rPr>
            </w:pPr>
            <w:r>
              <w:rPr>
                <w:rFonts w:hint="default" w:ascii="Times New Roman" w:hAnsi="Times New Roman" w:eastAsia="宋体" w:cs="Times New Roman"/>
                <w:i w:val="0"/>
                <w:iCs w:val="0"/>
                <w:color w:val="auto"/>
                <w:sz w:val="21"/>
                <w:szCs w:val="21"/>
                <w:u w:val="none"/>
                <w:lang w:val="en-US" w:eastAsia="zh-CN"/>
              </w:rPr>
              <w:t>全天</w:t>
            </w:r>
          </w:p>
        </w:tc>
        <w:tc>
          <w:tcPr>
            <w:tcW w:w="927" w:type="dxa"/>
            <w:tcBorders>
              <w:tl2br w:val="nil"/>
              <w:tr2bl w:val="nil"/>
            </w:tcBorders>
            <w:vAlign w:val="center"/>
          </w:tcPr>
          <w:p>
            <w:pPr>
              <w:spacing w:line="240" w:lineRule="auto"/>
              <w:jc w:val="center"/>
              <w:rPr>
                <w:rFonts w:hint="default" w:ascii="Times New Roman" w:hAnsi="Times New Roman" w:cs="Times New Roman"/>
                <w:i w:val="0"/>
                <w:iCs w:val="0"/>
                <w:color w:val="auto"/>
                <w:sz w:val="21"/>
                <w:szCs w:val="21"/>
                <w:u w:val="none"/>
                <w:lang w:val="en-US" w:eastAsia="zh-CN"/>
              </w:rPr>
            </w:pPr>
            <w:r>
              <w:rPr>
                <w:rFonts w:hint="default" w:ascii="Times New Roman" w:hAnsi="Times New Roman" w:cs="Times New Roman"/>
                <w:i w:val="0"/>
                <w:iCs w:val="0"/>
                <w:color w:val="auto"/>
                <w:sz w:val="21"/>
                <w:szCs w:val="21"/>
                <w:u w:val="none"/>
                <w:lang w:val="en-US" w:eastAsia="zh-CN"/>
              </w:rPr>
              <w:t>25</w:t>
            </w:r>
          </w:p>
        </w:tc>
        <w:tc>
          <w:tcPr>
            <w:tcW w:w="939" w:type="dxa"/>
            <w:tcBorders>
              <w:tl2br w:val="nil"/>
              <w:tr2bl w:val="nil"/>
            </w:tcBorders>
            <w:vAlign w:val="center"/>
          </w:tcPr>
          <w:p>
            <w:pPr>
              <w:keepNext w:val="0"/>
              <w:keepLines w:val="0"/>
              <w:widowControl/>
              <w:suppressLineNumbers w:val="0"/>
              <w:spacing w:line="240" w:lineRule="auto"/>
              <w:jc w:val="center"/>
              <w:textAlignment w:val="center"/>
              <w:rPr>
                <w:rFonts w:hint="default" w:ascii="Times New Roman" w:hAnsi="Times New Roman"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45.13</w:t>
            </w:r>
          </w:p>
        </w:tc>
        <w:tc>
          <w:tcPr>
            <w:tcW w:w="732" w:type="dxa"/>
            <w:tcBorders>
              <w:tl2br w:val="nil"/>
              <w:tr2bl w:val="nil"/>
            </w:tcBorders>
            <w:vAlign w:val="center"/>
          </w:tcPr>
          <w:p>
            <w:pPr>
              <w:spacing w:line="240" w:lineRule="auto"/>
              <w:jc w:val="center"/>
              <w:rPr>
                <w:rFonts w:hint="default" w:ascii="Times New Roman" w:hAnsi="Times New Roman" w:eastAsia="宋体" w:cs="Times New Roman"/>
                <w:i w:val="0"/>
                <w:iCs w:val="0"/>
                <w:color w:val="auto"/>
                <w:sz w:val="21"/>
                <w:szCs w:val="21"/>
                <w:u w:val="none"/>
                <w:lang w:val="en-US" w:eastAsia="zh-CN"/>
              </w:rPr>
            </w:pPr>
            <w:r>
              <w:rPr>
                <w:rFonts w:hint="default" w:ascii="Times New Roman" w:hAnsi="Times New Roman" w:cs="Times New Roman"/>
                <w:i w:val="0"/>
                <w:iCs w:val="0"/>
                <w:color w:val="auto"/>
                <w:sz w:val="21"/>
                <w:szCs w:val="21"/>
                <w:u w:val="none"/>
                <w:lang w:val="en-US" w:eastAsia="zh-CN"/>
              </w:rPr>
              <w:t>1</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09" w:type="dxa"/>
            <w:tcBorders>
              <w:tl2br w:val="nil"/>
              <w:tr2bl w:val="nil"/>
            </w:tcBorders>
            <w:vAlign w:val="center"/>
          </w:tcPr>
          <w:p>
            <w:pPr>
              <w:spacing w:line="240" w:lineRule="auto"/>
              <w:jc w:val="center"/>
              <w:rPr>
                <w:rFonts w:hint="default" w:ascii="Times New Roman" w:hAnsi="Times New Roman" w:eastAsia="宋体" w:cs="Times New Roman"/>
                <w:i w:val="0"/>
                <w:iCs w:val="0"/>
                <w:color w:val="auto"/>
                <w:kern w:val="2"/>
                <w:sz w:val="21"/>
                <w:szCs w:val="21"/>
                <w:u w:val="none"/>
                <w:lang w:val="en-US" w:eastAsia="zh-CN" w:bidi="ar-SA"/>
              </w:rPr>
            </w:pPr>
            <w:r>
              <w:rPr>
                <w:rFonts w:hint="default" w:ascii="Times New Roman" w:hAnsi="Times New Roman" w:cs="Times New Roman"/>
                <w:i w:val="0"/>
                <w:iCs w:val="0"/>
                <w:color w:val="auto"/>
                <w:sz w:val="21"/>
                <w:szCs w:val="21"/>
                <w:u w:val="none"/>
                <w:lang w:val="en-US" w:eastAsia="zh-CN"/>
              </w:rPr>
              <w:t>5</w:t>
            </w:r>
          </w:p>
        </w:tc>
        <w:tc>
          <w:tcPr>
            <w:tcW w:w="672" w:type="dxa"/>
            <w:vMerge w:val="continue"/>
            <w:tcBorders>
              <w:tl2br w:val="nil"/>
              <w:tr2bl w:val="nil"/>
            </w:tcBorders>
            <w:vAlign w:val="center"/>
          </w:tcPr>
          <w:p>
            <w:pPr>
              <w:spacing w:line="240" w:lineRule="auto"/>
              <w:jc w:val="center"/>
              <w:rPr>
                <w:rFonts w:hint="default" w:ascii="Times New Roman" w:hAnsi="Times New Roman" w:eastAsia="宋体" w:cs="Times New Roman"/>
                <w:i w:val="0"/>
                <w:iCs w:val="0"/>
                <w:color w:val="auto"/>
                <w:sz w:val="21"/>
                <w:szCs w:val="21"/>
                <w:u w:val="none"/>
                <w:lang w:val="en-US"/>
              </w:rPr>
            </w:pPr>
          </w:p>
        </w:tc>
        <w:tc>
          <w:tcPr>
            <w:tcW w:w="1559" w:type="dxa"/>
            <w:tcBorders>
              <w:tl2br w:val="nil"/>
              <w:tr2bl w:val="nil"/>
            </w:tcBorders>
            <w:vAlign w:val="center"/>
          </w:tcPr>
          <w:p>
            <w:pPr>
              <w:pStyle w:val="47"/>
              <w:spacing w:line="240" w:lineRule="auto"/>
              <w:jc w:val="center"/>
              <w:rPr>
                <w:rFonts w:hint="default"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u w:val="none" w:color="auto"/>
                <w:lang w:val="en-US" w:eastAsia="zh-CN"/>
              </w:rPr>
              <w:t>等离子切割机</w:t>
            </w:r>
          </w:p>
        </w:tc>
        <w:tc>
          <w:tcPr>
            <w:tcW w:w="1113" w:type="dxa"/>
            <w:tcBorders>
              <w:tl2br w:val="nil"/>
              <w:tr2bl w:val="nil"/>
            </w:tcBorders>
            <w:vAlign w:val="center"/>
          </w:tcPr>
          <w:p>
            <w:pPr>
              <w:spacing w:line="240" w:lineRule="auto"/>
              <w:jc w:val="center"/>
              <w:rPr>
                <w:rFonts w:hint="default" w:ascii="Times New Roman" w:hAnsi="Times New Roman" w:eastAsia="宋体" w:cs="Times New Roman"/>
                <w:i w:val="0"/>
                <w:iCs w:val="0"/>
                <w:color w:val="auto"/>
                <w:kern w:val="2"/>
                <w:sz w:val="21"/>
                <w:szCs w:val="21"/>
                <w:u w:val="none"/>
                <w:lang w:val="en-US" w:eastAsia="zh-CN" w:bidi="ar-SA"/>
              </w:rPr>
            </w:pPr>
            <w:r>
              <w:rPr>
                <w:rFonts w:hint="eastAsia" w:ascii="Times New Roman" w:hAnsi="Times New Roman" w:eastAsia="宋体" w:cs="Times New Roman"/>
                <w:sz w:val="21"/>
                <w:szCs w:val="21"/>
                <w:lang w:val="en-US" w:eastAsia="zh-CN"/>
              </w:rPr>
              <w:t>/</w:t>
            </w:r>
          </w:p>
        </w:tc>
        <w:tc>
          <w:tcPr>
            <w:tcW w:w="1081" w:type="dxa"/>
            <w:tcBorders>
              <w:tl2br w:val="nil"/>
              <w:tr2bl w:val="nil"/>
            </w:tcBorders>
            <w:vAlign w:val="center"/>
          </w:tcPr>
          <w:p>
            <w:pPr>
              <w:keepNext w:val="0"/>
              <w:keepLines w:val="0"/>
              <w:widowControl/>
              <w:suppressLineNumbers w:val="0"/>
              <w:spacing w:line="240" w:lineRule="auto"/>
              <w:jc w:val="center"/>
              <w:textAlignment w:val="center"/>
              <w:rPr>
                <w:rFonts w:hint="default" w:ascii="Times New Roman" w:hAnsi="Times New Roman"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75~80</w:t>
            </w:r>
          </w:p>
        </w:tc>
        <w:tc>
          <w:tcPr>
            <w:tcW w:w="921" w:type="dxa"/>
            <w:tcBorders>
              <w:tl2br w:val="nil"/>
              <w:tr2bl w:val="nil"/>
            </w:tcBorders>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1</w:t>
            </w:r>
          </w:p>
        </w:tc>
        <w:tc>
          <w:tcPr>
            <w:tcW w:w="2199" w:type="dxa"/>
            <w:tcBorders>
              <w:tl2br w:val="nil"/>
              <w:tr2bl w:val="nil"/>
            </w:tcBorders>
            <w:vAlign w:val="center"/>
          </w:tcPr>
          <w:p>
            <w:pPr>
              <w:spacing w:line="240" w:lineRule="auto"/>
              <w:jc w:val="center"/>
              <w:rPr>
                <w:rFonts w:hint="default" w:ascii="Times New Roman" w:hAnsi="Times New Roman" w:eastAsia="宋体" w:cs="Times New Roman"/>
                <w:i w:val="0"/>
                <w:iCs w:val="0"/>
                <w:color w:val="auto"/>
                <w:sz w:val="21"/>
                <w:szCs w:val="21"/>
                <w:u w:val="none"/>
                <w:lang w:eastAsia="zh-CN"/>
              </w:rPr>
            </w:pPr>
            <w:r>
              <w:rPr>
                <w:rFonts w:hint="default" w:ascii="Times New Roman" w:hAnsi="Times New Roman" w:eastAsia="宋体" w:cs="Times New Roman"/>
                <w:i w:val="0"/>
                <w:iCs w:val="0"/>
                <w:color w:val="auto"/>
                <w:sz w:val="21"/>
                <w:szCs w:val="21"/>
                <w:u w:val="none"/>
                <w:lang w:eastAsia="zh-CN"/>
              </w:rPr>
              <w:t>选择低噪声设备</w:t>
            </w:r>
          </w:p>
        </w:tc>
        <w:tc>
          <w:tcPr>
            <w:tcW w:w="605" w:type="dxa"/>
            <w:tcBorders>
              <w:tl2br w:val="nil"/>
              <w:tr2bl w:val="nil"/>
            </w:tcBorders>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-18</w:t>
            </w:r>
          </w:p>
        </w:tc>
        <w:tc>
          <w:tcPr>
            <w:tcW w:w="499" w:type="dxa"/>
            <w:tcBorders>
              <w:tl2br w:val="nil"/>
              <w:tr2bl w:val="nil"/>
            </w:tcBorders>
            <w:vAlign w:val="center"/>
          </w:tcPr>
          <w:p>
            <w:pPr>
              <w:keepNext w:val="0"/>
              <w:keepLines w:val="0"/>
              <w:widowControl/>
              <w:suppressLineNumbers w:val="0"/>
              <w:spacing w:line="240" w:lineRule="auto"/>
              <w:jc w:val="center"/>
              <w:textAlignment w:val="center"/>
              <w:rPr>
                <w:rFonts w:hint="default" w:ascii="Times New Roman" w:hAnsi="Times New Roman"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-23</w:t>
            </w:r>
          </w:p>
        </w:tc>
        <w:tc>
          <w:tcPr>
            <w:tcW w:w="713" w:type="dxa"/>
            <w:tcBorders>
              <w:tl2br w:val="nil"/>
              <w:tr2bl w:val="nil"/>
            </w:tcBorders>
            <w:vAlign w:val="center"/>
          </w:tcPr>
          <w:p>
            <w:pPr>
              <w:keepNext w:val="0"/>
              <w:keepLines w:val="0"/>
              <w:widowControl/>
              <w:suppressLineNumbers w:val="0"/>
              <w:spacing w:line="240" w:lineRule="auto"/>
              <w:jc w:val="center"/>
              <w:textAlignment w:val="center"/>
              <w:rPr>
                <w:rFonts w:hint="default" w:ascii="Times New Roman" w:hAnsi="Times New Roman"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3.08</w:t>
            </w:r>
          </w:p>
        </w:tc>
        <w:tc>
          <w:tcPr>
            <w:tcW w:w="767" w:type="dxa"/>
            <w:tcBorders>
              <w:tl2br w:val="nil"/>
              <w:tr2bl w:val="nil"/>
            </w:tcBorders>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i w:val="0"/>
                <w:iCs w:val="0"/>
                <w:color w:val="auto"/>
                <w:sz w:val="21"/>
                <w:szCs w:val="21"/>
                <w:u w:val="none"/>
                <w:lang w:val="en-US" w:eastAsia="zh-CN"/>
              </w:rPr>
            </w:pPr>
            <w:r>
              <w:rPr>
                <w:rFonts w:hint="default" w:ascii="Times New Roman" w:hAnsi="Times New Roman" w:eastAsia="宋体" w:cs="Times New Roman"/>
                <w:i w:val="0"/>
                <w:iCs w:val="0"/>
                <w:color w:val="auto"/>
                <w:kern w:val="0"/>
                <w:sz w:val="21"/>
                <w:szCs w:val="21"/>
                <w:u w:val="none"/>
                <w:lang w:val="en-US" w:eastAsia="zh-CN" w:bidi="ar"/>
              </w:rPr>
              <w:t>27.22</w:t>
            </w:r>
          </w:p>
        </w:tc>
        <w:tc>
          <w:tcPr>
            <w:tcW w:w="865" w:type="dxa"/>
            <w:tcBorders>
              <w:tl2br w:val="nil"/>
              <w:tr2bl w:val="nil"/>
            </w:tcBorders>
            <w:vAlign w:val="center"/>
          </w:tcPr>
          <w:p>
            <w:pPr>
              <w:keepNext w:val="0"/>
              <w:keepLines w:val="0"/>
              <w:widowControl/>
              <w:suppressLineNumbers w:val="0"/>
              <w:spacing w:line="240" w:lineRule="auto"/>
              <w:jc w:val="center"/>
              <w:textAlignment w:val="center"/>
              <w:rPr>
                <w:rFonts w:hint="default" w:ascii="Times New Roman" w:hAnsi="Times New Roman" w:cs="Times New Roman"/>
                <w:i w:val="0"/>
                <w:iCs w:val="0"/>
                <w:color w:val="auto"/>
                <w:sz w:val="21"/>
                <w:szCs w:val="21"/>
                <w:u w:val="none"/>
                <w:lang w:val="en-US" w:eastAsia="zh-CN"/>
              </w:rPr>
            </w:pPr>
            <w:r>
              <w:rPr>
                <w:rFonts w:hint="default" w:ascii="Times New Roman" w:hAnsi="Times New Roman" w:eastAsia="宋体" w:cs="Times New Roman"/>
                <w:i w:val="0"/>
                <w:iCs w:val="0"/>
                <w:color w:val="auto"/>
                <w:kern w:val="0"/>
                <w:sz w:val="21"/>
                <w:szCs w:val="21"/>
                <w:u w:val="none"/>
                <w:lang w:val="en-US" w:eastAsia="zh-CN" w:bidi="ar"/>
              </w:rPr>
              <w:t>76.15</w:t>
            </w:r>
          </w:p>
        </w:tc>
        <w:tc>
          <w:tcPr>
            <w:tcW w:w="793" w:type="dxa"/>
            <w:tcBorders>
              <w:tl2br w:val="nil"/>
              <w:tr2bl w:val="nil"/>
            </w:tcBorders>
            <w:vAlign w:val="center"/>
          </w:tcPr>
          <w:p>
            <w:pPr>
              <w:spacing w:line="240" w:lineRule="auto"/>
              <w:jc w:val="center"/>
              <w:rPr>
                <w:rFonts w:hint="default" w:ascii="Times New Roman" w:hAnsi="Times New Roman" w:eastAsia="宋体" w:cs="Times New Roman"/>
                <w:i w:val="0"/>
                <w:iCs w:val="0"/>
                <w:color w:val="auto"/>
                <w:sz w:val="21"/>
                <w:szCs w:val="21"/>
                <w:u w:val="none"/>
                <w:lang w:val="en-US" w:eastAsia="zh-CN"/>
              </w:rPr>
            </w:pPr>
            <w:r>
              <w:rPr>
                <w:rFonts w:hint="default" w:ascii="Times New Roman" w:hAnsi="Times New Roman" w:eastAsia="宋体" w:cs="Times New Roman"/>
                <w:i w:val="0"/>
                <w:iCs w:val="0"/>
                <w:color w:val="auto"/>
                <w:sz w:val="21"/>
                <w:szCs w:val="21"/>
                <w:u w:val="none"/>
                <w:lang w:val="en-US" w:eastAsia="zh-CN"/>
              </w:rPr>
              <w:t>全天</w:t>
            </w:r>
          </w:p>
        </w:tc>
        <w:tc>
          <w:tcPr>
            <w:tcW w:w="927" w:type="dxa"/>
            <w:tcBorders>
              <w:tl2br w:val="nil"/>
              <w:tr2bl w:val="nil"/>
            </w:tcBorders>
            <w:vAlign w:val="center"/>
          </w:tcPr>
          <w:p>
            <w:pPr>
              <w:spacing w:line="240" w:lineRule="auto"/>
              <w:jc w:val="center"/>
              <w:rPr>
                <w:rFonts w:hint="default" w:ascii="Times New Roman" w:hAnsi="Times New Roman" w:cs="Times New Roman"/>
                <w:i w:val="0"/>
                <w:iCs w:val="0"/>
                <w:color w:val="auto"/>
                <w:sz w:val="21"/>
                <w:szCs w:val="21"/>
                <w:u w:val="none"/>
                <w:lang w:val="en-US" w:eastAsia="zh-CN"/>
              </w:rPr>
            </w:pPr>
            <w:r>
              <w:rPr>
                <w:rFonts w:hint="default" w:ascii="Times New Roman" w:hAnsi="Times New Roman" w:cs="Times New Roman"/>
                <w:i w:val="0"/>
                <w:iCs w:val="0"/>
                <w:color w:val="auto"/>
                <w:sz w:val="21"/>
                <w:szCs w:val="21"/>
                <w:u w:val="none"/>
                <w:lang w:val="en-US" w:eastAsia="zh-CN"/>
              </w:rPr>
              <w:t>25</w:t>
            </w:r>
          </w:p>
        </w:tc>
        <w:tc>
          <w:tcPr>
            <w:tcW w:w="939" w:type="dxa"/>
            <w:tcBorders>
              <w:tl2br w:val="nil"/>
              <w:tr2bl w:val="nil"/>
            </w:tcBorders>
            <w:vAlign w:val="center"/>
          </w:tcPr>
          <w:p>
            <w:pPr>
              <w:keepNext w:val="0"/>
              <w:keepLines w:val="0"/>
              <w:widowControl/>
              <w:suppressLineNumbers w:val="0"/>
              <w:spacing w:line="240" w:lineRule="auto"/>
              <w:jc w:val="center"/>
              <w:textAlignment w:val="center"/>
              <w:rPr>
                <w:rFonts w:hint="default" w:ascii="Times New Roman" w:hAnsi="Times New Roman"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45.13</w:t>
            </w:r>
          </w:p>
        </w:tc>
        <w:tc>
          <w:tcPr>
            <w:tcW w:w="732" w:type="dxa"/>
            <w:tcBorders>
              <w:tl2br w:val="nil"/>
              <w:tr2bl w:val="nil"/>
            </w:tcBorders>
            <w:vAlign w:val="center"/>
          </w:tcPr>
          <w:p>
            <w:pPr>
              <w:spacing w:line="240" w:lineRule="auto"/>
              <w:jc w:val="center"/>
              <w:rPr>
                <w:rFonts w:hint="default" w:ascii="Times New Roman" w:hAnsi="Times New Roman" w:eastAsia="宋体" w:cs="Times New Roman"/>
                <w:i w:val="0"/>
                <w:iCs w:val="0"/>
                <w:color w:val="auto"/>
                <w:sz w:val="21"/>
                <w:szCs w:val="21"/>
                <w:u w:val="none"/>
                <w:lang w:val="en-US" w:eastAsia="zh-CN"/>
              </w:rPr>
            </w:pPr>
            <w:r>
              <w:rPr>
                <w:rFonts w:hint="default" w:ascii="Times New Roman" w:hAnsi="Times New Roman" w:cs="Times New Roman"/>
                <w:i w:val="0"/>
                <w:iCs w:val="0"/>
                <w:color w:val="auto"/>
                <w:sz w:val="21"/>
                <w:szCs w:val="21"/>
                <w:u w:val="none"/>
                <w:lang w:val="en-US" w:eastAsia="zh-CN"/>
              </w:rPr>
              <w:t>1</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09" w:type="dxa"/>
            <w:vAlign w:val="center"/>
          </w:tcPr>
          <w:p>
            <w:pPr>
              <w:spacing w:line="240" w:lineRule="auto"/>
              <w:jc w:val="center"/>
              <w:rPr>
                <w:rFonts w:hint="default" w:ascii="Times New Roman" w:hAnsi="Times New Roman" w:eastAsia="宋体" w:cs="Times New Roman"/>
                <w:i w:val="0"/>
                <w:iCs w:val="0"/>
                <w:color w:val="auto"/>
                <w:kern w:val="2"/>
                <w:sz w:val="21"/>
                <w:szCs w:val="21"/>
                <w:u w:val="none"/>
                <w:lang w:val="en-US" w:eastAsia="zh-CN" w:bidi="ar-SA"/>
              </w:rPr>
            </w:pPr>
            <w:r>
              <w:rPr>
                <w:rFonts w:hint="default" w:ascii="Times New Roman" w:hAnsi="Times New Roman" w:cs="Times New Roman"/>
                <w:i w:val="0"/>
                <w:iCs w:val="0"/>
                <w:color w:val="auto"/>
                <w:sz w:val="21"/>
                <w:szCs w:val="21"/>
                <w:u w:val="none"/>
                <w:lang w:val="en-US" w:eastAsia="zh-CN"/>
              </w:rPr>
              <w:t>6</w:t>
            </w:r>
          </w:p>
        </w:tc>
        <w:tc>
          <w:tcPr>
            <w:tcW w:w="672" w:type="dxa"/>
            <w:vMerge w:val="continue"/>
            <w:vAlign w:val="center"/>
          </w:tcPr>
          <w:p>
            <w:pPr>
              <w:spacing w:line="240" w:lineRule="auto"/>
              <w:jc w:val="center"/>
              <w:rPr>
                <w:rFonts w:hint="default" w:ascii="Times New Roman" w:hAnsi="Times New Roman" w:eastAsia="宋体" w:cs="Times New Roman"/>
                <w:i w:val="0"/>
                <w:iCs w:val="0"/>
                <w:color w:val="auto"/>
                <w:sz w:val="21"/>
                <w:szCs w:val="21"/>
                <w:u w:val="none"/>
                <w:lang w:val="en-US"/>
              </w:rPr>
            </w:pPr>
          </w:p>
        </w:tc>
        <w:tc>
          <w:tcPr>
            <w:tcW w:w="1559" w:type="dxa"/>
            <w:vAlign w:val="center"/>
          </w:tcPr>
          <w:p>
            <w:pPr>
              <w:pStyle w:val="47"/>
              <w:spacing w:line="240" w:lineRule="auto"/>
              <w:jc w:val="center"/>
              <w:rPr>
                <w:rFonts w:hint="default" w:ascii="Times New Roman" w:hAnsi="Times New Roman" w:eastAsia="宋体" w:cs="Times New Roman"/>
                <w:color w:val="auto"/>
                <w:sz w:val="21"/>
                <w:szCs w:val="21"/>
                <w:highlight w:val="none"/>
                <w:lang w:val="en-US" w:eastAsia="zh-CN" w:bidi="ar-SA"/>
              </w:rPr>
            </w:pPr>
            <w:r>
              <w:rPr>
                <w:rFonts w:hint="eastAsia" w:ascii="Times New Roman" w:hAnsi="Times New Roman" w:eastAsia="宋体" w:cs="Times New Roman"/>
                <w:color w:val="auto"/>
                <w:sz w:val="21"/>
                <w:szCs w:val="21"/>
                <w:u w:val="none" w:color="auto"/>
                <w:lang w:val="en-US" w:eastAsia="zh-CN"/>
              </w:rPr>
              <w:t>扒胎机</w:t>
            </w:r>
          </w:p>
        </w:tc>
        <w:tc>
          <w:tcPr>
            <w:tcW w:w="1113" w:type="dxa"/>
            <w:vAlign w:val="center"/>
          </w:tcPr>
          <w:p>
            <w:pPr>
              <w:spacing w:line="240" w:lineRule="auto"/>
              <w:jc w:val="center"/>
              <w:rPr>
                <w:rFonts w:hint="default" w:ascii="Times New Roman" w:hAnsi="Times New Roman" w:eastAsia="宋体" w:cs="Times New Roman"/>
                <w:i w:val="0"/>
                <w:iCs w:val="0"/>
                <w:color w:val="auto"/>
                <w:kern w:val="2"/>
                <w:sz w:val="21"/>
                <w:szCs w:val="21"/>
                <w:u w:val="none"/>
                <w:lang w:val="en-US" w:eastAsia="zh-CN" w:bidi="ar-SA"/>
              </w:rPr>
            </w:pPr>
            <w:r>
              <w:rPr>
                <w:rFonts w:hint="eastAsia" w:ascii="Times New Roman" w:hAnsi="Times New Roman" w:eastAsia="宋体" w:cs="Times New Roman"/>
                <w:sz w:val="21"/>
                <w:szCs w:val="21"/>
                <w:lang w:val="en-US" w:eastAsia="zh-CN"/>
              </w:rPr>
              <w:t>/</w:t>
            </w:r>
          </w:p>
        </w:tc>
        <w:tc>
          <w:tcPr>
            <w:tcW w:w="1081" w:type="dxa"/>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75~80</w:t>
            </w:r>
          </w:p>
        </w:tc>
        <w:tc>
          <w:tcPr>
            <w:tcW w:w="921" w:type="dxa"/>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cs="Times New Roman"/>
                <w:i w:val="0"/>
                <w:iCs w:val="0"/>
                <w:color w:val="auto"/>
                <w:kern w:val="0"/>
                <w:sz w:val="21"/>
                <w:szCs w:val="21"/>
                <w:u w:val="none"/>
                <w:lang w:val="en-US" w:eastAsia="zh-CN" w:bidi="ar"/>
              </w:rPr>
              <w:t>1</w:t>
            </w:r>
          </w:p>
        </w:tc>
        <w:tc>
          <w:tcPr>
            <w:tcW w:w="2199" w:type="dxa"/>
            <w:vAlign w:val="center"/>
          </w:tcPr>
          <w:p>
            <w:pPr>
              <w:spacing w:line="240" w:lineRule="auto"/>
              <w:jc w:val="center"/>
              <w:rPr>
                <w:rFonts w:hint="default" w:ascii="Times New Roman" w:hAnsi="Times New Roman" w:eastAsia="宋体" w:cs="Times New Roman"/>
                <w:i w:val="0"/>
                <w:iCs w:val="0"/>
                <w:color w:val="auto"/>
                <w:sz w:val="21"/>
                <w:szCs w:val="21"/>
                <w:u w:val="none"/>
                <w:lang w:eastAsia="zh-CN"/>
              </w:rPr>
            </w:pPr>
            <w:r>
              <w:rPr>
                <w:rFonts w:hint="default" w:ascii="Times New Roman" w:hAnsi="Times New Roman" w:eastAsia="宋体" w:cs="Times New Roman"/>
                <w:i w:val="0"/>
                <w:iCs w:val="0"/>
                <w:color w:val="auto"/>
                <w:sz w:val="21"/>
                <w:szCs w:val="21"/>
                <w:u w:val="none"/>
                <w:lang w:eastAsia="zh-CN"/>
              </w:rPr>
              <w:t>选择低噪声设备</w:t>
            </w:r>
          </w:p>
        </w:tc>
        <w:tc>
          <w:tcPr>
            <w:tcW w:w="605" w:type="dxa"/>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-14</w:t>
            </w:r>
          </w:p>
        </w:tc>
        <w:tc>
          <w:tcPr>
            <w:tcW w:w="499" w:type="dxa"/>
            <w:vAlign w:val="center"/>
          </w:tcPr>
          <w:p>
            <w:pPr>
              <w:keepNext w:val="0"/>
              <w:keepLines w:val="0"/>
              <w:widowControl/>
              <w:suppressLineNumbers w:val="0"/>
              <w:spacing w:line="240" w:lineRule="auto"/>
              <w:jc w:val="center"/>
              <w:textAlignment w:val="center"/>
              <w:rPr>
                <w:rFonts w:hint="default" w:ascii="Times New Roman" w:hAnsi="Times New Roman"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-30</w:t>
            </w:r>
          </w:p>
        </w:tc>
        <w:tc>
          <w:tcPr>
            <w:tcW w:w="713" w:type="dxa"/>
            <w:vAlign w:val="center"/>
          </w:tcPr>
          <w:p>
            <w:pPr>
              <w:keepNext w:val="0"/>
              <w:keepLines w:val="0"/>
              <w:widowControl/>
              <w:suppressLineNumbers w:val="0"/>
              <w:spacing w:line="240" w:lineRule="auto"/>
              <w:jc w:val="center"/>
              <w:textAlignment w:val="center"/>
              <w:rPr>
                <w:rFonts w:hint="default" w:ascii="Times New Roman" w:hAnsi="Times New Roman" w:cs="Times New Roman"/>
                <w:color w:val="auto"/>
                <w:sz w:val="21"/>
                <w:szCs w:val="21"/>
              </w:rPr>
            </w:pPr>
            <w:r>
              <w:rPr>
                <w:rFonts w:hint="default" w:ascii="Times New Roman" w:hAnsi="Times New Roman" w:eastAsia="宋体" w:cs="Times New Roman"/>
                <w:i w:val="0"/>
                <w:iCs w:val="0"/>
                <w:color w:val="auto"/>
                <w:kern w:val="0"/>
                <w:sz w:val="21"/>
                <w:szCs w:val="21"/>
                <w:u w:val="none"/>
                <w:lang w:val="en-US" w:eastAsia="zh-CN" w:bidi="ar"/>
              </w:rPr>
              <w:t>3.08</w:t>
            </w:r>
          </w:p>
        </w:tc>
        <w:tc>
          <w:tcPr>
            <w:tcW w:w="767" w:type="dxa"/>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i w:val="0"/>
                <w:iCs w:val="0"/>
                <w:color w:val="auto"/>
                <w:sz w:val="21"/>
                <w:szCs w:val="21"/>
                <w:u w:val="none"/>
                <w:lang w:val="en-US" w:eastAsia="zh-CN"/>
              </w:rPr>
            </w:pPr>
            <w:r>
              <w:rPr>
                <w:rFonts w:hint="default" w:ascii="Times New Roman" w:hAnsi="Times New Roman" w:eastAsia="宋体" w:cs="Times New Roman"/>
                <w:i w:val="0"/>
                <w:iCs w:val="0"/>
                <w:color w:val="auto"/>
                <w:kern w:val="0"/>
                <w:sz w:val="21"/>
                <w:szCs w:val="21"/>
                <w:u w:val="none"/>
                <w:lang w:val="en-US" w:eastAsia="zh-CN" w:bidi="ar"/>
              </w:rPr>
              <w:t>27.22</w:t>
            </w:r>
          </w:p>
        </w:tc>
        <w:tc>
          <w:tcPr>
            <w:tcW w:w="865" w:type="dxa"/>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i w:val="0"/>
                <w:iCs w:val="0"/>
                <w:color w:val="auto"/>
                <w:sz w:val="21"/>
                <w:szCs w:val="21"/>
                <w:u w:val="none"/>
                <w:lang w:val="en-US" w:eastAsia="zh-CN"/>
              </w:rPr>
            </w:pPr>
            <w:r>
              <w:rPr>
                <w:rFonts w:hint="default" w:ascii="Times New Roman" w:hAnsi="Times New Roman" w:eastAsia="宋体" w:cs="Times New Roman"/>
                <w:i w:val="0"/>
                <w:iCs w:val="0"/>
                <w:color w:val="auto"/>
                <w:kern w:val="0"/>
                <w:sz w:val="21"/>
                <w:szCs w:val="21"/>
                <w:u w:val="none"/>
                <w:lang w:val="en-US" w:eastAsia="zh-CN" w:bidi="ar"/>
              </w:rPr>
              <w:t>76.15</w:t>
            </w:r>
          </w:p>
        </w:tc>
        <w:tc>
          <w:tcPr>
            <w:tcW w:w="793" w:type="dxa"/>
            <w:vAlign w:val="center"/>
          </w:tcPr>
          <w:p>
            <w:pPr>
              <w:spacing w:line="240" w:lineRule="auto"/>
              <w:jc w:val="center"/>
              <w:rPr>
                <w:rFonts w:hint="default" w:ascii="Times New Roman" w:hAnsi="Times New Roman" w:eastAsia="宋体" w:cs="Times New Roman"/>
                <w:i w:val="0"/>
                <w:iCs w:val="0"/>
                <w:color w:val="auto"/>
                <w:sz w:val="21"/>
                <w:szCs w:val="21"/>
                <w:u w:val="none"/>
              </w:rPr>
            </w:pPr>
            <w:r>
              <w:rPr>
                <w:rFonts w:hint="default" w:ascii="Times New Roman" w:hAnsi="Times New Roman" w:eastAsia="宋体" w:cs="Times New Roman"/>
                <w:i w:val="0"/>
                <w:iCs w:val="0"/>
                <w:color w:val="auto"/>
                <w:sz w:val="21"/>
                <w:szCs w:val="21"/>
                <w:u w:val="none"/>
                <w:lang w:val="en-US" w:eastAsia="zh-CN"/>
              </w:rPr>
              <w:t>全天</w:t>
            </w:r>
          </w:p>
        </w:tc>
        <w:tc>
          <w:tcPr>
            <w:tcW w:w="927" w:type="dxa"/>
            <w:vAlign w:val="center"/>
          </w:tcPr>
          <w:p>
            <w:pPr>
              <w:spacing w:line="240" w:lineRule="auto"/>
              <w:jc w:val="center"/>
              <w:rPr>
                <w:rFonts w:hint="default" w:ascii="Times New Roman" w:hAnsi="Times New Roman" w:eastAsia="宋体" w:cs="Times New Roman"/>
                <w:i w:val="0"/>
                <w:iCs w:val="0"/>
                <w:color w:val="auto"/>
                <w:sz w:val="21"/>
                <w:szCs w:val="21"/>
                <w:u w:val="none"/>
                <w:lang w:val="en-US" w:eastAsia="zh-CN"/>
              </w:rPr>
            </w:pPr>
            <w:r>
              <w:rPr>
                <w:rFonts w:hint="default" w:ascii="Times New Roman" w:hAnsi="Times New Roman" w:cs="Times New Roman"/>
                <w:i w:val="0"/>
                <w:iCs w:val="0"/>
                <w:color w:val="auto"/>
                <w:sz w:val="21"/>
                <w:szCs w:val="21"/>
                <w:u w:val="none"/>
                <w:lang w:val="en-US" w:eastAsia="zh-CN"/>
              </w:rPr>
              <w:t>25</w:t>
            </w:r>
          </w:p>
        </w:tc>
        <w:tc>
          <w:tcPr>
            <w:tcW w:w="939" w:type="dxa"/>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45.13</w:t>
            </w:r>
          </w:p>
        </w:tc>
        <w:tc>
          <w:tcPr>
            <w:tcW w:w="732" w:type="dxa"/>
            <w:vAlign w:val="center"/>
          </w:tcPr>
          <w:p>
            <w:pPr>
              <w:spacing w:line="240" w:lineRule="auto"/>
              <w:jc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cs="Times New Roman"/>
                <w:i w:val="0"/>
                <w:iCs w:val="0"/>
                <w:color w:val="auto"/>
                <w:sz w:val="21"/>
                <w:szCs w:val="21"/>
                <w:u w:val="none"/>
                <w:lang w:val="en-US" w:eastAsia="zh-CN"/>
              </w:rPr>
              <w:t>1</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09" w:type="dxa"/>
            <w:vAlign w:val="center"/>
          </w:tcPr>
          <w:p>
            <w:pPr>
              <w:spacing w:line="240" w:lineRule="auto"/>
              <w:jc w:val="center"/>
              <w:rPr>
                <w:rFonts w:hint="default" w:ascii="Times New Roman" w:hAnsi="Times New Roman" w:eastAsia="宋体" w:cs="Times New Roman"/>
                <w:i w:val="0"/>
                <w:iCs w:val="0"/>
                <w:color w:val="auto"/>
                <w:kern w:val="2"/>
                <w:sz w:val="21"/>
                <w:szCs w:val="21"/>
                <w:u w:val="none"/>
                <w:lang w:val="en-US" w:eastAsia="zh-CN" w:bidi="ar-SA"/>
              </w:rPr>
            </w:pPr>
            <w:r>
              <w:rPr>
                <w:rFonts w:hint="default" w:ascii="Times New Roman" w:hAnsi="Times New Roman" w:cs="Times New Roman"/>
                <w:i w:val="0"/>
                <w:iCs w:val="0"/>
                <w:color w:val="auto"/>
                <w:sz w:val="21"/>
                <w:szCs w:val="21"/>
                <w:u w:val="none"/>
                <w:lang w:val="en-US" w:eastAsia="zh-CN"/>
              </w:rPr>
              <w:t>7</w:t>
            </w:r>
          </w:p>
        </w:tc>
        <w:tc>
          <w:tcPr>
            <w:tcW w:w="672" w:type="dxa"/>
            <w:vMerge w:val="continue"/>
            <w:vAlign w:val="center"/>
          </w:tcPr>
          <w:p>
            <w:pPr>
              <w:spacing w:line="240" w:lineRule="auto"/>
              <w:jc w:val="center"/>
              <w:rPr>
                <w:rFonts w:hint="default" w:ascii="Times New Roman" w:hAnsi="Times New Roman" w:eastAsia="宋体" w:cs="Times New Roman"/>
                <w:i w:val="0"/>
                <w:iCs w:val="0"/>
                <w:color w:val="auto"/>
                <w:sz w:val="21"/>
                <w:szCs w:val="21"/>
                <w:u w:val="none"/>
                <w:lang w:val="en-US"/>
              </w:rPr>
            </w:pPr>
          </w:p>
        </w:tc>
        <w:tc>
          <w:tcPr>
            <w:tcW w:w="1559" w:type="dxa"/>
            <w:vAlign w:val="center"/>
          </w:tcPr>
          <w:p>
            <w:pPr>
              <w:pStyle w:val="47"/>
              <w:spacing w:line="240" w:lineRule="auto"/>
              <w:jc w:val="center"/>
              <w:rPr>
                <w:rFonts w:hint="default"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u w:val="none" w:color="auto"/>
                <w:lang w:val="en-US" w:eastAsia="zh-CN"/>
              </w:rPr>
              <w:t>安全气囊引爆装置</w:t>
            </w:r>
          </w:p>
        </w:tc>
        <w:tc>
          <w:tcPr>
            <w:tcW w:w="1113" w:type="dxa"/>
            <w:vAlign w:val="center"/>
          </w:tcPr>
          <w:p>
            <w:pPr>
              <w:spacing w:line="240" w:lineRule="auto"/>
              <w:jc w:val="center"/>
              <w:rPr>
                <w:rFonts w:hint="default" w:ascii="Times New Roman" w:hAnsi="Times New Roman" w:eastAsia="宋体" w:cs="Times New Roman"/>
                <w:i w:val="0"/>
                <w:iCs w:val="0"/>
                <w:color w:val="auto"/>
                <w:kern w:val="2"/>
                <w:sz w:val="21"/>
                <w:szCs w:val="21"/>
                <w:u w:val="none"/>
                <w:lang w:val="en-US" w:eastAsia="zh-CN" w:bidi="ar-SA"/>
              </w:rPr>
            </w:pPr>
            <w:r>
              <w:rPr>
                <w:rFonts w:hint="eastAsia" w:ascii="Times New Roman" w:hAnsi="Times New Roman" w:eastAsia="宋体" w:cs="Times New Roman"/>
                <w:sz w:val="21"/>
                <w:szCs w:val="21"/>
                <w:lang w:val="en-US" w:eastAsia="zh-CN"/>
              </w:rPr>
              <w:t>/</w:t>
            </w:r>
          </w:p>
        </w:tc>
        <w:tc>
          <w:tcPr>
            <w:tcW w:w="1081" w:type="dxa"/>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7</w:t>
            </w:r>
            <w:r>
              <w:rPr>
                <w:rFonts w:hint="default" w:ascii="Times New Roman" w:hAnsi="Times New Roman" w:cs="Times New Roman"/>
                <w:i w:val="0"/>
                <w:iCs w:val="0"/>
                <w:color w:val="auto"/>
                <w:kern w:val="0"/>
                <w:sz w:val="21"/>
                <w:szCs w:val="21"/>
                <w:u w:val="none"/>
                <w:lang w:val="en-US" w:eastAsia="zh-CN" w:bidi="ar"/>
              </w:rPr>
              <w:t>0</w:t>
            </w:r>
            <w:r>
              <w:rPr>
                <w:rFonts w:hint="default" w:ascii="Times New Roman" w:hAnsi="Times New Roman" w:eastAsia="宋体" w:cs="Times New Roman"/>
                <w:i w:val="0"/>
                <w:iCs w:val="0"/>
                <w:color w:val="auto"/>
                <w:kern w:val="0"/>
                <w:sz w:val="21"/>
                <w:szCs w:val="21"/>
                <w:u w:val="none"/>
                <w:lang w:val="en-US" w:eastAsia="zh-CN" w:bidi="ar"/>
              </w:rPr>
              <w:t>~</w:t>
            </w:r>
            <w:r>
              <w:rPr>
                <w:rFonts w:hint="default" w:ascii="Times New Roman" w:hAnsi="Times New Roman" w:cs="Times New Roman"/>
                <w:i w:val="0"/>
                <w:iCs w:val="0"/>
                <w:color w:val="auto"/>
                <w:kern w:val="0"/>
                <w:sz w:val="21"/>
                <w:szCs w:val="21"/>
                <w:u w:val="none"/>
                <w:lang w:val="en-US" w:eastAsia="zh-CN" w:bidi="ar"/>
              </w:rPr>
              <w:t>75</w:t>
            </w:r>
          </w:p>
        </w:tc>
        <w:tc>
          <w:tcPr>
            <w:tcW w:w="921" w:type="dxa"/>
            <w:vAlign w:val="center"/>
          </w:tcPr>
          <w:p>
            <w:pPr>
              <w:keepNext w:val="0"/>
              <w:keepLines w:val="0"/>
              <w:widowControl/>
              <w:suppressLineNumbers w:val="0"/>
              <w:spacing w:line="240" w:lineRule="auto"/>
              <w:jc w:val="center"/>
              <w:textAlignment w:val="center"/>
              <w:rPr>
                <w:rFonts w:hint="default" w:ascii="Times New Roman" w:hAnsi="Times New Roman" w:cs="Times New Roman"/>
                <w:i w:val="0"/>
                <w:iCs w:val="0"/>
                <w:color w:val="auto"/>
                <w:kern w:val="0"/>
                <w:sz w:val="21"/>
                <w:szCs w:val="21"/>
                <w:u w:val="none"/>
                <w:lang w:val="en-US" w:eastAsia="zh-CN" w:bidi="ar"/>
              </w:rPr>
            </w:pPr>
            <w:r>
              <w:rPr>
                <w:rFonts w:hint="default" w:ascii="Times New Roman" w:hAnsi="Times New Roman" w:cs="Times New Roman"/>
                <w:i w:val="0"/>
                <w:iCs w:val="0"/>
                <w:color w:val="auto"/>
                <w:kern w:val="0"/>
                <w:sz w:val="21"/>
                <w:szCs w:val="21"/>
                <w:u w:val="none"/>
                <w:lang w:val="en-US" w:eastAsia="zh-CN" w:bidi="ar"/>
              </w:rPr>
              <w:t>1</w:t>
            </w:r>
          </w:p>
        </w:tc>
        <w:tc>
          <w:tcPr>
            <w:tcW w:w="2199" w:type="dxa"/>
            <w:vAlign w:val="center"/>
          </w:tcPr>
          <w:p>
            <w:pPr>
              <w:spacing w:line="240" w:lineRule="auto"/>
              <w:jc w:val="center"/>
              <w:rPr>
                <w:rFonts w:hint="default" w:ascii="Times New Roman" w:hAnsi="Times New Roman" w:eastAsia="宋体" w:cs="Times New Roman"/>
                <w:i w:val="0"/>
                <w:iCs w:val="0"/>
                <w:color w:val="auto"/>
                <w:sz w:val="21"/>
                <w:szCs w:val="21"/>
                <w:u w:val="none"/>
                <w:lang w:eastAsia="zh-CN"/>
              </w:rPr>
            </w:pPr>
            <w:r>
              <w:rPr>
                <w:rFonts w:hint="default" w:ascii="Times New Roman" w:hAnsi="Times New Roman" w:eastAsia="宋体" w:cs="Times New Roman"/>
                <w:i w:val="0"/>
                <w:iCs w:val="0"/>
                <w:color w:val="auto"/>
                <w:sz w:val="21"/>
                <w:szCs w:val="21"/>
                <w:u w:val="none"/>
                <w:lang w:eastAsia="zh-CN"/>
              </w:rPr>
              <w:t>选择低噪声设备</w:t>
            </w:r>
          </w:p>
        </w:tc>
        <w:tc>
          <w:tcPr>
            <w:tcW w:w="605" w:type="dxa"/>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-18</w:t>
            </w:r>
          </w:p>
        </w:tc>
        <w:tc>
          <w:tcPr>
            <w:tcW w:w="499" w:type="dxa"/>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-22</w:t>
            </w:r>
          </w:p>
        </w:tc>
        <w:tc>
          <w:tcPr>
            <w:tcW w:w="713" w:type="dxa"/>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-2.42</w:t>
            </w:r>
          </w:p>
        </w:tc>
        <w:tc>
          <w:tcPr>
            <w:tcW w:w="767" w:type="dxa"/>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27.22</w:t>
            </w:r>
          </w:p>
        </w:tc>
        <w:tc>
          <w:tcPr>
            <w:tcW w:w="865" w:type="dxa"/>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71.15</w:t>
            </w:r>
          </w:p>
        </w:tc>
        <w:tc>
          <w:tcPr>
            <w:tcW w:w="793" w:type="dxa"/>
            <w:vAlign w:val="center"/>
          </w:tcPr>
          <w:p>
            <w:pPr>
              <w:spacing w:line="240" w:lineRule="auto"/>
              <w:jc w:val="center"/>
              <w:rPr>
                <w:rFonts w:hint="default" w:ascii="Times New Roman" w:hAnsi="Times New Roman" w:eastAsia="宋体" w:cs="Times New Roman"/>
                <w:i w:val="0"/>
                <w:iCs w:val="0"/>
                <w:color w:val="auto"/>
                <w:kern w:val="2"/>
                <w:sz w:val="21"/>
                <w:szCs w:val="21"/>
                <w:u w:val="none"/>
                <w:lang w:val="en-US" w:eastAsia="zh-CN" w:bidi="ar-SA"/>
              </w:rPr>
            </w:pPr>
            <w:r>
              <w:rPr>
                <w:rFonts w:hint="default" w:ascii="Times New Roman" w:hAnsi="Times New Roman" w:eastAsia="宋体" w:cs="Times New Roman"/>
                <w:i w:val="0"/>
                <w:iCs w:val="0"/>
                <w:color w:val="auto"/>
                <w:sz w:val="21"/>
                <w:szCs w:val="21"/>
                <w:u w:val="none"/>
                <w:lang w:val="en-US" w:eastAsia="zh-CN"/>
              </w:rPr>
              <w:t>全天</w:t>
            </w:r>
          </w:p>
        </w:tc>
        <w:tc>
          <w:tcPr>
            <w:tcW w:w="927" w:type="dxa"/>
            <w:vAlign w:val="center"/>
          </w:tcPr>
          <w:p>
            <w:pPr>
              <w:spacing w:line="240" w:lineRule="auto"/>
              <w:jc w:val="center"/>
              <w:rPr>
                <w:rFonts w:hint="default" w:ascii="Times New Roman" w:hAnsi="Times New Roman" w:eastAsia="宋体" w:cs="Times New Roman"/>
                <w:i w:val="0"/>
                <w:iCs w:val="0"/>
                <w:color w:val="auto"/>
                <w:kern w:val="2"/>
                <w:sz w:val="21"/>
                <w:szCs w:val="21"/>
                <w:u w:val="none"/>
                <w:lang w:val="en-US" w:eastAsia="zh-CN" w:bidi="ar-SA"/>
              </w:rPr>
            </w:pPr>
            <w:r>
              <w:rPr>
                <w:rFonts w:hint="default" w:ascii="Times New Roman" w:hAnsi="Times New Roman" w:cs="Times New Roman"/>
                <w:i w:val="0"/>
                <w:iCs w:val="0"/>
                <w:color w:val="auto"/>
                <w:sz w:val="21"/>
                <w:szCs w:val="21"/>
                <w:u w:val="none"/>
                <w:lang w:val="en-US" w:eastAsia="zh-CN"/>
              </w:rPr>
              <w:t>25</w:t>
            </w:r>
          </w:p>
        </w:tc>
        <w:tc>
          <w:tcPr>
            <w:tcW w:w="939" w:type="dxa"/>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40.13</w:t>
            </w:r>
          </w:p>
        </w:tc>
        <w:tc>
          <w:tcPr>
            <w:tcW w:w="732" w:type="dxa"/>
            <w:vAlign w:val="center"/>
          </w:tcPr>
          <w:p>
            <w:pPr>
              <w:spacing w:line="240" w:lineRule="auto"/>
              <w:jc w:val="center"/>
              <w:rPr>
                <w:rFonts w:hint="default" w:ascii="Times New Roman" w:hAnsi="Times New Roman" w:cs="Times New Roman"/>
                <w:i w:val="0"/>
                <w:iCs w:val="0"/>
                <w:color w:val="auto"/>
                <w:sz w:val="21"/>
                <w:szCs w:val="21"/>
                <w:u w:val="none"/>
                <w:lang w:val="en-US" w:eastAsia="zh-CN"/>
              </w:rPr>
            </w:pPr>
            <w:r>
              <w:rPr>
                <w:rFonts w:hint="default" w:ascii="Times New Roman" w:hAnsi="Times New Roman" w:cs="Times New Roman"/>
                <w:i w:val="0"/>
                <w:iCs w:val="0"/>
                <w:color w:val="auto"/>
                <w:sz w:val="21"/>
                <w:szCs w:val="21"/>
                <w:u w:val="none"/>
                <w:lang w:val="en-US" w:eastAsia="zh-CN"/>
              </w:rPr>
              <w:t>1</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09" w:type="dxa"/>
            <w:vAlign w:val="center"/>
          </w:tcPr>
          <w:p>
            <w:pPr>
              <w:spacing w:line="240" w:lineRule="auto"/>
              <w:jc w:val="center"/>
              <w:rPr>
                <w:rFonts w:hint="default" w:ascii="Times New Roman" w:hAnsi="Times New Roman" w:eastAsia="宋体" w:cs="Times New Roman"/>
                <w:i w:val="0"/>
                <w:iCs w:val="0"/>
                <w:color w:val="auto"/>
                <w:kern w:val="2"/>
                <w:sz w:val="21"/>
                <w:szCs w:val="21"/>
                <w:u w:val="none"/>
                <w:lang w:val="en-US" w:eastAsia="zh-CN" w:bidi="ar-SA"/>
              </w:rPr>
            </w:pPr>
            <w:r>
              <w:rPr>
                <w:rFonts w:hint="default" w:ascii="Times New Roman" w:hAnsi="Times New Roman" w:cs="Times New Roman"/>
                <w:i w:val="0"/>
                <w:iCs w:val="0"/>
                <w:color w:val="auto"/>
                <w:sz w:val="21"/>
                <w:szCs w:val="21"/>
                <w:u w:val="none"/>
                <w:lang w:val="en-US" w:eastAsia="zh-CN"/>
              </w:rPr>
              <w:t>8</w:t>
            </w:r>
          </w:p>
        </w:tc>
        <w:tc>
          <w:tcPr>
            <w:tcW w:w="672" w:type="dxa"/>
            <w:vMerge w:val="continue"/>
            <w:vAlign w:val="center"/>
          </w:tcPr>
          <w:p>
            <w:pPr>
              <w:spacing w:line="240" w:lineRule="auto"/>
              <w:jc w:val="center"/>
              <w:rPr>
                <w:rFonts w:hint="default" w:ascii="Times New Roman" w:hAnsi="Times New Roman" w:eastAsia="宋体" w:cs="Times New Roman"/>
                <w:i w:val="0"/>
                <w:iCs w:val="0"/>
                <w:color w:val="auto"/>
                <w:sz w:val="21"/>
                <w:szCs w:val="21"/>
                <w:u w:val="none"/>
                <w:lang w:val="en-US"/>
              </w:rPr>
            </w:pPr>
          </w:p>
        </w:tc>
        <w:tc>
          <w:tcPr>
            <w:tcW w:w="1559" w:type="dxa"/>
            <w:vAlign w:val="center"/>
          </w:tcPr>
          <w:p>
            <w:pPr>
              <w:pStyle w:val="47"/>
              <w:spacing w:line="240" w:lineRule="auto"/>
              <w:jc w:val="center"/>
              <w:rPr>
                <w:rFonts w:hint="default" w:ascii="Times New Roman" w:hAnsi="Times New Roman" w:eastAsia="宋体" w:cs="Times New Roman"/>
                <w:i w:val="0"/>
                <w:iCs w:val="0"/>
                <w:color w:val="auto"/>
                <w:kern w:val="2"/>
                <w:sz w:val="21"/>
                <w:szCs w:val="21"/>
                <w:u w:val="none"/>
                <w:lang w:val="en-US" w:eastAsia="zh-CN" w:bidi="ar-SA"/>
              </w:rPr>
            </w:pPr>
            <w:r>
              <w:rPr>
                <w:rFonts w:hint="eastAsia" w:ascii="Times New Roman" w:hAnsi="Times New Roman" w:eastAsia="宋体" w:cs="Times New Roman"/>
                <w:color w:val="auto"/>
                <w:sz w:val="21"/>
                <w:szCs w:val="21"/>
                <w:u w:val="none" w:color="auto"/>
                <w:lang w:val="en-US" w:eastAsia="zh-CN"/>
              </w:rPr>
              <w:t>移动式烟尘净化装置</w:t>
            </w:r>
          </w:p>
        </w:tc>
        <w:tc>
          <w:tcPr>
            <w:tcW w:w="1113" w:type="dxa"/>
            <w:vAlign w:val="center"/>
          </w:tcPr>
          <w:p>
            <w:pPr>
              <w:spacing w:line="240" w:lineRule="auto"/>
              <w:jc w:val="center"/>
              <w:rPr>
                <w:rFonts w:hint="default" w:ascii="Times New Roman" w:hAnsi="Times New Roman" w:eastAsia="宋体" w:cs="Times New Roman"/>
                <w:i w:val="0"/>
                <w:iCs w:val="0"/>
                <w:color w:val="auto"/>
                <w:kern w:val="2"/>
                <w:sz w:val="21"/>
                <w:szCs w:val="21"/>
                <w:u w:val="none"/>
                <w:lang w:val="en-US" w:eastAsia="zh-CN" w:bidi="ar-SA"/>
              </w:rPr>
            </w:pPr>
            <w:r>
              <w:rPr>
                <w:rFonts w:hint="eastAsia" w:ascii="Times New Roman" w:hAnsi="Times New Roman" w:eastAsia="宋体" w:cs="Times New Roman"/>
                <w:sz w:val="21"/>
                <w:szCs w:val="21"/>
                <w:lang w:val="en-US" w:eastAsia="zh-CN"/>
              </w:rPr>
              <w:t>/</w:t>
            </w:r>
          </w:p>
        </w:tc>
        <w:tc>
          <w:tcPr>
            <w:tcW w:w="1081" w:type="dxa"/>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cs="Times New Roman"/>
                <w:i w:val="0"/>
                <w:iCs w:val="0"/>
                <w:color w:val="auto"/>
                <w:kern w:val="0"/>
                <w:sz w:val="21"/>
                <w:szCs w:val="21"/>
                <w:u w:val="none"/>
                <w:lang w:val="en-US" w:eastAsia="zh-CN" w:bidi="ar"/>
              </w:rPr>
              <w:t>80~85</w:t>
            </w:r>
          </w:p>
        </w:tc>
        <w:tc>
          <w:tcPr>
            <w:tcW w:w="921" w:type="dxa"/>
            <w:vAlign w:val="center"/>
          </w:tcPr>
          <w:p>
            <w:pPr>
              <w:keepNext w:val="0"/>
              <w:keepLines w:val="0"/>
              <w:widowControl/>
              <w:suppressLineNumbers w:val="0"/>
              <w:spacing w:line="240" w:lineRule="auto"/>
              <w:jc w:val="center"/>
              <w:textAlignment w:val="center"/>
              <w:rPr>
                <w:rFonts w:hint="default" w:ascii="Times New Roman" w:hAnsi="Times New Roman" w:cs="Times New Roman"/>
                <w:i w:val="0"/>
                <w:iCs w:val="0"/>
                <w:color w:val="auto"/>
                <w:kern w:val="0"/>
                <w:sz w:val="21"/>
                <w:szCs w:val="21"/>
                <w:u w:val="none"/>
                <w:lang w:val="en-US" w:eastAsia="zh-CN" w:bidi="ar"/>
              </w:rPr>
            </w:pPr>
            <w:r>
              <w:rPr>
                <w:rFonts w:hint="default" w:ascii="Times New Roman" w:hAnsi="Times New Roman" w:cs="Times New Roman"/>
                <w:i w:val="0"/>
                <w:iCs w:val="0"/>
                <w:color w:val="auto"/>
                <w:kern w:val="0"/>
                <w:sz w:val="21"/>
                <w:szCs w:val="21"/>
                <w:u w:val="none"/>
                <w:lang w:val="en-US" w:eastAsia="zh-CN" w:bidi="ar"/>
              </w:rPr>
              <w:t>1</w:t>
            </w:r>
          </w:p>
        </w:tc>
        <w:tc>
          <w:tcPr>
            <w:tcW w:w="2199" w:type="dxa"/>
            <w:vAlign w:val="center"/>
          </w:tcPr>
          <w:p>
            <w:pPr>
              <w:spacing w:line="240" w:lineRule="auto"/>
              <w:jc w:val="center"/>
              <w:rPr>
                <w:rFonts w:hint="default" w:ascii="Times New Roman" w:hAnsi="Times New Roman" w:eastAsia="宋体" w:cs="Times New Roman"/>
                <w:i w:val="0"/>
                <w:iCs w:val="0"/>
                <w:color w:val="auto"/>
                <w:sz w:val="21"/>
                <w:szCs w:val="21"/>
                <w:u w:val="none"/>
                <w:lang w:eastAsia="zh-CN"/>
              </w:rPr>
            </w:pPr>
            <w:r>
              <w:rPr>
                <w:rFonts w:hint="default" w:ascii="Times New Roman" w:hAnsi="Times New Roman" w:eastAsia="宋体" w:cs="Times New Roman"/>
                <w:i w:val="0"/>
                <w:iCs w:val="0"/>
                <w:color w:val="auto"/>
                <w:sz w:val="21"/>
                <w:szCs w:val="21"/>
                <w:u w:val="none"/>
                <w:lang w:eastAsia="zh-CN"/>
              </w:rPr>
              <w:t>选择低噪声设备，安装减振基础</w:t>
            </w:r>
          </w:p>
        </w:tc>
        <w:tc>
          <w:tcPr>
            <w:tcW w:w="605" w:type="dxa"/>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-36</w:t>
            </w:r>
          </w:p>
        </w:tc>
        <w:tc>
          <w:tcPr>
            <w:tcW w:w="499" w:type="dxa"/>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-2</w:t>
            </w:r>
          </w:p>
        </w:tc>
        <w:tc>
          <w:tcPr>
            <w:tcW w:w="713" w:type="dxa"/>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-2.42</w:t>
            </w:r>
          </w:p>
        </w:tc>
        <w:tc>
          <w:tcPr>
            <w:tcW w:w="767" w:type="dxa"/>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27.22</w:t>
            </w:r>
          </w:p>
        </w:tc>
        <w:tc>
          <w:tcPr>
            <w:tcW w:w="865" w:type="dxa"/>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71.15</w:t>
            </w:r>
          </w:p>
        </w:tc>
        <w:tc>
          <w:tcPr>
            <w:tcW w:w="793" w:type="dxa"/>
            <w:vAlign w:val="center"/>
          </w:tcPr>
          <w:p>
            <w:pPr>
              <w:spacing w:line="240" w:lineRule="auto"/>
              <w:jc w:val="center"/>
              <w:rPr>
                <w:rFonts w:hint="default" w:ascii="Times New Roman" w:hAnsi="Times New Roman" w:eastAsia="宋体" w:cs="Times New Roman"/>
                <w:i w:val="0"/>
                <w:iCs w:val="0"/>
                <w:color w:val="auto"/>
                <w:sz w:val="21"/>
                <w:szCs w:val="21"/>
                <w:u w:val="none"/>
                <w:lang w:val="en-US" w:eastAsia="zh-CN"/>
              </w:rPr>
            </w:pPr>
            <w:r>
              <w:rPr>
                <w:rFonts w:hint="default" w:ascii="Times New Roman" w:hAnsi="Times New Roman" w:eastAsia="宋体" w:cs="Times New Roman"/>
                <w:i w:val="0"/>
                <w:iCs w:val="0"/>
                <w:color w:val="auto"/>
                <w:sz w:val="21"/>
                <w:szCs w:val="21"/>
                <w:u w:val="none"/>
                <w:lang w:val="en-US" w:eastAsia="zh-CN"/>
              </w:rPr>
              <w:t>全天</w:t>
            </w:r>
          </w:p>
        </w:tc>
        <w:tc>
          <w:tcPr>
            <w:tcW w:w="927" w:type="dxa"/>
            <w:vAlign w:val="center"/>
          </w:tcPr>
          <w:p>
            <w:pPr>
              <w:spacing w:line="240" w:lineRule="auto"/>
              <w:jc w:val="center"/>
              <w:rPr>
                <w:rFonts w:hint="default" w:ascii="Times New Roman" w:hAnsi="Times New Roman" w:cs="Times New Roman"/>
                <w:i w:val="0"/>
                <w:iCs w:val="0"/>
                <w:color w:val="auto"/>
                <w:sz w:val="21"/>
                <w:szCs w:val="21"/>
                <w:u w:val="none"/>
                <w:lang w:val="en-US" w:eastAsia="zh-CN"/>
              </w:rPr>
            </w:pPr>
            <w:r>
              <w:rPr>
                <w:rFonts w:hint="default" w:ascii="Times New Roman" w:hAnsi="Times New Roman" w:cs="Times New Roman"/>
                <w:i w:val="0"/>
                <w:iCs w:val="0"/>
                <w:color w:val="auto"/>
                <w:sz w:val="21"/>
                <w:szCs w:val="21"/>
                <w:u w:val="none"/>
                <w:lang w:val="en-US" w:eastAsia="zh-CN"/>
              </w:rPr>
              <w:t>25</w:t>
            </w:r>
          </w:p>
        </w:tc>
        <w:tc>
          <w:tcPr>
            <w:tcW w:w="939" w:type="dxa"/>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40.13</w:t>
            </w:r>
          </w:p>
        </w:tc>
        <w:tc>
          <w:tcPr>
            <w:tcW w:w="732" w:type="dxa"/>
            <w:vAlign w:val="center"/>
          </w:tcPr>
          <w:p>
            <w:pPr>
              <w:spacing w:line="240" w:lineRule="auto"/>
              <w:jc w:val="center"/>
              <w:rPr>
                <w:rFonts w:hint="default" w:ascii="Times New Roman" w:hAnsi="Times New Roman" w:cs="Times New Roman"/>
                <w:i w:val="0"/>
                <w:iCs w:val="0"/>
                <w:color w:val="auto"/>
                <w:sz w:val="21"/>
                <w:szCs w:val="21"/>
                <w:u w:val="none"/>
                <w:lang w:val="en-US" w:eastAsia="zh-CN"/>
              </w:rPr>
            </w:pPr>
            <w:r>
              <w:rPr>
                <w:rFonts w:hint="default" w:ascii="Times New Roman" w:hAnsi="Times New Roman" w:cs="Times New Roman"/>
                <w:i w:val="0"/>
                <w:iCs w:val="0"/>
                <w:color w:val="auto"/>
                <w:sz w:val="21"/>
                <w:szCs w:val="21"/>
                <w:u w:val="none"/>
                <w:lang w:val="en-US" w:eastAsia="zh-CN"/>
              </w:rPr>
              <w:t>1</w:t>
            </w:r>
          </w:p>
        </w:tc>
      </w:tr>
    </w:tbl>
    <w:p>
      <w:pPr>
        <w:pStyle w:val="15"/>
        <w:keepNext w:val="0"/>
        <w:keepLines w:val="0"/>
        <w:pageBreakBefore w:val="0"/>
        <w:widowControl/>
        <w:kinsoku/>
        <w:wordWrap/>
        <w:overflowPunct/>
        <w:topLinePunct w:val="0"/>
        <w:autoSpaceDE/>
        <w:autoSpaceDN/>
        <w:bidi w:val="0"/>
        <w:adjustRightInd/>
        <w:snapToGrid/>
        <w:spacing w:before="0" w:beforeAutospacing="0" w:after="0" w:afterAutospacing="0" w:line="240" w:lineRule="auto"/>
        <w:jc w:val="both"/>
        <w:textAlignment w:val="auto"/>
        <w:outlineLvl w:val="0"/>
        <w:rPr>
          <w:rFonts w:hint="eastAsia" w:ascii="Times New Roman" w:hAnsi="Times New Roman" w:eastAsia="宋体" w:cs="Times New Roman"/>
          <w:b/>
          <w:bCs/>
          <w:snapToGrid w:val="0"/>
          <w:color w:val="auto"/>
          <w:sz w:val="28"/>
          <w:szCs w:val="28"/>
          <w:u w:val="none" w:color="auto"/>
        </w:rPr>
        <w:sectPr>
          <w:pgSz w:w="16838" w:h="11906" w:orient="landscape"/>
          <w:pgMar w:top="1800" w:right="1440" w:bottom="1800" w:left="1440" w:header="851" w:footer="992" w:gutter="0"/>
          <w:pgBorders>
            <w:top w:val="none" w:sz="0" w:space="0"/>
            <w:left w:val="none" w:sz="0" w:space="0"/>
            <w:bottom w:val="none" w:sz="0" w:space="0"/>
            <w:right w:val="none" w:sz="0" w:space="0"/>
          </w:pgBorders>
          <w:pgNumType w:fmt="decimal"/>
          <w:cols w:space="425" w:num="1"/>
          <w:docGrid w:type="lines" w:linePitch="312" w:charSpace="0"/>
        </w:sectPr>
      </w:pPr>
    </w:p>
    <w:tbl>
      <w:tblPr>
        <w:tblStyle w:val="19"/>
        <w:tblW w:w="0" w:type="auto"/>
        <w:tblInd w:w="-93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left w:w="108" w:type="dxa"/>
          <w:right w:w="108" w:type="dxa"/>
        </w:tblCellMar>
      </w:tblPr>
      <w:tblGrid>
        <w:gridCol w:w="1170"/>
        <w:gridCol w:w="828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c>
          <w:tcPr>
            <w:tcW w:w="1170" w:type="dxa"/>
          </w:tcPr>
          <w:p>
            <w:pPr>
              <w:pStyle w:val="15"/>
              <w:keepNext w:val="0"/>
              <w:keepLines w:val="0"/>
              <w:pageBreakBefore w:val="0"/>
              <w:widowControl/>
              <w:kinsoku/>
              <w:wordWrap/>
              <w:overflowPunct/>
              <w:topLinePunct w:val="0"/>
              <w:autoSpaceDE/>
              <w:autoSpaceDN/>
              <w:bidi w:val="0"/>
              <w:adjustRightInd/>
              <w:snapToGrid/>
              <w:spacing w:before="0" w:beforeAutospacing="0" w:after="0" w:afterAutospacing="0" w:line="240" w:lineRule="auto"/>
              <w:jc w:val="both"/>
              <w:textAlignment w:val="auto"/>
              <w:outlineLvl w:val="0"/>
              <w:rPr>
                <w:rFonts w:hint="eastAsia" w:ascii="Times New Roman" w:hAnsi="Times New Roman" w:eastAsia="宋体" w:cs="Times New Roman"/>
                <w:b/>
                <w:bCs/>
                <w:snapToGrid w:val="0"/>
                <w:color w:val="auto"/>
                <w:sz w:val="28"/>
                <w:szCs w:val="28"/>
                <w:u w:val="none" w:color="auto"/>
                <w:vertAlign w:val="baseline"/>
              </w:rPr>
            </w:pPr>
          </w:p>
        </w:tc>
        <w:tc>
          <w:tcPr>
            <w:tcW w:w="8282" w:type="dxa"/>
          </w:tcPr>
          <w:p>
            <w:pPr>
              <w:pStyle w:val="25"/>
              <w:bidi w:val="0"/>
              <w:rPr>
                <w:rFonts w:hint="default"/>
                <w:lang w:val="en-US" w:eastAsia="zh-CN"/>
              </w:rPr>
            </w:pPr>
            <w:r>
              <w:rPr>
                <w:rFonts w:hint="eastAsia"/>
                <w:b/>
                <w:bCs/>
                <w:lang w:val="en-US" w:eastAsia="zh-CN"/>
              </w:rPr>
              <w:t>2、噪声治理措施</w:t>
            </w:r>
          </w:p>
          <w:p>
            <w:pPr>
              <w:pStyle w:val="25"/>
              <w:bidi w:val="0"/>
              <w:rPr>
                <w:rFonts w:hint="eastAsia"/>
                <w:b w:val="0"/>
                <w:bCs w:val="0"/>
                <w:lang w:val="en-US" w:eastAsia="zh-CN"/>
              </w:rPr>
            </w:pPr>
            <w:r>
              <w:rPr>
                <w:rFonts w:hint="eastAsia"/>
                <w:b w:val="0"/>
                <w:bCs w:val="0"/>
                <w:lang w:val="en-US" w:eastAsia="zh-CN"/>
              </w:rPr>
              <w:t>①采用先进的低噪声设备</w:t>
            </w:r>
            <w:r>
              <w:rPr>
                <w:rFonts w:hint="eastAsia" w:ascii="宋体" w:hAnsi="宋体" w:eastAsia="宋体" w:cs="宋体"/>
                <w:b w:val="0"/>
                <w:bCs w:val="0"/>
                <w:lang w:val="en-US" w:eastAsia="zh-CN"/>
              </w:rPr>
              <w:t>，</w:t>
            </w:r>
            <w:r>
              <w:rPr>
                <w:rFonts w:hint="eastAsia"/>
                <w:b w:val="0"/>
                <w:bCs w:val="0"/>
                <w:lang w:val="en-US" w:eastAsia="zh-CN"/>
              </w:rPr>
              <w:t>并加强防振、消声措施</w:t>
            </w:r>
          </w:p>
          <w:p>
            <w:pPr>
              <w:pStyle w:val="25"/>
              <w:bidi w:val="0"/>
              <w:rPr>
                <w:rFonts w:hint="eastAsia"/>
                <w:b w:val="0"/>
                <w:bCs w:val="0"/>
                <w:lang w:val="en-US" w:eastAsia="zh-CN"/>
              </w:rPr>
            </w:pPr>
            <w:r>
              <w:rPr>
                <w:rFonts w:hint="eastAsia"/>
                <w:b w:val="0"/>
                <w:bCs w:val="0"/>
                <w:lang w:val="en-US" w:eastAsia="zh-CN"/>
              </w:rPr>
              <w:t>在设备选型方面</w:t>
            </w:r>
            <w:r>
              <w:rPr>
                <w:rFonts w:hint="eastAsia" w:ascii="宋体" w:hAnsi="宋体" w:eastAsia="宋体" w:cs="宋体"/>
                <w:b w:val="0"/>
                <w:bCs w:val="0"/>
                <w:lang w:val="en-US" w:eastAsia="zh-CN"/>
              </w:rPr>
              <w:t>，</w:t>
            </w:r>
            <w:r>
              <w:rPr>
                <w:rFonts w:hint="eastAsia"/>
                <w:b w:val="0"/>
                <w:bCs w:val="0"/>
                <w:lang w:val="en-US" w:eastAsia="zh-CN"/>
              </w:rPr>
              <w:t>在满足工艺生产的前提下</w:t>
            </w:r>
            <w:r>
              <w:rPr>
                <w:rFonts w:hint="eastAsia" w:ascii="宋体" w:hAnsi="宋体" w:eastAsia="宋体" w:cs="宋体"/>
                <w:b w:val="0"/>
                <w:bCs w:val="0"/>
                <w:lang w:val="en-US" w:eastAsia="zh-CN"/>
              </w:rPr>
              <w:t>，</w:t>
            </w:r>
            <w:r>
              <w:rPr>
                <w:rFonts w:hint="eastAsia"/>
                <w:b w:val="0"/>
                <w:bCs w:val="0"/>
                <w:lang w:val="en-US" w:eastAsia="zh-CN"/>
              </w:rPr>
              <w:t>选用精度高、装配质量好、噪声低的设备</w:t>
            </w:r>
            <w:r>
              <w:rPr>
                <w:rFonts w:hint="eastAsia" w:ascii="宋体" w:hAnsi="宋体" w:eastAsia="宋体" w:cs="宋体"/>
                <w:b w:val="0"/>
                <w:bCs w:val="0"/>
                <w:lang w:val="en-US" w:eastAsia="zh-CN"/>
              </w:rPr>
              <w:t>；</w:t>
            </w:r>
            <w:r>
              <w:rPr>
                <w:rFonts w:hint="eastAsia"/>
                <w:b w:val="0"/>
                <w:bCs w:val="0"/>
                <w:lang w:val="en-US" w:eastAsia="zh-CN"/>
              </w:rPr>
              <w:t>对于某些设备运行时由振动产生的噪声</w:t>
            </w:r>
            <w:r>
              <w:rPr>
                <w:rFonts w:hint="eastAsia" w:ascii="宋体" w:hAnsi="宋体" w:eastAsia="宋体" w:cs="宋体"/>
                <w:b w:val="0"/>
                <w:bCs w:val="0"/>
                <w:lang w:val="en-US" w:eastAsia="zh-CN"/>
              </w:rPr>
              <w:t>，</w:t>
            </w:r>
            <w:r>
              <w:rPr>
                <w:rFonts w:hint="eastAsia"/>
                <w:b w:val="0"/>
                <w:bCs w:val="0"/>
                <w:lang w:val="en-US" w:eastAsia="zh-CN"/>
              </w:rPr>
              <w:t>对设备基础进行隔振、减振</w:t>
            </w:r>
            <w:r>
              <w:rPr>
                <w:rFonts w:hint="eastAsia" w:ascii="宋体" w:hAnsi="宋体" w:eastAsia="宋体" w:cs="宋体"/>
                <w:b w:val="0"/>
                <w:bCs w:val="0"/>
                <w:lang w:val="en-US" w:eastAsia="zh-CN"/>
              </w:rPr>
              <w:t>，</w:t>
            </w:r>
            <w:r>
              <w:rPr>
                <w:rFonts w:hint="eastAsia"/>
                <w:b w:val="0"/>
                <w:bCs w:val="0"/>
                <w:lang w:val="en-US" w:eastAsia="zh-CN"/>
              </w:rPr>
              <w:t>以此减少噪声</w:t>
            </w:r>
            <w:r>
              <w:rPr>
                <w:rFonts w:hint="eastAsia" w:ascii="宋体" w:hAnsi="宋体" w:eastAsia="宋体" w:cs="宋体"/>
                <w:b w:val="0"/>
                <w:bCs w:val="0"/>
                <w:lang w:val="en-US" w:eastAsia="zh-CN"/>
              </w:rPr>
              <w:t>。</w:t>
            </w:r>
          </w:p>
          <w:p>
            <w:pPr>
              <w:pStyle w:val="25"/>
              <w:bidi w:val="0"/>
              <w:rPr>
                <w:rFonts w:hint="eastAsia"/>
                <w:b w:val="0"/>
                <w:bCs w:val="0"/>
                <w:lang w:val="en-US" w:eastAsia="zh-CN"/>
              </w:rPr>
            </w:pPr>
            <w:r>
              <w:rPr>
                <w:rFonts w:hint="eastAsia"/>
                <w:b w:val="0"/>
                <w:bCs w:val="0"/>
                <w:lang w:val="en-US" w:eastAsia="zh-CN"/>
              </w:rPr>
              <w:t>②对噪声设备进行合理布局</w:t>
            </w:r>
            <w:r>
              <w:rPr>
                <w:rFonts w:hint="eastAsia" w:ascii="宋体" w:hAnsi="宋体" w:eastAsia="宋体" w:cs="宋体"/>
                <w:b w:val="0"/>
                <w:bCs w:val="0"/>
                <w:lang w:val="en-US" w:eastAsia="zh-CN"/>
              </w:rPr>
              <w:t>，</w:t>
            </w:r>
            <w:r>
              <w:rPr>
                <w:rFonts w:hint="eastAsia"/>
                <w:b w:val="0"/>
                <w:bCs w:val="0"/>
                <w:lang w:val="en-US" w:eastAsia="zh-CN"/>
              </w:rPr>
              <w:t>重视总平面布置</w:t>
            </w:r>
          </w:p>
          <w:p>
            <w:pPr>
              <w:pStyle w:val="25"/>
              <w:bidi w:val="0"/>
              <w:rPr>
                <w:rFonts w:hint="eastAsia"/>
                <w:b w:val="0"/>
                <w:bCs w:val="0"/>
                <w:lang w:val="en-US" w:eastAsia="zh-CN"/>
              </w:rPr>
            </w:pPr>
            <w:r>
              <w:rPr>
                <w:rFonts w:hint="eastAsia"/>
                <w:b w:val="0"/>
                <w:bCs w:val="0"/>
                <w:lang w:val="en-US" w:eastAsia="zh-CN"/>
              </w:rPr>
              <w:t>尽量将高噪声设备布置在厂房中间</w:t>
            </w:r>
            <w:r>
              <w:rPr>
                <w:rFonts w:hint="eastAsia" w:ascii="宋体" w:hAnsi="宋体" w:eastAsia="宋体" w:cs="宋体"/>
                <w:b w:val="0"/>
                <w:bCs w:val="0"/>
                <w:lang w:val="en-US" w:eastAsia="zh-CN"/>
              </w:rPr>
              <w:t>。</w:t>
            </w:r>
            <w:r>
              <w:rPr>
                <w:rFonts w:hint="eastAsia"/>
                <w:b w:val="0"/>
                <w:bCs w:val="0"/>
                <w:lang w:val="en-US" w:eastAsia="zh-CN"/>
              </w:rPr>
              <w:t>远离厂界的同时选择距离项目附近敏感点最远的位置</w:t>
            </w:r>
            <w:r>
              <w:rPr>
                <w:rFonts w:hint="eastAsia" w:ascii="宋体" w:hAnsi="宋体" w:eastAsia="宋体" w:cs="宋体"/>
                <w:b w:val="0"/>
                <w:bCs w:val="0"/>
                <w:lang w:val="en-US" w:eastAsia="zh-CN"/>
              </w:rPr>
              <w:t>；</w:t>
            </w:r>
            <w:r>
              <w:rPr>
                <w:rFonts w:hint="eastAsia"/>
                <w:b w:val="0"/>
                <w:bCs w:val="0"/>
                <w:lang w:val="en-US" w:eastAsia="zh-CN"/>
              </w:rPr>
              <w:t>对有强噪声的车间</w:t>
            </w:r>
            <w:r>
              <w:rPr>
                <w:rFonts w:hint="eastAsia" w:ascii="宋体" w:hAnsi="宋体" w:eastAsia="宋体" w:cs="宋体"/>
                <w:b w:val="0"/>
                <w:bCs w:val="0"/>
                <w:lang w:val="en-US" w:eastAsia="zh-CN"/>
              </w:rPr>
              <w:t>，</w:t>
            </w:r>
            <w:r>
              <w:rPr>
                <w:rFonts w:hint="eastAsia"/>
                <w:b w:val="0"/>
                <w:bCs w:val="0"/>
                <w:lang w:val="en-US" w:eastAsia="zh-CN"/>
              </w:rPr>
              <w:t>考虑利用建筑物、构筑物来阻隔声波的传播</w:t>
            </w:r>
            <w:r>
              <w:rPr>
                <w:rFonts w:hint="eastAsia" w:ascii="宋体" w:hAnsi="宋体" w:eastAsia="宋体" w:cs="宋体"/>
                <w:b w:val="0"/>
                <w:bCs w:val="0"/>
                <w:lang w:val="en-US" w:eastAsia="zh-CN"/>
              </w:rPr>
              <w:t>，</w:t>
            </w:r>
            <w:r>
              <w:rPr>
                <w:rFonts w:hint="eastAsia"/>
                <w:b w:val="0"/>
                <w:bCs w:val="0"/>
                <w:lang w:val="en-US" w:eastAsia="zh-CN"/>
              </w:rPr>
              <w:t>减少对周围环境的影响</w:t>
            </w:r>
            <w:r>
              <w:rPr>
                <w:rFonts w:hint="eastAsia" w:ascii="宋体" w:hAnsi="宋体" w:eastAsia="宋体" w:cs="宋体"/>
                <w:b w:val="0"/>
                <w:bCs w:val="0"/>
                <w:lang w:val="en-US" w:eastAsia="zh-CN"/>
              </w:rPr>
              <w:t>。</w:t>
            </w:r>
          </w:p>
          <w:p>
            <w:pPr>
              <w:pStyle w:val="25"/>
              <w:bidi w:val="0"/>
              <w:rPr>
                <w:rFonts w:hint="eastAsia"/>
                <w:lang w:val="en-US" w:eastAsia="zh-CN"/>
              </w:rPr>
            </w:pPr>
            <w:r>
              <w:rPr>
                <w:rFonts w:hint="eastAsia"/>
                <w:b w:val="0"/>
                <w:bCs w:val="0"/>
                <w:lang w:val="en-US" w:eastAsia="zh-CN"/>
              </w:rPr>
              <w:t>③加强管理</w:t>
            </w:r>
            <w:r>
              <w:rPr>
                <w:rFonts w:hint="eastAsia" w:ascii="宋体" w:hAnsi="宋体" w:eastAsia="宋体" w:cs="宋体"/>
                <w:b w:val="0"/>
                <w:bCs w:val="0"/>
                <w:lang w:val="en-US" w:eastAsia="zh-CN"/>
              </w:rPr>
              <w:t>，</w:t>
            </w:r>
            <w:r>
              <w:rPr>
                <w:rFonts w:hint="eastAsia"/>
                <w:b w:val="0"/>
                <w:bCs w:val="0"/>
                <w:lang w:val="en-US" w:eastAsia="zh-CN"/>
              </w:rPr>
              <w:t>建立设备定期维护、保养的管理制度</w:t>
            </w:r>
            <w:r>
              <w:rPr>
                <w:rFonts w:hint="eastAsia" w:ascii="宋体" w:hAnsi="宋体" w:eastAsia="宋体" w:cs="宋体"/>
                <w:b w:val="0"/>
                <w:bCs w:val="0"/>
                <w:lang w:val="en-US" w:eastAsia="zh-CN"/>
              </w:rPr>
              <w:t>，</w:t>
            </w:r>
            <w:r>
              <w:rPr>
                <w:rFonts w:hint="eastAsia"/>
                <w:b w:val="0"/>
                <w:bCs w:val="0"/>
                <w:lang w:val="en-US" w:eastAsia="zh-CN"/>
              </w:rPr>
              <w:t>以防止设备故障形成的非生产噪声</w:t>
            </w:r>
            <w:r>
              <w:rPr>
                <w:rFonts w:hint="eastAsia" w:ascii="宋体" w:hAnsi="宋体" w:eastAsia="宋体" w:cs="宋体"/>
                <w:b w:val="0"/>
                <w:bCs w:val="0"/>
                <w:lang w:val="en-US" w:eastAsia="zh-CN"/>
              </w:rPr>
              <w:t>，</w:t>
            </w:r>
            <w:r>
              <w:rPr>
                <w:rFonts w:hint="eastAsia"/>
                <w:b w:val="0"/>
                <w:bCs w:val="0"/>
                <w:lang w:val="en-US" w:eastAsia="zh-CN"/>
              </w:rPr>
              <w:t>同时确保环保措施发挥最有效的功能</w:t>
            </w:r>
            <w:r>
              <w:rPr>
                <w:rFonts w:hint="eastAsia" w:ascii="宋体" w:hAnsi="宋体" w:eastAsia="宋体" w:cs="宋体"/>
                <w:b w:val="0"/>
                <w:bCs w:val="0"/>
                <w:lang w:val="en-US" w:eastAsia="zh-CN"/>
              </w:rPr>
              <w:t>。</w:t>
            </w:r>
          </w:p>
          <w:p>
            <w:pPr>
              <w:pStyle w:val="25"/>
              <w:bidi w:val="0"/>
              <w:rPr>
                <w:rFonts w:hint="eastAsia"/>
                <w:lang w:val="en-US" w:eastAsia="zh-CN"/>
              </w:rPr>
            </w:pPr>
            <w:r>
              <w:rPr>
                <w:rFonts w:hint="eastAsia"/>
                <w:b/>
                <w:bCs/>
                <w:lang w:val="en-US" w:eastAsia="zh-CN"/>
              </w:rPr>
              <w:t>3、噪声预测</w:t>
            </w:r>
          </w:p>
          <w:p>
            <w:pPr>
              <w:pStyle w:val="25"/>
              <w:bidi w:val="0"/>
              <w:rPr>
                <w:rFonts w:hint="eastAsia"/>
                <w:b w:val="0"/>
                <w:bCs w:val="0"/>
                <w:lang w:val="en-US" w:eastAsia="zh-CN"/>
              </w:rPr>
            </w:pPr>
            <w:r>
              <w:rPr>
                <w:rFonts w:hint="eastAsia"/>
                <w:b w:val="0"/>
                <w:bCs w:val="0"/>
                <w:lang w:val="en-US" w:eastAsia="zh-CN"/>
              </w:rPr>
              <w:t>（1）预测模式</w:t>
            </w:r>
          </w:p>
          <w:p>
            <w:pPr>
              <w:pStyle w:val="25"/>
              <w:bidi w:val="0"/>
              <w:rPr>
                <w:rFonts w:hint="eastAsia"/>
                <w:b w:val="0"/>
                <w:bCs w:val="0"/>
                <w:lang w:val="en-US" w:eastAsia="zh-CN"/>
              </w:rPr>
            </w:pPr>
            <w:r>
              <w:rPr>
                <w:rFonts w:hint="eastAsia"/>
                <w:b w:val="0"/>
                <w:bCs w:val="0"/>
                <w:lang w:val="en-US" w:eastAsia="zh-CN"/>
              </w:rPr>
              <w:t>因本项目已考虑墙体隔音效果</w:t>
            </w:r>
            <w:r>
              <w:rPr>
                <w:rFonts w:hint="eastAsia" w:ascii="宋体" w:hAnsi="宋体" w:eastAsia="宋体" w:cs="宋体"/>
                <w:b w:val="0"/>
                <w:bCs w:val="0"/>
                <w:lang w:val="en-US" w:eastAsia="zh-CN"/>
              </w:rPr>
              <w:t>，</w:t>
            </w:r>
            <w:r>
              <w:rPr>
                <w:rFonts w:hint="eastAsia"/>
                <w:b w:val="0"/>
                <w:bCs w:val="0"/>
                <w:lang w:val="en-US" w:eastAsia="zh-CN"/>
              </w:rPr>
              <w:t>故本次预测采用《环境影响评价技术导则 声环境》（HJ2.4-2021）中点声源的几何发散衰减、噪声贡献值及噪声预测值计算公式</w:t>
            </w:r>
            <w:r>
              <w:rPr>
                <w:rFonts w:hint="eastAsia" w:ascii="宋体" w:hAnsi="宋体" w:eastAsia="宋体" w:cs="宋体"/>
                <w:b w:val="0"/>
                <w:bCs w:val="0"/>
                <w:lang w:val="en-US" w:eastAsia="zh-CN"/>
              </w:rPr>
              <w:t>，</w:t>
            </w:r>
            <w:r>
              <w:rPr>
                <w:rFonts w:hint="eastAsia"/>
                <w:b w:val="0"/>
                <w:bCs w:val="0"/>
                <w:lang w:val="en-US" w:eastAsia="zh-CN"/>
              </w:rPr>
              <w:t>详情如下：</w:t>
            </w:r>
          </w:p>
          <w:p>
            <w:pPr>
              <w:pStyle w:val="25"/>
              <w:bidi w:val="0"/>
              <w:jc w:val="left"/>
              <w:rPr>
                <w:rFonts w:hint="eastAsia"/>
                <w:b w:val="0"/>
                <w:bCs w:val="0"/>
                <w:lang w:val="en-US" w:eastAsia="zh-CN"/>
              </w:rPr>
            </w:pPr>
            <w:r>
              <w:rPr>
                <w:rFonts w:hint="eastAsia"/>
                <w:b w:val="0"/>
                <w:bCs w:val="0"/>
                <w:lang w:val="en-US" w:eastAsia="zh-CN"/>
              </w:rPr>
              <w:t>点声源的几何发散衰减计算公式：</w:t>
            </w:r>
          </w:p>
          <w:p>
            <w:pPr>
              <w:pStyle w:val="25"/>
              <w:bidi w:val="0"/>
              <w:jc w:val="center"/>
              <w:rPr>
                <w:rFonts w:hint="default"/>
                <w:b w:val="0"/>
                <w:bCs w:val="0"/>
                <w:lang w:val="en-US" w:eastAsia="zh-CN"/>
              </w:rPr>
            </w:pPr>
            <w:r>
              <w:drawing>
                <wp:inline distT="0" distB="0" distL="114300" distR="114300">
                  <wp:extent cx="3438525" cy="1514475"/>
                  <wp:effectExtent l="0" t="0" r="9525" b="9525"/>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18"/>
                          <a:stretch>
                            <a:fillRect/>
                          </a:stretch>
                        </pic:blipFill>
                        <pic:spPr>
                          <a:xfrm>
                            <a:off x="0" y="0"/>
                            <a:ext cx="3438525" cy="1514475"/>
                          </a:xfrm>
                          <a:prstGeom prst="rect">
                            <a:avLst/>
                          </a:prstGeom>
                          <a:noFill/>
                          <a:ln>
                            <a:noFill/>
                          </a:ln>
                        </pic:spPr>
                      </pic:pic>
                    </a:graphicData>
                  </a:graphic>
                </wp:inline>
              </w:drawing>
            </w:r>
          </w:p>
          <w:p>
            <w:pPr>
              <w:pStyle w:val="25"/>
              <w:bidi w:val="0"/>
              <w:rPr>
                <w:rFonts w:hint="eastAsia"/>
                <w:b w:val="0"/>
                <w:bCs w:val="0"/>
                <w:lang w:val="en-US" w:eastAsia="zh-CN"/>
              </w:rPr>
            </w:pPr>
            <w:r>
              <w:rPr>
                <w:rFonts w:hint="eastAsia"/>
                <w:b w:val="0"/>
                <w:bCs w:val="0"/>
                <w:lang w:val="en-US" w:eastAsia="zh-CN"/>
              </w:rPr>
              <w:t>噪声贡献值计算公式：</w:t>
            </w:r>
          </w:p>
          <w:p>
            <w:pPr>
              <w:pStyle w:val="25"/>
              <w:bidi w:val="0"/>
              <w:jc w:val="center"/>
              <w:rPr>
                <w:rFonts w:hint="eastAsia"/>
                <w:b w:val="0"/>
                <w:bCs w:val="0"/>
                <w:lang w:val="en-US" w:eastAsia="zh-CN"/>
              </w:rPr>
            </w:pPr>
            <w:r>
              <w:drawing>
                <wp:inline distT="0" distB="0" distL="114300" distR="114300">
                  <wp:extent cx="3752850" cy="1724025"/>
                  <wp:effectExtent l="0" t="0" r="0" b="9525"/>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19"/>
                          <a:stretch>
                            <a:fillRect/>
                          </a:stretch>
                        </pic:blipFill>
                        <pic:spPr>
                          <a:xfrm>
                            <a:off x="0" y="0"/>
                            <a:ext cx="3752850" cy="1724025"/>
                          </a:xfrm>
                          <a:prstGeom prst="rect">
                            <a:avLst/>
                          </a:prstGeom>
                          <a:noFill/>
                          <a:ln>
                            <a:noFill/>
                          </a:ln>
                        </pic:spPr>
                      </pic:pic>
                    </a:graphicData>
                  </a:graphic>
                </wp:inline>
              </w:drawing>
            </w:r>
          </w:p>
          <w:p>
            <w:pPr>
              <w:pStyle w:val="25"/>
              <w:bidi w:val="0"/>
              <w:rPr>
                <w:rFonts w:hint="eastAsia"/>
                <w:b w:val="0"/>
                <w:bCs w:val="0"/>
                <w:lang w:val="en-US" w:eastAsia="zh-CN"/>
              </w:rPr>
            </w:pPr>
            <w:r>
              <w:rPr>
                <w:rFonts w:hint="eastAsia"/>
                <w:b w:val="0"/>
                <w:bCs w:val="0"/>
                <w:lang w:val="en-US" w:eastAsia="zh-CN"/>
              </w:rPr>
              <w:t>噪声预测值计算公式：</w:t>
            </w:r>
          </w:p>
          <w:p>
            <w:pPr>
              <w:pStyle w:val="25"/>
              <w:bidi w:val="0"/>
              <w:rPr>
                <w:rFonts w:hint="default"/>
                <w:lang w:val="en-US" w:eastAsia="zh-CN"/>
              </w:rPr>
            </w:pPr>
            <w:r>
              <w:drawing>
                <wp:inline distT="0" distB="0" distL="114300" distR="114300">
                  <wp:extent cx="4419600" cy="1285875"/>
                  <wp:effectExtent l="0" t="0" r="0" b="9525"/>
                  <wp:docPr id="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pic:cNvPicPr>
                            <a:picLocks noChangeAspect="1"/>
                          </pic:cNvPicPr>
                        </pic:nvPicPr>
                        <pic:blipFill>
                          <a:blip r:embed="rId20"/>
                          <a:stretch>
                            <a:fillRect/>
                          </a:stretch>
                        </pic:blipFill>
                        <pic:spPr>
                          <a:xfrm>
                            <a:off x="0" y="0"/>
                            <a:ext cx="4419600" cy="1285875"/>
                          </a:xfrm>
                          <a:prstGeom prst="rect">
                            <a:avLst/>
                          </a:prstGeom>
                          <a:noFill/>
                          <a:ln>
                            <a:noFill/>
                          </a:ln>
                        </pic:spPr>
                      </pic:pic>
                    </a:graphicData>
                  </a:graphic>
                </wp:inline>
              </w:drawing>
            </w:r>
          </w:p>
          <w:p>
            <w:pPr>
              <w:pStyle w:val="25"/>
              <w:bidi w:val="0"/>
              <w:rPr>
                <w:rFonts w:hint="eastAsia"/>
                <w:lang w:val="en-US" w:eastAsia="zh-CN"/>
              </w:rPr>
            </w:pPr>
            <w:r>
              <w:rPr>
                <w:rFonts w:hint="eastAsia"/>
                <w:lang w:val="en-US" w:eastAsia="zh-CN"/>
              </w:rPr>
              <w:t>（2）预测参数</w:t>
            </w:r>
          </w:p>
          <w:p>
            <w:pPr>
              <w:pStyle w:val="25"/>
              <w:bidi w:val="0"/>
              <w:rPr>
                <w:rFonts w:hint="default"/>
                <w:lang w:val="en-US" w:eastAsia="zh-CN"/>
              </w:rPr>
            </w:pPr>
            <w:r>
              <w:rPr>
                <w:rFonts w:hint="eastAsia"/>
                <w:lang w:val="en-US" w:eastAsia="zh-CN"/>
              </w:rPr>
              <w:t>本项目</w:t>
            </w:r>
            <w:r>
              <w:rPr>
                <w:rFonts w:hint="eastAsia"/>
                <w:b w:val="0"/>
                <w:bCs w:val="0"/>
                <w:lang w:val="en-US" w:eastAsia="zh-CN"/>
              </w:rPr>
              <w:t>各噪声源距厂界距离情况见表4-12.</w:t>
            </w:r>
          </w:p>
          <w:p>
            <w:pPr>
              <w:pStyle w:val="15"/>
              <w:keepNext w:val="0"/>
              <w:keepLines w:val="0"/>
              <w:pageBreakBefore w:val="0"/>
              <w:widowControl/>
              <w:kinsoku/>
              <w:wordWrap/>
              <w:overflowPunct/>
              <w:topLinePunct w:val="0"/>
              <w:autoSpaceDE/>
              <w:autoSpaceDN/>
              <w:bidi w:val="0"/>
              <w:adjustRightInd/>
              <w:snapToGrid/>
              <w:spacing w:before="0" w:beforeAutospacing="0" w:after="0" w:afterAutospacing="0" w:line="240" w:lineRule="auto"/>
              <w:jc w:val="center"/>
              <w:textAlignment w:val="auto"/>
              <w:outlineLvl w:val="0"/>
              <w:rPr>
                <w:rFonts w:hint="default" w:ascii="Times New Roman" w:hAnsi="Times New Roman" w:eastAsia="宋体" w:cs="Times New Roman"/>
                <w:b/>
                <w:bCs/>
                <w:color w:val="auto"/>
                <w:kern w:val="2"/>
                <w:sz w:val="21"/>
                <w:szCs w:val="21"/>
                <w:lang w:val="en-US" w:eastAsia="zh-CN" w:bidi="ar-SA"/>
              </w:rPr>
            </w:pPr>
            <w:r>
              <w:rPr>
                <w:rFonts w:hint="eastAsia" w:ascii="Times New Roman" w:hAnsi="Times New Roman" w:eastAsia="宋体" w:cs="Times New Roman"/>
                <w:b/>
                <w:bCs/>
                <w:color w:val="auto"/>
                <w:kern w:val="2"/>
                <w:sz w:val="21"/>
                <w:szCs w:val="21"/>
                <w:lang w:val="en-US" w:eastAsia="zh-CN" w:bidi="ar-SA"/>
              </w:rPr>
              <w:t>表4-12 项目各噪声源距厂界距离情况 单位：m</w:t>
            </w:r>
          </w:p>
          <w:tbl>
            <w:tblPr>
              <w:tblStyle w:val="19"/>
              <w:tblW w:w="7822" w:type="dxa"/>
              <w:tblInd w:w="-11"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507"/>
              <w:gridCol w:w="1618"/>
              <w:gridCol w:w="1816"/>
              <w:gridCol w:w="720"/>
              <w:gridCol w:w="720"/>
              <w:gridCol w:w="720"/>
              <w:gridCol w:w="721"/>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507" w:type="dxa"/>
                  <w:tcBorders>
                    <w:tl2br w:val="nil"/>
                    <w:tr2bl w:val="nil"/>
                  </w:tcBorders>
                  <w:noWrap w:val="0"/>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噪声源</w:t>
                  </w:r>
                </w:p>
              </w:tc>
              <w:tc>
                <w:tcPr>
                  <w:tcW w:w="1618" w:type="dxa"/>
                  <w:tcBorders>
                    <w:tl2br w:val="nil"/>
                    <w:tr2bl w:val="nil"/>
                  </w:tcBorders>
                  <w:noWrap w:val="0"/>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设备数量（台）</w:t>
                  </w:r>
                </w:p>
              </w:tc>
              <w:tc>
                <w:tcPr>
                  <w:tcW w:w="1816" w:type="dxa"/>
                  <w:tcBorders>
                    <w:tl2br w:val="nil"/>
                    <w:tr2bl w:val="nil"/>
                  </w:tcBorders>
                  <w:noWrap w:val="0"/>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排放强度/dB(A)</w:t>
                  </w:r>
                </w:p>
              </w:tc>
              <w:tc>
                <w:tcPr>
                  <w:tcW w:w="720" w:type="dxa"/>
                  <w:tcBorders>
                    <w:tl2br w:val="nil"/>
                    <w:tr2bl w:val="nil"/>
                  </w:tcBorders>
                  <w:noWrap w:val="0"/>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东</w:t>
                  </w:r>
                </w:p>
              </w:tc>
              <w:tc>
                <w:tcPr>
                  <w:tcW w:w="720" w:type="dxa"/>
                  <w:tcBorders>
                    <w:tl2br w:val="nil"/>
                    <w:tr2bl w:val="nil"/>
                  </w:tcBorders>
                  <w:noWrap w:val="0"/>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南</w:t>
                  </w:r>
                </w:p>
              </w:tc>
              <w:tc>
                <w:tcPr>
                  <w:tcW w:w="720" w:type="dxa"/>
                  <w:tcBorders>
                    <w:tl2br w:val="nil"/>
                    <w:tr2bl w:val="nil"/>
                  </w:tcBorders>
                  <w:noWrap w:val="0"/>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西</w:t>
                  </w:r>
                </w:p>
              </w:tc>
              <w:tc>
                <w:tcPr>
                  <w:tcW w:w="721" w:type="dxa"/>
                  <w:tcBorders>
                    <w:tl2br w:val="nil"/>
                    <w:tr2bl w:val="nil"/>
                  </w:tcBorders>
                  <w:noWrap w:val="0"/>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北</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507" w:type="dxa"/>
                  <w:tcBorders>
                    <w:tl2br w:val="nil"/>
                    <w:tr2bl w:val="nil"/>
                  </w:tcBorders>
                  <w:noWrap w:val="0"/>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叠加声源</w:t>
                  </w:r>
                </w:p>
              </w:tc>
              <w:tc>
                <w:tcPr>
                  <w:tcW w:w="1618" w:type="dxa"/>
                  <w:tcBorders>
                    <w:tl2br w:val="nil"/>
                    <w:tr2bl w:val="nil"/>
                  </w:tcBorders>
                  <w:noWrap w:val="0"/>
                  <w:vAlign w:val="top"/>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w:t>
                  </w:r>
                </w:p>
              </w:tc>
              <w:tc>
                <w:tcPr>
                  <w:tcW w:w="1816" w:type="dxa"/>
                  <w:tcBorders>
                    <w:tl2br w:val="nil"/>
                    <w:tr2bl w:val="nil"/>
                  </w:tcBorders>
                  <w:noWrap w:val="0"/>
                  <w:vAlign w:val="top"/>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68.23</w:t>
                  </w:r>
                </w:p>
              </w:tc>
              <w:tc>
                <w:tcPr>
                  <w:tcW w:w="720" w:type="dxa"/>
                  <w:tcBorders>
                    <w:tl2br w:val="nil"/>
                    <w:tr2bl w:val="nil"/>
                  </w:tcBorders>
                  <w:noWrap w:val="0"/>
                  <w:vAlign w:val="top"/>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13</w:t>
                  </w:r>
                </w:p>
              </w:tc>
              <w:tc>
                <w:tcPr>
                  <w:tcW w:w="720" w:type="dxa"/>
                  <w:tcBorders>
                    <w:tl2br w:val="nil"/>
                    <w:tr2bl w:val="nil"/>
                  </w:tcBorders>
                  <w:noWrap w:val="0"/>
                  <w:vAlign w:val="top"/>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60</w:t>
                  </w:r>
                </w:p>
              </w:tc>
              <w:tc>
                <w:tcPr>
                  <w:tcW w:w="720" w:type="dxa"/>
                  <w:tcBorders>
                    <w:tl2br w:val="nil"/>
                    <w:tr2bl w:val="nil"/>
                  </w:tcBorders>
                  <w:noWrap w:val="0"/>
                  <w:vAlign w:val="top"/>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22</w:t>
                  </w:r>
                </w:p>
              </w:tc>
              <w:tc>
                <w:tcPr>
                  <w:tcW w:w="721" w:type="dxa"/>
                  <w:tcBorders>
                    <w:tl2br w:val="nil"/>
                    <w:tr2bl w:val="nil"/>
                  </w:tcBorders>
                  <w:noWrap w:val="0"/>
                  <w:vAlign w:val="top"/>
                </w:tcPr>
                <w:p>
                  <w:pPr>
                    <w:pStyle w:val="47"/>
                    <w:spacing w:line="240" w:lineRule="auto"/>
                    <w:jc w:val="center"/>
                    <w:rPr>
                      <w:rFonts w:hint="default"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15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7822" w:type="dxa"/>
                  <w:gridSpan w:val="7"/>
                  <w:tcBorders>
                    <w:tl2br w:val="nil"/>
                    <w:tr2bl w:val="nil"/>
                  </w:tcBorders>
                  <w:noWrap w:val="0"/>
                  <w:vAlign w:val="center"/>
                </w:tcPr>
                <w:p>
                  <w:pPr>
                    <w:pStyle w:val="47"/>
                    <w:spacing w:line="240" w:lineRule="auto"/>
                    <w:jc w:val="center"/>
                    <w:rPr>
                      <w:rFonts w:hint="eastAsia" w:ascii="Times New Roman" w:hAnsi="Times New Roman" w:eastAsia="宋体" w:cs="Times New Roman"/>
                      <w:color w:val="auto"/>
                      <w:sz w:val="21"/>
                      <w:szCs w:val="21"/>
                      <w:u w:val="none" w:color="auto"/>
                      <w:lang w:val="en-US" w:eastAsia="zh-CN"/>
                    </w:rPr>
                  </w:pPr>
                  <w:r>
                    <w:rPr>
                      <w:rFonts w:hint="eastAsia" w:ascii="Times New Roman" w:hAnsi="Times New Roman" w:eastAsia="宋体" w:cs="Times New Roman"/>
                      <w:color w:val="auto"/>
                      <w:sz w:val="21"/>
                      <w:szCs w:val="21"/>
                      <w:u w:val="none" w:color="auto"/>
                      <w:lang w:val="en-US" w:eastAsia="zh-CN"/>
                    </w:rPr>
                    <w:t>叠加声源距厂界距离按各噪声源距厂界最近距离计</w:t>
                  </w:r>
                </w:p>
              </w:tc>
            </w:tr>
          </w:tbl>
          <w:p>
            <w:pPr>
              <w:pStyle w:val="25"/>
              <w:bidi w:val="0"/>
              <w:rPr>
                <w:rFonts w:hint="eastAsia"/>
                <w:lang w:val="en-US" w:eastAsia="zh-CN"/>
              </w:rPr>
            </w:pPr>
            <w:r>
              <w:rPr>
                <w:rFonts w:hint="eastAsia"/>
                <w:lang w:val="en-US" w:eastAsia="zh-CN"/>
              </w:rPr>
              <w:t>（3）预测结果</w:t>
            </w:r>
          </w:p>
          <w:p>
            <w:pPr>
              <w:pStyle w:val="25"/>
              <w:bidi w:val="0"/>
              <w:rPr>
                <w:rFonts w:hint="default"/>
                <w:lang w:val="en-US" w:eastAsia="zh-CN"/>
              </w:rPr>
            </w:pPr>
            <w:r>
              <w:rPr>
                <w:rFonts w:hint="eastAsia"/>
                <w:lang w:val="en-US" w:eastAsia="zh-CN"/>
              </w:rPr>
              <w:t>本项目日工作8h</w:t>
            </w:r>
            <w:r>
              <w:rPr>
                <w:rFonts w:hint="eastAsia" w:ascii="宋体" w:hAnsi="宋体" w:eastAsia="宋体" w:cs="宋体"/>
                <w:lang w:val="en-US" w:eastAsia="zh-CN"/>
              </w:rPr>
              <w:t>，</w:t>
            </w:r>
            <w:r>
              <w:rPr>
                <w:rFonts w:hint="eastAsia"/>
                <w:lang w:val="en-US" w:eastAsia="zh-CN"/>
              </w:rPr>
              <w:t>夜间不工作</w:t>
            </w:r>
            <w:r>
              <w:rPr>
                <w:rFonts w:hint="eastAsia" w:ascii="宋体" w:hAnsi="宋体" w:eastAsia="宋体" w:cs="宋体"/>
                <w:lang w:val="en-US" w:eastAsia="zh-CN"/>
              </w:rPr>
              <w:t>，</w:t>
            </w:r>
            <w:r>
              <w:rPr>
                <w:rFonts w:hint="eastAsia"/>
                <w:lang w:val="en-US" w:eastAsia="zh-CN"/>
              </w:rPr>
              <w:t>故仅预测项目昼间噪声排放情况</w:t>
            </w:r>
            <w:r>
              <w:rPr>
                <w:rFonts w:hint="eastAsia" w:ascii="宋体" w:hAnsi="宋体" w:eastAsia="宋体" w:cs="宋体"/>
                <w:lang w:val="en-US" w:eastAsia="zh-CN"/>
              </w:rPr>
              <w:t>。</w:t>
            </w:r>
            <w:r>
              <w:rPr>
                <w:rFonts w:hint="eastAsia"/>
                <w:lang w:val="en-US" w:eastAsia="zh-CN"/>
              </w:rPr>
              <w:t>项目厂界噪声排放预测结果见表4-13</w:t>
            </w:r>
          </w:p>
          <w:p>
            <w:pPr>
              <w:pStyle w:val="15"/>
              <w:keepNext w:val="0"/>
              <w:keepLines w:val="0"/>
              <w:pageBreakBefore w:val="0"/>
              <w:widowControl/>
              <w:kinsoku/>
              <w:wordWrap/>
              <w:overflowPunct/>
              <w:topLinePunct w:val="0"/>
              <w:autoSpaceDE/>
              <w:autoSpaceDN/>
              <w:bidi w:val="0"/>
              <w:adjustRightInd/>
              <w:snapToGrid/>
              <w:spacing w:before="0" w:beforeAutospacing="0" w:after="0" w:afterAutospacing="0" w:line="240" w:lineRule="auto"/>
              <w:jc w:val="center"/>
              <w:textAlignment w:val="auto"/>
              <w:outlineLvl w:val="0"/>
              <w:rPr>
                <w:rFonts w:hint="default" w:ascii="Times New Roman" w:hAnsi="Times New Roman" w:eastAsia="宋体" w:cs="Times New Roman"/>
                <w:b/>
                <w:bCs/>
                <w:color w:val="auto"/>
                <w:kern w:val="2"/>
                <w:sz w:val="21"/>
                <w:szCs w:val="21"/>
                <w:lang w:val="en-US" w:eastAsia="zh-CN" w:bidi="ar-SA"/>
              </w:rPr>
            </w:pPr>
            <w:r>
              <w:rPr>
                <w:rFonts w:hint="eastAsia" w:ascii="Times New Roman" w:hAnsi="Times New Roman" w:eastAsia="宋体" w:cs="Times New Roman"/>
                <w:b/>
                <w:bCs/>
                <w:color w:val="auto"/>
                <w:kern w:val="2"/>
                <w:sz w:val="21"/>
                <w:szCs w:val="21"/>
                <w:lang w:val="en-US" w:eastAsia="zh-CN" w:bidi="ar-SA"/>
              </w:rPr>
              <w:t>表4-13 项目厂界噪声排放预测结果 单位：dB（A）</w:t>
            </w:r>
          </w:p>
          <w:tbl>
            <w:tblPr>
              <w:tblStyle w:val="19"/>
              <w:tblW w:w="7822" w:type="dxa"/>
              <w:tblInd w:w="-11"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564"/>
              <w:gridCol w:w="1564"/>
              <w:gridCol w:w="1564"/>
              <w:gridCol w:w="1565"/>
              <w:gridCol w:w="156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564" w:type="dxa"/>
                  <w:tcBorders>
                    <w:tl2br w:val="nil"/>
                    <w:tr2bl w:val="nil"/>
                  </w:tcBorders>
                  <w:noWrap w:val="0"/>
                  <w:vAlign w:val="center"/>
                </w:tcPr>
                <w:p>
                  <w:pPr>
                    <w:pStyle w:val="26"/>
                    <w:bidi w:val="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厂界方位</w:t>
                  </w:r>
                </w:p>
              </w:tc>
              <w:tc>
                <w:tcPr>
                  <w:tcW w:w="1564" w:type="dxa"/>
                  <w:tcBorders>
                    <w:tl2br w:val="nil"/>
                    <w:tr2bl w:val="nil"/>
                  </w:tcBorders>
                  <w:noWrap w:val="0"/>
                  <w:vAlign w:val="center"/>
                </w:tcPr>
                <w:p>
                  <w:pPr>
                    <w:pStyle w:val="26"/>
                    <w:bidi w:val="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东</w:t>
                  </w:r>
                </w:p>
              </w:tc>
              <w:tc>
                <w:tcPr>
                  <w:tcW w:w="1564" w:type="dxa"/>
                  <w:tcBorders>
                    <w:tl2br w:val="nil"/>
                    <w:tr2bl w:val="nil"/>
                  </w:tcBorders>
                  <w:noWrap w:val="0"/>
                  <w:vAlign w:val="center"/>
                </w:tcPr>
                <w:p>
                  <w:pPr>
                    <w:pStyle w:val="26"/>
                    <w:bidi w:val="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南</w:t>
                  </w:r>
                </w:p>
              </w:tc>
              <w:tc>
                <w:tcPr>
                  <w:tcW w:w="1565" w:type="dxa"/>
                  <w:tcBorders>
                    <w:tl2br w:val="nil"/>
                    <w:tr2bl w:val="nil"/>
                  </w:tcBorders>
                  <w:noWrap w:val="0"/>
                  <w:vAlign w:val="center"/>
                </w:tcPr>
                <w:p>
                  <w:pPr>
                    <w:pStyle w:val="26"/>
                    <w:bidi w:val="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西</w:t>
                  </w:r>
                </w:p>
              </w:tc>
              <w:tc>
                <w:tcPr>
                  <w:tcW w:w="1565" w:type="dxa"/>
                  <w:tcBorders>
                    <w:tl2br w:val="nil"/>
                    <w:tr2bl w:val="nil"/>
                  </w:tcBorders>
                  <w:noWrap w:val="0"/>
                  <w:vAlign w:val="center"/>
                </w:tcPr>
                <w:p>
                  <w:pPr>
                    <w:pStyle w:val="26"/>
                    <w:bidi w:val="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北</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564" w:type="dxa"/>
                  <w:tcBorders>
                    <w:tl2br w:val="nil"/>
                    <w:tr2bl w:val="nil"/>
                  </w:tcBorders>
                  <w:noWrap w:val="0"/>
                  <w:vAlign w:val="center"/>
                </w:tcPr>
                <w:p>
                  <w:pPr>
                    <w:pStyle w:val="26"/>
                    <w:bidi w:val="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贡献值</w:t>
                  </w:r>
                </w:p>
              </w:tc>
              <w:tc>
                <w:tcPr>
                  <w:tcW w:w="1564"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kern w:val="2"/>
                      <w:sz w:val="21"/>
                      <w:szCs w:val="21"/>
                      <w:lang w:val="en-US" w:eastAsia="zh-CN" w:bidi="ar-SA"/>
                    </w:rPr>
                    <w:t>52.95</w:t>
                  </w:r>
                </w:p>
              </w:tc>
              <w:tc>
                <w:tcPr>
                  <w:tcW w:w="1564"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kern w:val="2"/>
                      <w:sz w:val="21"/>
                      <w:szCs w:val="21"/>
                      <w:lang w:val="en-US" w:eastAsia="zh-CN" w:bidi="ar-SA"/>
                    </w:rPr>
                    <w:t>39.67</w:t>
                  </w:r>
                </w:p>
              </w:tc>
              <w:tc>
                <w:tcPr>
                  <w:tcW w:w="156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kern w:val="2"/>
                      <w:sz w:val="21"/>
                      <w:szCs w:val="21"/>
                      <w:lang w:val="en-US" w:eastAsia="zh-CN" w:bidi="ar-SA"/>
                    </w:rPr>
                    <w:t>48.38</w:t>
                  </w:r>
                </w:p>
              </w:tc>
              <w:tc>
                <w:tcPr>
                  <w:tcW w:w="156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kern w:val="2"/>
                      <w:sz w:val="21"/>
                      <w:szCs w:val="21"/>
                      <w:lang w:val="en-US" w:eastAsia="zh-CN" w:bidi="ar-SA"/>
                    </w:rPr>
                    <w:t>51.71</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564" w:type="dxa"/>
                  <w:tcBorders>
                    <w:tl2br w:val="nil"/>
                    <w:tr2bl w:val="nil"/>
                  </w:tcBorders>
                  <w:noWrap w:val="0"/>
                  <w:vAlign w:val="center"/>
                </w:tcPr>
                <w:p>
                  <w:pPr>
                    <w:pStyle w:val="26"/>
                    <w:bidi w:val="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背景值</w:t>
                  </w:r>
                </w:p>
              </w:tc>
              <w:tc>
                <w:tcPr>
                  <w:tcW w:w="1564" w:type="dxa"/>
                  <w:tcBorders>
                    <w:tl2br w:val="nil"/>
                    <w:tr2bl w:val="nil"/>
                  </w:tcBorders>
                  <w:noWrap w:val="0"/>
                  <w:vAlign w:val="center"/>
                </w:tcPr>
                <w:p>
                  <w:pPr>
                    <w:pStyle w:val="26"/>
                    <w:bidi w:val="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rPr>
                    <w:t>49.8</w:t>
                  </w:r>
                  <w:r>
                    <w:rPr>
                      <w:rFonts w:hint="default" w:ascii="Times New Roman" w:hAnsi="Times New Roman" w:eastAsia="宋体" w:cs="Times New Roman"/>
                      <w:sz w:val="21"/>
                      <w:szCs w:val="21"/>
                      <w:lang w:val="en-US" w:eastAsia="zh-CN"/>
                    </w:rPr>
                    <w:t>0</w:t>
                  </w:r>
                </w:p>
              </w:tc>
              <w:tc>
                <w:tcPr>
                  <w:tcW w:w="1564" w:type="dxa"/>
                  <w:tcBorders>
                    <w:tl2br w:val="nil"/>
                    <w:tr2bl w:val="nil"/>
                  </w:tcBorders>
                  <w:noWrap w:val="0"/>
                  <w:vAlign w:val="center"/>
                </w:tcPr>
                <w:p>
                  <w:pPr>
                    <w:pStyle w:val="26"/>
                    <w:bidi w:val="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50.60</w:t>
                  </w:r>
                </w:p>
              </w:tc>
              <w:tc>
                <w:tcPr>
                  <w:tcW w:w="1565" w:type="dxa"/>
                  <w:tcBorders>
                    <w:tl2br w:val="nil"/>
                    <w:tr2bl w:val="nil"/>
                  </w:tcBorders>
                  <w:noWrap w:val="0"/>
                  <w:vAlign w:val="center"/>
                </w:tcPr>
                <w:p>
                  <w:pPr>
                    <w:pStyle w:val="26"/>
                    <w:bidi w:val="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51.70</w:t>
                  </w:r>
                </w:p>
              </w:tc>
              <w:tc>
                <w:tcPr>
                  <w:tcW w:w="1565" w:type="dxa"/>
                  <w:tcBorders>
                    <w:tl2br w:val="nil"/>
                    <w:tr2bl w:val="nil"/>
                  </w:tcBorders>
                  <w:noWrap w:val="0"/>
                  <w:vAlign w:val="center"/>
                </w:tcPr>
                <w:p>
                  <w:pPr>
                    <w:pStyle w:val="26"/>
                    <w:bidi w:val="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50.60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564" w:type="dxa"/>
                  <w:tcBorders>
                    <w:tl2br w:val="nil"/>
                    <w:tr2bl w:val="nil"/>
                  </w:tcBorders>
                  <w:noWrap w:val="0"/>
                  <w:vAlign w:val="center"/>
                </w:tcPr>
                <w:p>
                  <w:pPr>
                    <w:pStyle w:val="26"/>
                    <w:bidi w:val="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预测值</w:t>
                  </w:r>
                </w:p>
              </w:tc>
              <w:tc>
                <w:tcPr>
                  <w:tcW w:w="1564"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kern w:val="2"/>
                      <w:sz w:val="21"/>
                      <w:szCs w:val="21"/>
                      <w:lang w:val="en-US" w:eastAsia="zh-CN" w:bidi="ar-SA"/>
                    </w:rPr>
                    <w:t xml:space="preserve">54.66 </w:t>
                  </w:r>
                </w:p>
              </w:tc>
              <w:tc>
                <w:tcPr>
                  <w:tcW w:w="1564"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kern w:val="2"/>
                      <w:sz w:val="21"/>
                      <w:szCs w:val="21"/>
                      <w:lang w:val="en-US" w:eastAsia="zh-CN" w:bidi="ar-SA"/>
                    </w:rPr>
                    <w:t xml:space="preserve">50.94 </w:t>
                  </w:r>
                </w:p>
              </w:tc>
              <w:tc>
                <w:tcPr>
                  <w:tcW w:w="156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kern w:val="2"/>
                      <w:sz w:val="21"/>
                      <w:szCs w:val="21"/>
                      <w:lang w:val="en-US" w:eastAsia="zh-CN" w:bidi="ar-SA"/>
                    </w:rPr>
                    <w:t xml:space="preserve">53.36 </w:t>
                  </w:r>
                </w:p>
              </w:tc>
              <w:tc>
                <w:tcPr>
                  <w:tcW w:w="1565" w:type="dxa"/>
                  <w:tcBorders>
                    <w:tl2br w:val="nil"/>
                    <w:tr2bl w:val="nil"/>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kern w:val="2"/>
                      <w:sz w:val="21"/>
                      <w:szCs w:val="21"/>
                      <w:lang w:val="en-US" w:eastAsia="zh-CN" w:bidi="ar-SA"/>
                    </w:rPr>
                    <w:t xml:space="preserve">54.20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564" w:type="dxa"/>
                  <w:tcBorders>
                    <w:tl2br w:val="nil"/>
                    <w:tr2bl w:val="nil"/>
                  </w:tcBorders>
                  <w:noWrap w:val="0"/>
                  <w:vAlign w:val="center"/>
                </w:tcPr>
                <w:p>
                  <w:pPr>
                    <w:pStyle w:val="26"/>
                    <w:bidi w:val="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标准限值</w:t>
                  </w:r>
                </w:p>
              </w:tc>
              <w:tc>
                <w:tcPr>
                  <w:tcW w:w="1564" w:type="dxa"/>
                  <w:tcBorders>
                    <w:tl2br w:val="nil"/>
                    <w:tr2bl w:val="nil"/>
                  </w:tcBorders>
                  <w:noWrap w:val="0"/>
                  <w:vAlign w:val="center"/>
                </w:tcPr>
                <w:p>
                  <w:pPr>
                    <w:pStyle w:val="26"/>
                    <w:bidi w:val="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6</w:t>
                  </w:r>
                  <w:r>
                    <w:rPr>
                      <w:rFonts w:hint="eastAsia" w:ascii="Times New Roman" w:hAnsi="Times New Roman" w:eastAsia="宋体" w:cs="Times New Roman"/>
                      <w:sz w:val="21"/>
                      <w:szCs w:val="21"/>
                      <w:lang w:val="en-US" w:eastAsia="zh-CN"/>
                    </w:rPr>
                    <w:t>5</w:t>
                  </w:r>
                </w:p>
              </w:tc>
              <w:tc>
                <w:tcPr>
                  <w:tcW w:w="1564" w:type="dxa"/>
                  <w:tcBorders>
                    <w:tl2br w:val="nil"/>
                    <w:tr2bl w:val="nil"/>
                  </w:tcBorders>
                  <w:noWrap w:val="0"/>
                  <w:vAlign w:val="center"/>
                </w:tcPr>
                <w:p>
                  <w:pPr>
                    <w:bidi w:val="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6</w:t>
                  </w:r>
                  <w:r>
                    <w:rPr>
                      <w:rFonts w:hint="eastAsia" w:ascii="Times New Roman" w:hAnsi="Times New Roman" w:eastAsia="宋体" w:cs="Times New Roman"/>
                      <w:sz w:val="21"/>
                      <w:szCs w:val="21"/>
                      <w:lang w:val="en-US" w:eastAsia="zh-CN"/>
                    </w:rPr>
                    <w:t>5</w:t>
                  </w:r>
                </w:p>
              </w:tc>
              <w:tc>
                <w:tcPr>
                  <w:tcW w:w="1565" w:type="dxa"/>
                  <w:tcBorders>
                    <w:tl2br w:val="nil"/>
                    <w:tr2bl w:val="nil"/>
                  </w:tcBorders>
                  <w:noWrap w:val="0"/>
                  <w:vAlign w:val="center"/>
                </w:tcPr>
                <w:p>
                  <w:pPr>
                    <w:bidi w:val="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6</w:t>
                  </w:r>
                  <w:r>
                    <w:rPr>
                      <w:rFonts w:hint="eastAsia" w:ascii="Times New Roman" w:hAnsi="Times New Roman" w:eastAsia="宋体" w:cs="Times New Roman"/>
                      <w:sz w:val="21"/>
                      <w:szCs w:val="21"/>
                      <w:lang w:val="en-US" w:eastAsia="zh-CN"/>
                    </w:rPr>
                    <w:t>5</w:t>
                  </w:r>
                </w:p>
              </w:tc>
              <w:tc>
                <w:tcPr>
                  <w:tcW w:w="1565" w:type="dxa"/>
                  <w:tcBorders>
                    <w:tl2br w:val="nil"/>
                    <w:tr2bl w:val="nil"/>
                  </w:tcBorders>
                  <w:noWrap w:val="0"/>
                  <w:vAlign w:val="center"/>
                </w:tcPr>
                <w:p>
                  <w:pPr>
                    <w:bidi w:val="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6</w:t>
                  </w:r>
                  <w:r>
                    <w:rPr>
                      <w:rFonts w:hint="eastAsia" w:ascii="Times New Roman" w:hAnsi="Times New Roman" w:eastAsia="宋体" w:cs="Times New Roman"/>
                      <w:sz w:val="21"/>
                      <w:szCs w:val="21"/>
                      <w:lang w:val="en-US" w:eastAsia="zh-CN"/>
                    </w:rPr>
                    <w:t>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564" w:type="dxa"/>
                  <w:tcBorders>
                    <w:tl2br w:val="nil"/>
                    <w:tr2bl w:val="nil"/>
                  </w:tcBorders>
                  <w:noWrap w:val="0"/>
                  <w:vAlign w:val="center"/>
                </w:tcPr>
                <w:p>
                  <w:pPr>
                    <w:pStyle w:val="26"/>
                    <w:bidi w:val="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是否达标</w:t>
                  </w:r>
                </w:p>
              </w:tc>
              <w:tc>
                <w:tcPr>
                  <w:tcW w:w="1564" w:type="dxa"/>
                  <w:tcBorders>
                    <w:tl2br w:val="nil"/>
                    <w:tr2bl w:val="nil"/>
                  </w:tcBorders>
                  <w:noWrap w:val="0"/>
                  <w:vAlign w:val="center"/>
                </w:tcPr>
                <w:p>
                  <w:pPr>
                    <w:pStyle w:val="26"/>
                    <w:bidi w:val="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达标</w:t>
                  </w:r>
                </w:p>
              </w:tc>
              <w:tc>
                <w:tcPr>
                  <w:tcW w:w="1564" w:type="dxa"/>
                  <w:tcBorders>
                    <w:tl2br w:val="nil"/>
                    <w:tr2bl w:val="nil"/>
                  </w:tcBorders>
                  <w:noWrap w:val="0"/>
                  <w:vAlign w:val="center"/>
                </w:tcPr>
                <w:p>
                  <w:pPr>
                    <w:bidi w:val="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达标</w:t>
                  </w:r>
                </w:p>
              </w:tc>
              <w:tc>
                <w:tcPr>
                  <w:tcW w:w="1565" w:type="dxa"/>
                  <w:tcBorders>
                    <w:tl2br w:val="nil"/>
                    <w:tr2bl w:val="nil"/>
                  </w:tcBorders>
                  <w:noWrap w:val="0"/>
                  <w:vAlign w:val="center"/>
                </w:tcPr>
                <w:p>
                  <w:pPr>
                    <w:bidi w:val="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达标</w:t>
                  </w:r>
                </w:p>
              </w:tc>
              <w:tc>
                <w:tcPr>
                  <w:tcW w:w="1565" w:type="dxa"/>
                  <w:tcBorders>
                    <w:tl2br w:val="nil"/>
                    <w:tr2bl w:val="nil"/>
                  </w:tcBorders>
                  <w:noWrap w:val="0"/>
                  <w:vAlign w:val="center"/>
                </w:tcPr>
                <w:p>
                  <w:pPr>
                    <w:bidi w:val="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7822" w:type="dxa"/>
                  <w:gridSpan w:val="5"/>
                  <w:tcBorders>
                    <w:tl2br w:val="nil"/>
                    <w:tr2bl w:val="nil"/>
                  </w:tcBorders>
                  <w:noWrap w:val="0"/>
                  <w:vAlign w:val="center"/>
                </w:tcPr>
                <w:p>
                  <w:pPr>
                    <w:bidi w:val="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执行《工业企业厂界环境噪声排放标准》（GB12348-2008）表1中</w:t>
                  </w:r>
                  <w:r>
                    <w:rPr>
                      <w:rFonts w:hint="eastAsia" w:ascii="Times New Roman" w:hAnsi="Times New Roman" w:eastAsia="宋体" w:cs="Times New Roman"/>
                      <w:sz w:val="21"/>
                      <w:szCs w:val="21"/>
                      <w:lang w:val="en-US" w:eastAsia="zh-CN"/>
                    </w:rPr>
                    <w:t>3</w:t>
                  </w:r>
                  <w:r>
                    <w:rPr>
                      <w:rFonts w:hint="default" w:ascii="Times New Roman" w:hAnsi="Times New Roman" w:eastAsia="宋体" w:cs="Times New Roman"/>
                      <w:sz w:val="21"/>
                      <w:szCs w:val="21"/>
                      <w:lang w:val="en-US" w:eastAsia="zh-CN"/>
                    </w:rPr>
                    <w:t>类标准。</w:t>
                  </w:r>
                </w:p>
              </w:tc>
            </w:tr>
          </w:tbl>
          <w:p>
            <w:pPr>
              <w:pStyle w:val="25"/>
              <w:bidi w:val="0"/>
              <w:rPr>
                <w:rFonts w:hint="eastAsia"/>
                <w:lang w:val="en-US" w:eastAsia="zh-CN"/>
              </w:rPr>
            </w:pPr>
            <w:r>
              <w:rPr>
                <w:rFonts w:hint="eastAsia"/>
                <w:b w:val="0"/>
                <w:bCs w:val="0"/>
                <w:lang w:val="en-US" w:eastAsia="zh-CN"/>
              </w:rPr>
              <w:t>根据上述内容可知</w:t>
            </w:r>
            <w:r>
              <w:rPr>
                <w:rFonts w:hint="eastAsia" w:ascii="宋体" w:hAnsi="宋体" w:eastAsia="宋体" w:cs="宋体"/>
                <w:b w:val="0"/>
                <w:bCs w:val="0"/>
                <w:lang w:val="en-US" w:eastAsia="zh-CN"/>
              </w:rPr>
              <w:t>，</w:t>
            </w:r>
            <w:r>
              <w:rPr>
                <w:rFonts w:hint="eastAsia"/>
                <w:b w:val="0"/>
                <w:bCs w:val="0"/>
                <w:lang w:val="en-US" w:eastAsia="zh-CN"/>
              </w:rPr>
              <w:t>本项目运营期间</w:t>
            </w:r>
            <w:r>
              <w:rPr>
                <w:rFonts w:hint="eastAsia" w:ascii="宋体" w:hAnsi="宋体" w:eastAsia="宋体" w:cs="宋体"/>
                <w:b w:val="0"/>
                <w:bCs w:val="0"/>
                <w:lang w:val="en-US" w:eastAsia="zh-CN"/>
              </w:rPr>
              <w:t>，</w:t>
            </w:r>
            <w:r>
              <w:rPr>
                <w:rFonts w:hint="eastAsia"/>
                <w:b w:val="0"/>
                <w:bCs w:val="0"/>
                <w:lang w:val="en-US" w:eastAsia="zh-CN"/>
              </w:rPr>
              <w:t>厂界噪声排放符合</w:t>
            </w:r>
            <w:r>
              <w:rPr>
                <w:rFonts w:hint="eastAsia"/>
                <w:lang w:val="en-US" w:eastAsia="zh-CN"/>
              </w:rPr>
              <w:t>《工业企业厂界环境噪声排放标准》（GB12348-2008）表1中3类标准</w:t>
            </w:r>
            <w:r>
              <w:rPr>
                <w:rFonts w:hint="eastAsia" w:ascii="宋体" w:hAnsi="宋体" w:eastAsia="宋体" w:cs="宋体"/>
                <w:lang w:val="en-US" w:eastAsia="zh-CN"/>
              </w:rPr>
              <w:t>；</w:t>
            </w:r>
          </w:p>
          <w:p>
            <w:pPr>
              <w:pStyle w:val="25"/>
              <w:bidi w:val="0"/>
              <w:rPr>
                <w:rFonts w:hint="eastAsia"/>
                <w:lang w:val="en-US" w:eastAsia="zh-CN"/>
              </w:rPr>
            </w:pPr>
            <w:r>
              <w:rPr>
                <w:rFonts w:hint="eastAsia"/>
                <w:lang w:val="en-US" w:eastAsia="zh-CN"/>
              </w:rPr>
              <w:t>综上所述</w:t>
            </w:r>
            <w:r>
              <w:rPr>
                <w:rFonts w:hint="eastAsia" w:ascii="宋体" w:hAnsi="宋体" w:eastAsia="宋体" w:cs="宋体"/>
                <w:lang w:val="en-US" w:eastAsia="zh-CN"/>
              </w:rPr>
              <w:t>，</w:t>
            </w:r>
            <w:r>
              <w:rPr>
                <w:rFonts w:hint="eastAsia"/>
                <w:lang w:val="en-US" w:eastAsia="zh-CN"/>
              </w:rPr>
              <w:t>本项目噪声均为达标排放</w:t>
            </w:r>
            <w:r>
              <w:rPr>
                <w:rFonts w:hint="eastAsia" w:ascii="宋体" w:hAnsi="宋体" w:eastAsia="宋体" w:cs="宋体"/>
                <w:lang w:val="en-US" w:eastAsia="zh-CN"/>
              </w:rPr>
              <w:t>，</w:t>
            </w:r>
            <w:r>
              <w:rPr>
                <w:rFonts w:hint="eastAsia"/>
                <w:lang w:val="en-US" w:eastAsia="zh-CN"/>
              </w:rPr>
              <w:t>不会对项目所在区域声环境造成影响</w:t>
            </w:r>
            <w:r>
              <w:rPr>
                <w:rFonts w:hint="eastAsia" w:ascii="宋体" w:hAnsi="宋体" w:eastAsia="宋体" w:cs="宋体"/>
                <w:lang w:val="en-US" w:eastAsia="zh-CN"/>
              </w:rPr>
              <w:t>。</w:t>
            </w:r>
          </w:p>
          <w:p>
            <w:pPr>
              <w:pStyle w:val="25"/>
              <w:bidi w:val="0"/>
              <w:rPr>
                <w:rFonts w:hint="eastAsia"/>
                <w:lang w:val="en-US" w:eastAsia="zh-CN"/>
              </w:rPr>
            </w:pPr>
            <w:r>
              <w:rPr>
                <w:rFonts w:hint="eastAsia"/>
                <w:b/>
                <w:bCs/>
                <w:lang w:val="en-US" w:eastAsia="zh-CN"/>
              </w:rPr>
              <w:t>4、噪声监测计划</w:t>
            </w:r>
          </w:p>
          <w:p>
            <w:pPr>
              <w:pStyle w:val="25"/>
              <w:bidi w:val="0"/>
              <w:rPr>
                <w:rFonts w:hint="eastAsia"/>
                <w:lang w:val="en-US" w:eastAsia="zh-CN"/>
              </w:rPr>
            </w:pPr>
            <w:r>
              <w:rPr>
                <w:rFonts w:hint="eastAsia"/>
                <w:lang w:val="en-US" w:eastAsia="zh-CN"/>
              </w:rPr>
              <w:t>根据《排污单位自行监测技术指南 总则》（HJ819-2017）、</w:t>
            </w:r>
            <w:r>
              <w:rPr>
                <w:rFonts w:cs="宋体"/>
                <w:color w:val="auto"/>
                <w:sz w:val="24"/>
                <w:szCs w:val="24"/>
                <w:lang w:bidi="zh-CN"/>
              </w:rPr>
              <w:t>《排污许可证申请与核发技术规范 总则》（HJ 942-2018）</w:t>
            </w:r>
            <w:r>
              <w:rPr>
                <w:rFonts w:hint="eastAsia" w:ascii="宋体" w:hAnsi="宋体" w:eastAsia="宋体" w:cs="宋体"/>
                <w:lang w:val="en-US" w:eastAsia="zh-CN"/>
              </w:rPr>
              <w:t>，</w:t>
            </w:r>
            <w:r>
              <w:rPr>
                <w:rFonts w:hint="eastAsia"/>
                <w:lang w:val="en-US" w:eastAsia="zh-CN"/>
              </w:rPr>
              <w:t>本项目运营期噪声环境监测计划见表4-14</w:t>
            </w:r>
            <w:r>
              <w:rPr>
                <w:rFonts w:hint="eastAsia" w:ascii="宋体" w:hAnsi="宋体" w:eastAsia="宋体" w:cs="宋体"/>
                <w:lang w:val="en-US" w:eastAsia="zh-CN"/>
              </w:rPr>
              <w:t>。</w:t>
            </w:r>
          </w:p>
          <w:p>
            <w:pPr>
              <w:pStyle w:val="15"/>
              <w:keepNext w:val="0"/>
              <w:keepLines w:val="0"/>
              <w:pageBreakBefore w:val="0"/>
              <w:widowControl/>
              <w:kinsoku/>
              <w:wordWrap/>
              <w:overflowPunct/>
              <w:topLinePunct w:val="0"/>
              <w:autoSpaceDE/>
              <w:autoSpaceDN/>
              <w:bidi w:val="0"/>
              <w:adjustRightInd/>
              <w:snapToGrid/>
              <w:spacing w:before="0" w:beforeAutospacing="0" w:after="0" w:afterAutospacing="0" w:line="240" w:lineRule="auto"/>
              <w:jc w:val="center"/>
              <w:textAlignment w:val="auto"/>
              <w:outlineLvl w:val="0"/>
              <w:rPr>
                <w:rFonts w:hint="default" w:ascii="Times New Roman" w:hAnsi="Times New Roman" w:eastAsia="宋体" w:cs="Times New Roman"/>
                <w:b/>
                <w:bCs/>
                <w:color w:val="auto"/>
                <w:kern w:val="2"/>
                <w:sz w:val="21"/>
                <w:szCs w:val="21"/>
                <w:lang w:val="en-US" w:eastAsia="zh-CN" w:bidi="ar-SA"/>
              </w:rPr>
            </w:pPr>
            <w:r>
              <w:rPr>
                <w:rFonts w:hint="eastAsia" w:ascii="Times New Roman" w:hAnsi="Times New Roman" w:eastAsia="宋体" w:cs="Times New Roman"/>
                <w:b/>
                <w:bCs/>
                <w:color w:val="auto"/>
                <w:kern w:val="2"/>
                <w:sz w:val="21"/>
                <w:szCs w:val="21"/>
                <w:lang w:val="en-US" w:eastAsia="zh-CN" w:bidi="ar-SA"/>
              </w:rPr>
              <w:t>表4-14 项目运营期噪声环境监测计划</w:t>
            </w:r>
          </w:p>
          <w:tbl>
            <w:tblPr>
              <w:tblStyle w:val="19"/>
              <w:tblW w:w="7946" w:type="dxa"/>
              <w:tblInd w:w="-11"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692"/>
              <w:gridCol w:w="1297"/>
              <w:gridCol w:w="1468"/>
              <w:gridCol w:w="1093"/>
              <w:gridCol w:w="339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692" w:type="dxa"/>
                  <w:tcBorders>
                    <w:tl2br w:val="nil"/>
                    <w:tr2bl w:val="nil"/>
                  </w:tcBorders>
                  <w:noWrap w:val="0"/>
                  <w:vAlign w:val="center"/>
                </w:tcPr>
                <w:p>
                  <w:pPr>
                    <w:pStyle w:val="26"/>
                    <w:bidi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类型</w:t>
                  </w:r>
                </w:p>
              </w:tc>
              <w:tc>
                <w:tcPr>
                  <w:tcW w:w="1297" w:type="dxa"/>
                  <w:tcBorders>
                    <w:tl2br w:val="nil"/>
                    <w:tr2bl w:val="nil"/>
                  </w:tcBorders>
                  <w:noWrap w:val="0"/>
                  <w:vAlign w:val="center"/>
                </w:tcPr>
                <w:p>
                  <w:pPr>
                    <w:pStyle w:val="26"/>
                    <w:bidi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监测点位</w:t>
                  </w:r>
                </w:p>
              </w:tc>
              <w:tc>
                <w:tcPr>
                  <w:tcW w:w="1468" w:type="dxa"/>
                  <w:tcBorders>
                    <w:tl2br w:val="nil"/>
                    <w:tr2bl w:val="nil"/>
                  </w:tcBorders>
                  <w:noWrap w:val="0"/>
                  <w:vAlign w:val="center"/>
                </w:tcPr>
                <w:p>
                  <w:pPr>
                    <w:pStyle w:val="26"/>
                    <w:bidi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监测指标</w:t>
                  </w:r>
                </w:p>
              </w:tc>
              <w:tc>
                <w:tcPr>
                  <w:tcW w:w="1093" w:type="dxa"/>
                  <w:tcBorders>
                    <w:tl2br w:val="nil"/>
                    <w:tr2bl w:val="nil"/>
                  </w:tcBorders>
                  <w:noWrap w:val="0"/>
                  <w:vAlign w:val="center"/>
                </w:tcPr>
                <w:p>
                  <w:pPr>
                    <w:pStyle w:val="26"/>
                    <w:bidi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监测频次</w:t>
                  </w:r>
                </w:p>
              </w:tc>
              <w:tc>
                <w:tcPr>
                  <w:tcW w:w="3396" w:type="dxa"/>
                  <w:tcBorders>
                    <w:tl2br w:val="nil"/>
                    <w:tr2bl w:val="nil"/>
                  </w:tcBorders>
                  <w:noWrap w:val="0"/>
                  <w:vAlign w:val="center"/>
                </w:tcPr>
                <w:p>
                  <w:pPr>
                    <w:pStyle w:val="26"/>
                    <w:bidi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执行标准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692" w:type="dxa"/>
                  <w:tcBorders>
                    <w:tl2br w:val="nil"/>
                    <w:tr2bl w:val="nil"/>
                  </w:tcBorders>
                  <w:noWrap w:val="0"/>
                  <w:vAlign w:val="center"/>
                </w:tcPr>
                <w:p>
                  <w:pPr>
                    <w:pStyle w:val="26"/>
                    <w:bidi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昼间噪声</w:t>
                  </w:r>
                </w:p>
              </w:tc>
              <w:tc>
                <w:tcPr>
                  <w:tcW w:w="1297" w:type="dxa"/>
                  <w:tcBorders>
                    <w:tl2br w:val="nil"/>
                    <w:tr2bl w:val="nil"/>
                  </w:tcBorders>
                  <w:noWrap w:val="0"/>
                  <w:vAlign w:val="center"/>
                </w:tcPr>
                <w:p>
                  <w:pPr>
                    <w:pStyle w:val="26"/>
                    <w:bidi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厂界</w:t>
                  </w:r>
                </w:p>
              </w:tc>
              <w:tc>
                <w:tcPr>
                  <w:tcW w:w="1468" w:type="dxa"/>
                  <w:tcBorders>
                    <w:tl2br w:val="nil"/>
                    <w:tr2bl w:val="nil"/>
                  </w:tcBorders>
                  <w:noWrap w:val="0"/>
                  <w:vAlign w:val="center"/>
                </w:tcPr>
                <w:p>
                  <w:pPr>
                    <w:pStyle w:val="26"/>
                    <w:bidi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等效A声级</w:t>
                  </w:r>
                </w:p>
              </w:tc>
              <w:tc>
                <w:tcPr>
                  <w:tcW w:w="1093" w:type="dxa"/>
                  <w:tcBorders>
                    <w:tl2br w:val="nil"/>
                    <w:tr2bl w:val="nil"/>
                  </w:tcBorders>
                  <w:noWrap w:val="0"/>
                  <w:vAlign w:val="center"/>
                </w:tcPr>
                <w:p>
                  <w:pPr>
                    <w:pStyle w:val="26"/>
                    <w:bidi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1次/季度</w:t>
                  </w:r>
                </w:p>
              </w:tc>
              <w:tc>
                <w:tcPr>
                  <w:tcW w:w="3396" w:type="dxa"/>
                  <w:tcBorders>
                    <w:tl2br w:val="nil"/>
                    <w:tr2bl w:val="nil"/>
                  </w:tcBorders>
                  <w:noWrap w:val="0"/>
                  <w:vAlign w:val="center"/>
                </w:tcPr>
                <w:p>
                  <w:pPr>
                    <w:pStyle w:val="26"/>
                    <w:bidi w:val="0"/>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《工业企业厂界环境噪声排放标准》（GB12348-2008）表1中3类标准</w:t>
                  </w:r>
                </w:p>
              </w:tc>
            </w:tr>
          </w:tbl>
          <w:p>
            <w:pPr>
              <w:pStyle w:val="25"/>
              <w:numPr>
                <w:ilvl w:val="0"/>
                <w:numId w:val="9"/>
              </w:numPr>
              <w:bidi w:val="0"/>
              <w:rPr>
                <w:rFonts w:hint="eastAsia"/>
                <w:b/>
                <w:bCs/>
                <w:lang w:val="en-US" w:eastAsia="zh-CN"/>
              </w:rPr>
            </w:pPr>
            <w:r>
              <w:rPr>
                <w:rFonts w:hint="eastAsia"/>
                <w:b/>
                <w:bCs/>
                <w:lang w:val="en-US" w:eastAsia="zh-CN"/>
              </w:rPr>
              <w:t>固体废物</w:t>
            </w:r>
          </w:p>
          <w:p>
            <w:pPr>
              <w:pageBreakBefore w:val="0"/>
              <w:kinsoku/>
              <w:overflowPunct/>
              <w:bidi w:val="0"/>
              <w:ind w:firstLine="482" w:firstLineChars="200"/>
              <w:rPr>
                <w:rFonts w:hint="default" w:ascii="Times New Roman" w:hAnsi="Times New Roman" w:eastAsia="宋体" w:cs="Times New Roman"/>
                <w:color w:val="auto"/>
                <w:sz w:val="24"/>
                <w:szCs w:val="24"/>
                <w:u w:val="none" w:color="auto"/>
              </w:rPr>
            </w:pPr>
            <w:r>
              <w:rPr>
                <w:rFonts w:hint="eastAsia"/>
                <w:b/>
                <w:bCs/>
                <w:lang w:val="en-US" w:eastAsia="zh-CN"/>
              </w:rPr>
              <w:t>1、固体废物分析及处置情况</w:t>
            </w:r>
          </w:p>
          <w:p>
            <w:pPr>
              <w:pageBreakBefore w:val="0"/>
              <w:kinsoku/>
              <w:overflowPunct/>
              <w:bidi w:val="0"/>
              <w:ind w:firstLine="480" w:firstLineChars="200"/>
              <w:rPr>
                <w:rFonts w:hint="default" w:ascii="Times New Roman" w:hAnsi="Times New Roman" w:eastAsia="宋体" w:cs="Times New Roman"/>
                <w:color w:val="auto"/>
                <w:sz w:val="24"/>
                <w:szCs w:val="24"/>
                <w:u w:val="none" w:color="auto"/>
                <w:lang w:val="en-US" w:eastAsia="zh-CN"/>
              </w:rPr>
            </w:pPr>
            <w:r>
              <w:rPr>
                <w:rFonts w:hint="default" w:ascii="Times New Roman" w:hAnsi="Times New Roman" w:eastAsia="宋体" w:cs="Times New Roman"/>
                <w:color w:val="auto"/>
                <w:sz w:val="24"/>
                <w:szCs w:val="24"/>
                <w:u w:val="none" w:color="auto"/>
              </w:rPr>
              <w:t>项目固体废弃物主要分三类：一般工业固体废弃物、危险废物和生活垃圾，其中，一般工业固体废弃物分为可回收固体废物和不可利用固体废物，可回收固体废物包括钢材等金属和塑料、橡胶、玻璃等非金属以及可利用零部件</w:t>
            </w:r>
            <w:r>
              <w:rPr>
                <w:rFonts w:hint="eastAsia" w:cs="Times New Roman"/>
                <w:color w:val="auto"/>
                <w:sz w:val="24"/>
                <w:szCs w:val="24"/>
                <w:u w:val="none" w:color="auto"/>
                <w:lang w:eastAsia="zh-CN"/>
              </w:rPr>
              <w:t>、五大总成、动力电池等</w:t>
            </w:r>
            <w:r>
              <w:rPr>
                <w:rFonts w:hint="default" w:ascii="Times New Roman" w:hAnsi="Times New Roman" w:eastAsia="宋体" w:cs="Times New Roman"/>
                <w:color w:val="auto"/>
                <w:sz w:val="24"/>
                <w:szCs w:val="24"/>
                <w:u w:val="none" w:color="auto"/>
              </w:rPr>
              <w:t>。危险废物包括废油液、废制冷剂、废蓄电池、废电容电路板、废尾气净化装置等。项目定员人数为</w:t>
            </w:r>
            <w:r>
              <w:rPr>
                <w:rFonts w:hint="eastAsia" w:cs="Times New Roman"/>
                <w:color w:val="auto"/>
                <w:sz w:val="24"/>
                <w:szCs w:val="24"/>
                <w:u w:val="none" w:color="auto"/>
                <w:lang w:val="en-US" w:eastAsia="zh-CN"/>
              </w:rPr>
              <w:t>35</w:t>
            </w:r>
            <w:r>
              <w:rPr>
                <w:rFonts w:hint="default" w:ascii="Times New Roman" w:hAnsi="Times New Roman" w:eastAsia="宋体" w:cs="Times New Roman"/>
                <w:color w:val="auto"/>
                <w:sz w:val="24"/>
                <w:szCs w:val="24"/>
                <w:u w:val="none" w:color="auto"/>
              </w:rPr>
              <w:t>人，生活垃圾产生量按每人每天0.5kg计，则生活垃圾产生总量为</w:t>
            </w:r>
            <w:r>
              <w:rPr>
                <w:rFonts w:hint="eastAsia" w:cs="Times New Roman"/>
                <w:color w:val="auto"/>
                <w:sz w:val="24"/>
                <w:szCs w:val="24"/>
                <w:u w:val="none" w:color="auto"/>
                <w:lang w:val="en-US" w:eastAsia="zh-CN"/>
              </w:rPr>
              <w:t>17.5</w:t>
            </w:r>
            <w:r>
              <w:rPr>
                <w:rFonts w:hint="default" w:ascii="Times New Roman" w:hAnsi="Times New Roman" w:eastAsia="宋体" w:cs="Times New Roman"/>
                <w:color w:val="auto"/>
                <w:sz w:val="24"/>
                <w:szCs w:val="24"/>
                <w:u w:val="none" w:color="auto"/>
              </w:rPr>
              <w:t>kg/d，</w:t>
            </w:r>
            <w:r>
              <w:rPr>
                <w:rFonts w:hint="eastAsia" w:cs="Times New Roman"/>
                <w:color w:val="auto"/>
                <w:sz w:val="24"/>
                <w:szCs w:val="24"/>
                <w:u w:val="none" w:color="auto"/>
                <w:lang w:val="en-US" w:eastAsia="zh-CN"/>
              </w:rPr>
              <w:t>5.25</w:t>
            </w:r>
            <w:r>
              <w:rPr>
                <w:rFonts w:hint="default" w:ascii="Times New Roman" w:hAnsi="Times New Roman" w:eastAsia="宋体" w:cs="Times New Roman"/>
                <w:color w:val="auto"/>
                <w:sz w:val="24"/>
                <w:szCs w:val="24"/>
                <w:u w:val="none" w:color="auto"/>
              </w:rPr>
              <w:t>t/a，由环卫部门统一处理。</w:t>
            </w:r>
            <w:r>
              <w:rPr>
                <w:rFonts w:hint="eastAsia" w:cs="Times New Roman"/>
                <w:color w:val="auto"/>
                <w:sz w:val="24"/>
                <w:szCs w:val="24"/>
                <w:u w:val="none" w:color="auto"/>
                <w:lang w:val="en-US" w:eastAsia="zh-CN"/>
              </w:rPr>
              <w:t>本</w:t>
            </w:r>
            <w:r>
              <w:rPr>
                <w:rFonts w:hint="default" w:cs="Times New Roman"/>
                <w:color w:val="auto"/>
                <w:sz w:val="24"/>
                <w:szCs w:val="24"/>
                <w:u w:val="none" w:color="auto"/>
                <w:lang w:eastAsia="zh-CN"/>
              </w:rPr>
              <w:t>项目</w:t>
            </w:r>
            <w:r>
              <w:rPr>
                <w:rFonts w:hint="default" w:ascii="Times New Roman" w:hAnsi="Times New Roman" w:eastAsia="宋体" w:cs="Times New Roman"/>
                <w:color w:val="auto"/>
                <w:sz w:val="24"/>
                <w:szCs w:val="24"/>
                <w:u w:val="none" w:color="auto"/>
              </w:rPr>
              <w:t>固废汇总详见表</w:t>
            </w:r>
            <w:r>
              <w:rPr>
                <w:rFonts w:hint="default" w:ascii="Times New Roman" w:hAnsi="Times New Roman" w:eastAsia="宋体" w:cs="Times New Roman"/>
                <w:color w:val="auto"/>
                <w:sz w:val="24"/>
                <w:szCs w:val="24"/>
                <w:u w:val="none" w:color="auto"/>
                <w:lang w:val="en-US" w:eastAsia="zh-CN"/>
              </w:rPr>
              <w:t>4-1</w:t>
            </w:r>
            <w:r>
              <w:rPr>
                <w:rFonts w:hint="eastAsia" w:cs="Times New Roman"/>
                <w:color w:val="auto"/>
                <w:sz w:val="24"/>
                <w:szCs w:val="24"/>
                <w:u w:val="none" w:color="auto"/>
                <w:lang w:val="en-US" w:eastAsia="zh-CN"/>
              </w:rPr>
              <w:t>5</w:t>
            </w:r>
            <w:r>
              <w:rPr>
                <w:rFonts w:hint="default" w:ascii="Times New Roman" w:hAnsi="Times New Roman" w:eastAsia="宋体" w:cs="Times New Roman"/>
                <w:color w:val="auto"/>
                <w:sz w:val="24"/>
                <w:szCs w:val="24"/>
                <w:u w:val="none" w:color="auto"/>
                <w:lang w:val="en-US" w:eastAsia="zh-CN"/>
              </w:rPr>
              <w:t>。</w:t>
            </w:r>
          </w:p>
          <w:p>
            <w:pPr>
              <w:pStyle w:val="15"/>
              <w:keepNext w:val="0"/>
              <w:keepLines w:val="0"/>
              <w:pageBreakBefore w:val="0"/>
              <w:widowControl/>
              <w:kinsoku/>
              <w:wordWrap/>
              <w:overflowPunct/>
              <w:topLinePunct w:val="0"/>
              <w:autoSpaceDE/>
              <w:autoSpaceDN/>
              <w:bidi w:val="0"/>
              <w:adjustRightInd/>
              <w:snapToGrid/>
              <w:spacing w:before="0" w:beforeAutospacing="0" w:after="0" w:afterAutospacing="0" w:line="240" w:lineRule="auto"/>
              <w:jc w:val="center"/>
              <w:textAlignment w:val="auto"/>
              <w:outlineLvl w:val="0"/>
              <w:rPr>
                <w:rFonts w:hint="default" w:ascii="Times New Roman" w:hAnsi="Times New Roman" w:eastAsia="宋体" w:cs="Times New Roman"/>
                <w:b/>
                <w:bCs/>
                <w:color w:val="auto"/>
                <w:kern w:val="2"/>
                <w:sz w:val="21"/>
                <w:szCs w:val="21"/>
                <w:lang w:val="en-US" w:eastAsia="zh-CN" w:bidi="ar-SA"/>
              </w:rPr>
            </w:pPr>
            <w:r>
              <w:rPr>
                <w:rFonts w:hint="default" w:ascii="Times New Roman" w:hAnsi="Times New Roman" w:eastAsia="宋体" w:cs="Times New Roman"/>
                <w:b/>
                <w:bCs/>
                <w:color w:val="auto"/>
                <w:kern w:val="2"/>
                <w:sz w:val="21"/>
                <w:szCs w:val="21"/>
                <w:lang w:val="en-US" w:eastAsia="zh-CN" w:bidi="ar-SA"/>
              </w:rPr>
              <w:t>表4-1</w:t>
            </w:r>
            <w:r>
              <w:rPr>
                <w:rFonts w:hint="eastAsia" w:ascii="Times New Roman" w:hAnsi="Times New Roman" w:eastAsia="宋体" w:cs="Times New Roman"/>
                <w:b/>
                <w:bCs/>
                <w:color w:val="auto"/>
                <w:kern w:val="2"/>
                <w:sz w:val="21"/>
                <w:szCs w:val="21"/>
                <w:lang w:val="en-US" w:eastAsia="zh-CN" w:bidi="ar-SA"/>
              </w:rPr>
              <w:t xml:space="preserve">5 </w:t>
            </w:r>
            <w:r>
              <w:rPr>
                <w:rFonts w:hint="default" w:ascii="Times New Roman" w:hAnsi="Times New Roman" w:eastAsia="宋体" w:cs="Times New Roman"/>
                <w:b/>
                <w:bCs/>
                <w:color w:val="auto"/>
                <w:kern w:val="2"/>
                <w:sz w:val="21"/>
                <w:szCs w:val="21"/>
                <w:lang w:val="en-US" w:eastAsia="zh-CN" w:bidi="ar-SA"/>
              </w:rPr>
              <w:t xml:space="preserve"> 项目固体废物汇总一览表</w:t>
            </w:r>
          </w:p>
          <w:tbl>
            <w:tblPr>
              <w:tblStyle w:val="18"/>
              <w:tblW w:w="0" w:type="auto"/>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0" w:type="dxa"/>
                <w:bottom w:w="0" w:type="dxa"/>
                <w:right w:w="0" w:type="dxa"/>
              </w:tblCellMar>
            </w:tblPr>
            <w:tblGrid>
              <w:gridCol w:w="432"/>
              <w:gridCol w:w="1711"/>
              <w:gridCol w:w="2362"/>
              <w:gridCol w:w="422"/>
              <w:gridCol w:w="672"/>
              <w:gridCol w:w="986"/>
              <w:gridCol w:w="1451"/>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分类</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固体名称</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eastAsia" w:ascii="Times New Roman" w:hAnsi="Times New Roman" w:eastAsia="宋体" w:cs="Times New Roman"/>
                      <w:b w:val="0"/>
                      <w:bCs w:val="0"/>
                      <w:color w:val="auto"/>
                      <w:sz w:val="21"/>
                      <w:szCs w:val="21"/>
                      <w:u w:val="none" w:color="auto"/>
                      <w:lang w:val="en-US" w:eastAsia="zh-CN"/>
                    </w:rPr>
                    <w:t>固废属性及代码</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物理形态</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default" w:ascii="Times New Roman" w:hAnsi="Times New Roman" w:eastAsia="宋体" w:cs="Times New Roman"/>
                      <w:b w:val="0"/>
                      <w:bCs w:val="0"/>
                      <w:color w:val="auto"/>
                      <w:sz w:val="21"/>
                      <w:szCs w:val="21"/>
                      <w:u w:val="none" w:color="auto"/>
                    </w:rPr>
                    <w:t>产生量</w:t>
                  </w:r>
                  <w:r>
                    <w:rPr>
                      <w:rFonts w:hint="default" w:ascii="Times New Roman" w:hAnsi="Times New Roman" w:eastAsia="宋体" w:cs="Times New Roman"/>
                      <w:b w:val="0"/>
                      <w:bCs w:val="0"/>
                      <w:color w:val="auto"/>
                      <w:sz w:val="21"/>
                      <w:szCs w:val="21"/>
                      <w:u w:val="none" w:color="auto"/>
                      <w:lang w:val="en-US" w:eastAsia="zh-CN"/>
                    </w:rPr>
                    <w:t>t/a</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暂存方式</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处置方式</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eastAsia" w:cs="Times New Roman"/>
                      <w:b w:val="0"/>
                      <w:bCs w:val="0"/>
                      <w:color w:val="auto"/>
                      <w:sz w:val="21"/>
                      <w:szCs w:val="21"/>
                      <w:u w:val="none" w:color="auto"/>
                      <w:lang w:val="en-US" w:eastAsia="zh-CN"/>
                    </w:rPr>
                    <w:t>生活垃圾</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eastAsia" w:cs="Times New Roman"/>
                      <w:b w:val="0"/>
                      <w:bCs w:val="0"/>
                      <w:color w:val="auto"/>
                      <w:sz w:val="21"/>
                      <w:szCs w:val="21"/>
                      <w:u w:val="none" w:color="auto"/>
                      <w:lang w:val="en-US" w:eastAsia="zh-CN"/>
                    </w:rPr>
                    <w:t>生活垃圾</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eastAsia" w:cs="Times New Roman"/>
                      <w:b w:val="0"/>
                      <w:bCs w:val="0"/>
                      <w:color w:val="auto"/>
                      <w:sz w:val="21"/>
                      <w:szCs w:val="21"/>
                      <w:u w:val="none" w:color="auto"/>
                      <w:lang w:val="en-US" w:eastAsia="zh-CN"/>
                    </w:rPr>
                  </w:pPr>
                  <w:r>
                    <w:rPr>
                      <w:rFonts w:hint="eastAsia" w:ascii="Times New Roman" w:hAnsi="Times New Roman" w:cs="Times New Roman"/>
                      <w:color w:val="auto"/>
                      <w:szCs w:val="24"/>
                      <w:u w:val="none"/>
                      <w:lang w:val="en-US" w:eastAsia="zh-CN"/>
                    </w:rPr>
                    <w:t>-</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eastAsia" w:ascii="Times New Roman" w:hAnsi="Times New Roman" w:eastAsia="宋体" w:cs="Times New Roman"/>
                      <w:b w:val="0"/>
                      <w:bCs w:val="0"/>
                      <w:color w:val="auto"/>
                      <w:sz w:val="21"/>
                      <w:szCs w:val="21"/>
                      <w:u w:val="none" w:color="auto"/>
                      <w:lang w:val="en-US" w:eastAsia="zh-CN"/>
                    </w:rPr>
                  </w:pPr>
                  <w:r>
                    <w:rPr>
                      <w:rFonts w:hint="eastAsia" w:cs="Times New Roman"/>
                      <w:b w:val="0"/>
                      <w:bCs w:val="0"/>
                      <w:color w:val="auto"/>
                      <w:sz w:val="21"/>
                      <w:szCs w:val="21"/>
                      <w:u w:val="none" w:color="auto"/>
                      <w:lang w:val="en-US" w:eastAsia="zh-CN"/>
                    </w:rPr>
                    <w:t>固态</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default" w:ascii="Times New Roman" w:hAnsi="Times New Roman" w:eastAsia="宋体" w:cs="Times New Roman"/>
                      <w:b w:val="0"/>
                      <w:bCs w:val="0"/>
                      <w:color w:val="auto"/>
                      <w:sz w:val="21"/>
                      <w:szCs w:val="21"/>
                      <w:u w:val="none" w:color="auto"/>
                      <w:lang w:val="en-US" w:eastAsia="zh-CN"/>
                    </w:rPr>
                    <w:t>5.25</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eastAsia" w:ascii="Times New Roman" w:hAnsi="Times New Roman" w:eastAsia="宋体" w:cs="Times New Roman"/>
                      <w:b w:val="0"/>
                      <w:bCs w:val="0"/>
                      <w:color w:val="auto"/>
                      <w:sz w:val="21"/>
                      <w:szCs w:val="21"/>
                      <w:u w:val="none" w:color="auto"/>
                      <w:lang w:val="en-US" w:eastAsia="zh-CN"/>
                    </w:rPr>
                  </w:pPr>
                  <w:r>
                    <w:rPr>
                      <w:rFonts w:hint="eastAsia" w:cs="Times New Roman"/>
                      <w:b w:val="0"/>
                      <w:bCs w:val="0"/>
                      <w:color w:val="auto"/>
                      <w:sz w:val="21"/>
                      <w:szCs w:val="21"/>
                      <w:u w:val="none" w:color="auto"/>
                      <w:lang w:val="en-US" w:eastAsia="zh-CN"/>
                    </w:rPr>
                    <w:t>垃圾桶</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eastAsia" w:cs="Times New Roman"/>
                      <w:b w:val="0"/>
                      <w:bCs w:val="0"/>
                      <w:color w:val="auto"/>
                      <w:sz w:val="21"/>
                      <w:szCs w:val="21"/>
                      <w:u w:val="none" w:color="auto"/>
                      <w:lang w:val="en-US" w:eastAsia="zh-CN"/>
                    </w:rPr>
                    <w:t>交环卫部门处理</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0" w:type="auto"/>
                  <w:vMerge w:val="restar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eastAsia" w:cs="Times New Roman"/>
                      <w:b w:val="0"/>
                      <w:bCs w:val="0"/>
                      <w:color w:val="auto"/>
                      <w:sz w:val="21"/>
                      <w:szCs w:val="21"/>
                      <w:u w:val="none" w:color="auto"/>
                      <w:lang w:val="en-US" w:eastAsia="zh-CN"/>
                    </w:rPr>
                    <w:t>一般固废</w:t>
                  </w:r>
                </w:p>
              </w:tc>
              <w:tc>
                <w:tcPr>
                  <w:tcW w:w="0" w:type="auto"/>
                  <w:tcBorders>
                    <w:tl2br w:val="nil"/>
                    <w:tr2bl w:val="nil"/>
                  </w:tcBorders>
                  <w:vAlign w:val="center"/>
                </w:tcPr>
                <w:p>
                  <w:pPr>
                    <w:pStyle w:val="30"/>
                    <w:keepNext w:val="0"/>
                    <w:keepLines w:val="0"/>
                    <w:pageBreakBefore w:val="0"/>
                    <w:kinsoku/>
                    <w:wordWrap/>
                    <w:overflowPunct/>
                    <w:topLinePunct w:val="0"/>
                    <w:bidi w:val="0"/>
                    <w:adjustRightInd/>
                    <w:spacing w:line="240" w:lineRule="auto"/>
                    <w:ind w:left="0" w:leftChars="0" w:right="0" w:rightChars="0" w:firstLine="0" w:firstLineChars="0"/>
                    <w:jc w:val="center"/>
                    <w:outlineLvl w:val="9"/>
                    <w:rPr>
                      <w:rFonts w:hint="eastAsia" w:ascii="Times New Roman" w:hAnsi="Times New Roman" w:cs="Times New Roman" w:eastAsiaTheme="minorEastAsia"/>
                      <w:b w:val="0"/>
                      <w:bCs w:val="0"/>
                      <w:color w:val="auto"/>
                      <w:kern w:val="2"/>
                      <w:sz w:val="21"/>
                      <w:szCs w:val="21"/>
                      <w:u w:color="auto"/>
                      <w:lang w:val="en-US" w:eastAsia="zh-CN" w:bidi="ar-SA"/>
                    </w:rPr>
                  </w:pPr>
                  <w:r>
                    <w:rPr>
                      <w:rFonts w:hint="default" w:ascii="Times New Roman" w:hAnsi="Times New Roman" w:cs="Times New Roman" w:eastAsiaTheme="minorEastAsia"/>
                      <w:b w:val="0"/>
                      <w:bCs w:val="0"/>
                      <w:color w:val="auto"/>
                      <w:sz w:val="21"/>
                      <w:szCs w:val="21"/>
                      <w:u w:color="auto"/>
                      <w:lang w:val="en-US"/>
                    </w:rPr>
                    <w:t>不可利用废物</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eastAsia" w:ascii="Times New Roman" w:hAnsi="Times New Roman" w:cs="Times New Roman" w:eastAsiaTheme="minorEastAsia"/>
                      <w:b w:val="0"/>
                      <w:bCs w:val="0"/>
                      <w:color w:val="auto"/>
                      <w:sz w:val="21"/>
                      <w:szCs w:val="21"/>
                      <w:u w:color="auto"/>
                      <w:lang w:val="en-US" w:eastAsia="zh-CN"/>
                    </w:rPr>
                  </w:pPr>
                  <w:r>
                    <w:rPr>
                      <w:rFonts w:hint="eastAsia" w:ascii="Times New Roman" w:hAnsi="Times New Roman" w:cs="Times New Roman" w:eastAsiaTheme="minorEastAsia"/>
                      <w:b w:val="0"/>
                      <w:bCs w:val="0"/>
                      <w:color w:val="auto"/>
                      <w:sz w:val="21"/>
                      <w:szCs w:val="21"/>
                      <w:u w:color="auto"/>
                      <w:lang w:val="en-US" w:eastAsia="zh-CN"/>
                    </w:rPr>
                    <w:t>一般工业固废</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eastAsia" w:ascii="Times New Roman" w:hAnsi="Times New Roman" w:eastAsia="宋体" w:cs="Times New Roman"/>
                      <w:b w:val="0"/>
                      <w:bCs w:val="0"/>
                      <w:color w:val="auto"/>
                      <w:kern w:val="2"/>
                      <w:sz w:val="21"/>
                      <w:szCs w:val="21"/>
                      <w:u w:val="none" w:color="auto"/>
                      <w:lang w:val="en-US" w:eastAsia="zh-CN" w:bidi="ar-SA"/>
                    </w:rPr>
                  </w:pPr>
                  <w:r>
                    <w:rPr>
                      <w:rFonts w:hint="eastAsia" w:ascii="Times New Roman" w:hAnsi="Times New Roman" w:eastAsia="宋体" w:cs="Times New Roman"/>
                      <w:b w:val="0"/>
                      <w:bCs w:val="0"/>
                      <w:color w:val="auto"/>
                      <w:sz w:val="21"/>
                      <w:szCs w:val="21"/>
                      <w:u w:val="none" w:color="auto"/>
                      <w:lang w:val="en-US" w:eastAsia="zh-CN"/>
                    </w:rPr>
                    <w:t>固态</w:t>
                  </w:r>
                </w:p>
              </w:tc>
              <w:tc>
                <w:tcPr>
                  <w:tcW w:w="0" w:type="auto"/>
                  <w:tcBorders>
                    <w:tl2br w:val="nil"/>
                    <w:tr2bl w:val="nil"/>
                  </w:tcBorders>
                  <w:vAlign w:val="center"/>
                </w:tcPr>
                <w:p>
                  <w:pPr>
                    <w:keepNext w:val="0"/>
                    <w:keepLines w:val="0"/>
                    <w:pageBreakBefore w:val="0"/>
                    <w:widowControl/>
                    <w:suppressLineNumbers w:val="0"/>
                    <w:kinsoku/>
                    <w:wordWrap/>
                    <w:overflowPunct/>
                    <w:topLinePunct w:val="0"/>
                    <w:bidi w:val="0"/>
                    <w:adjustRightInd/>
                    <w:spacing w:line="240" w:lineRule="auto"/>
                    <w:ind w:left="0" w:leftChars="0" w:right="0" w:rightChars="0"/>
                    <w:jc w:val="center"/>
                    <w:textAlignment w:val="center"/>
                    <w:outlineLvl w:val="9"/>
                    <w:rPr>
                      <w:rFonts w:hint="default" w:ascii="Times New Roman" w:hAnsi="Times New Roman" w:eastAsia="宋体" w:cs="Times New Roman"/>
                      <w:b w:val="0"/>
                      <w:bCs w:val="0"/>
                      <w:i w:val="0"/>
                      <w:iCs w:val="0"/>
                      <w:color w:val="auto"/>
                      <w:kern w:val="0"/>
                      <w:sz w:val="21"/>
                      <w:szCs w:val="21"/>
                      <w:u w:val="none" w:color="auto"/>
                      <w:lang w:val="en-US" w:eastAsia="zh-CN" w:bidi="ar"/>
                    </w:rPr>
                  </w:pPr>
                  <w:r>
                    <w:rPr>
                      <w:rFonts w:hint="eastAsia" w:cs="Times New Roman"/>
                      <w:b w:val="0"/>
                      <w:bCs w:val="0"/>
                      <w:i w:val="0"/>
                      <w:iCs w:val="0"/>
                      <w:color w:val="auto"/>
                      <w:kern w:val="0"/>
                      <w:sz w:val="21"/>
                      <w:szCs w:val="21"/>
                      <w:u w:val="none" w:color="auto"/>
                      <w:lang w:val="en-US" w:eastAsia="zh-CN" w:bidi="ar"/>
                    </w:rPr>
                    <w:t>552</w:t>
                  </w:r>
                </w:p>
              </w:tc>
              <w:tc>
                <w:tcPr>
                  <w:tcW w:w="0" w:type="auto"/>
                  <w:vMerge w:val="restar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eastAsia" w:ascii="Times New Roman" w:hAnsi="Times New Roman" w:eastAsia="宋体" w:cs="Times New Roman"/>
                      <w:b w:val="0"/>
                      <w:bCs w:val="0"/>
                      <w:color w:val="auto"/>
                      <w:kern w:val="2"/>
                      <w:sz w:val="21"/>
                      <w:szCs w:val="21"/>
                      <w:u w:val="none" w:color="auto"/>
                      <w:lang w:val="en-US" w:eastAsia="zh-CN" w:bidi="ar-SA"/>
                    </w:rPr>
                  </w:pPr>
                  <w:r>
                    <w:rPr>
                      <w:rFonts w:hint="default" w:ascii="Times New Roman" w:hAnsi="Times New Roman" w:eastAsia="宋体" w:cs="Times New Roman"/>
                      <w:b w:val="0"/>
                      <w:bCs w:val="0"/>
                      <w:color w:val="auto"/>
                      <w:sz w:val="21"/>
                      <w:szCs w:val="21"/>
                      <w:u w:val="none" w:color="auto"/>
                    </w:rPr>
                    <w:t>一般固废</w:t>
                  </w:r>
                  <w:r>
                    <w:rPr>
                      <w:rFonts w:hint="eastAsia" w:ascii="Times New Roman" w:hAnsi="Times New Roman" w:eastAsia="宋体" w:cs="Times New Roman"/>
                      <w:b w:val="0"/>
                      <w:bCs w:val="0"/>
                      <w:color w:val="auto"/>
                      <w:sz w:val="21"/>
                      <w:szCs w:val="21"/>
                      <w:u w:val="none" w:color="auto"/>
                      <w:lang w:val="en-US" w:eastAsia="zh-CN"/>
                    </w:rPr>
                    <w:t>处</w:t>
                  </w:r>
                </w:p>
              </w:tc>
              <w:tc>
                <w:tcPr>
                  <w:tcW w:w="0" w:type="auto"/>
                  <w:vMerge w:val="restar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eastAsia" w:ascii="Times New Roman" w:hAnsi="Times New Roman" w:eastAsia="宋体" w:cs="Times New Roman"/>
                      <w:b w:val="0"/>
                      <w:bCs w:val="0"/>
                      <w:color w:val="auto"/>
                      <w:kern w:val="2"/>
                      <w:sz w:val="21"/>
                      <w:szCs w:val="21"/>
                      <w:u w:val="none" w:color="auto"/>
                      <w:lang w:val="en-US" w:eastAsia="zh-CN" w:bidi="ar-SA"/>
                    </w:rPr>
                  </w:pPr>
                  <w:r>
                    <w:rPr>
                      <w:rFonts w:hint="eastAsia" w:cs="Times New Roman"/>
                      <w:b w:val="0"/>
                      <w:bCs w:val="0"/>
                      <w:color w:val="auto"/>
                      <w:sz w:val="21"/>
                      <w:szCs w:val="21"/>
                      <w:u w:val="none" w:color="auto"/>
                      <w:lang w:val="en-US" w:eastAsia="zh-CN"/>
                    </w:rPr>
                    <w:t>交环卫部门处理</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0" w:type="auto"/>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default" w:ascii="Times New Roman" w:hAnsi="Times New Roman" w:cs="Times New Roman" w:eastAsiaTheme="minorEastAsia"/>
                      <w:b w:val="0"/>
                      <w:bCs w:val="0"/>
                      <w:color w:val="auto"/>
                      <w:sz w:val="21"/>
                      <w:szCs w:val="21"/>
                      <w:u w:color="auto"/>
                      <w:lang w:val="en-US"/>
                    </w:rPr>
                    <w:t>废安全气囊（引爆后）</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eastAsia" w:ascii="Times New Roman" w:hAnsi="Times New Roman" w:cs="Times New Roman" w:eastAsiaTheme="minorEastAsia"/>
                      <w:b w:val="0"/>
                      <w:bCs w:val="0"/>
                      <w:color w:val="auto"/>
                      <w:sz w:val="21"/>
                      <w:szCs w:val="21"/>
                      <w:u w:color="auto"/>
                      <w:lang w:val="en-US" w:eastAsia="zh-CN"/>
                    </w:rPr>
                  </w:pPr>
                  <w:r>
                    <w:rPr>
                      <w:rFonts w:hint="eastAsia" w:ascii="Times New Roman" w:hAnsi="Times New Roman" w:cs="Times New Roman" w:eastAsiaTheme="minorEastAsia"/>
                      <w:b w:val="0"/>
                      <w:bCs w:val="0"/>
                      <w:color w:val="auto"/>
                      <w:sz w:val="21"/>
                      <w:szCs w:val="21"/>
                      <w:u w:color="auto"/>
                      <w:lang w:val="en-US" w:eastAsia="zh-CN"/>
                    </w:rPr>
                    <w:t>一般工业固废</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eastAsia" w:ascii="Times New Roman" w:hAnsi="Times New Roman" w:eastAsia="宋体" w:cs="Times New Roman"/>
                      <w:b w:val="0"/>
                      <w:bCs w:val="0"/>
                      <w:color w:val="auto"/>
                      <w:sz w:val="21"/>
                      <w:szCs w:val="21"/>
                      <w:u w:val="none" w:color="auto"/>
                      <w:lang w:val="en-US" w:eastAsia="zh-CN"/>
                    </w:rPr>
                    <w:t>固态</w:t>
                  </w:r>
                </w:p>
              </w:tc>
              <w:tc>
                <w:tcPr>
                  <w:tcW w:w="0" w:type="auto"/>
                  <w:tcBorders>
                    <w:tl2br w:val="nil"/>
                    <w:tr2bl w:val="nil"/>
                  </w:tcBorders>
                  <w:vAlign w:val="center"/>
                </w:tcPr>
                <w:p>
                  <w:pPr>
                    <w:keepNext w:val="0"/>
                    <w:keepLines w:val="0"/>
                    <w:pageBreakBefore w:val="0"/>
                    <w:widowControl/>
                    <w:suppressLineNumbers w:val="0"/>
                    <w:kinsoku/>
                    <w:wordWrap/>
                    <w:overflowPunct/>
                    <w:topLinePunct w:val="0"/>
                    <w:bidi w:val="0"/>
                    <w:adjustRightInd/>
                    <w:spacing w:line="240" w:lineRule="auto"/>
                    <w:ind w:left="0" w:leftChars="0" w:right="0" w:rightChars="0"/>
                    <w:jc w:val="center"/>
                    <w:textAlignment w:val="center"/>
                    <w:outlineLvl w:val="9"/>
                    <w:rPr>
                      <w:rFonts w:hint="default" w:cs="Times New Roman"/>
                      <w:b w:val="0"/>
                      <w:bCs w:val="0"/>
                      <w:i w:val="0"/>
                      <w:iCs w:val="0"/>
                      <w:color w:val="auto"/>
                      <w:kern w:val="0"/>
                      <w:sz w:val="21"/>
                      <w:szCs w:val="21"/>
                      <w:u w:val="none" w:color="auto"/>
                      <w:lang w:val="en-US" w:eastAsia="zh-CN" w:bidi="ar"/>
                    </w:rPr>
                  </w:pPr>
                  <w:r>
                    <w:rPr>
                      <w:rFonts w:hint="eastAsia" w:cs="Times New Roman"/>
                      <w:b w:val="0"/>
                      <w:bCs w:val="0"/>
                      <w:i w:val="0"/>
                      <w:iCs w:val="0"/>
                      <w:color w:val="auto"/>
                      <w:kern w:val="0"/>
                      <w:sz w:val="21"/>
                      <w:szCs w:val="21"/>
                      <w:u w:val="none" w:color="auto"/>
                      <w:lang w:val="en-US" w:eastAsia="zh-CN" w:bidi="ar"/>
                    </w:rPr>
                    <w:t>8</w:t>
                  </w:r>
                </w:p>
              </w:tc>
              <w:tc>
                <w:tcPr>
                  <w:tcW w:w="0" w:type="auto"/>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c>
                <w:tcPr>
                  <w:tcW w:w="0" w:type="auto"/>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eastAsia" w:cs="Times New Roman"/>
                      <w:b w:val="0"/>
                      <w:bCs w:val="0"/>
                      <w:color w:val="auto"/>
                      <w:sz w:val="21"/>
                      <w:szCs w:val="21"/>
                      <w:u w:val="none" w:color="auto"/>
                      <w:lang w:val="en-US" w:eastAsia="zh-CN"/>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0" w:type="auto"/>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钢铁</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eastAsia" w:ascii="Times New Roman" w:hAnsi="Times New Roman" w:eastAsia="宋体" w:cs="Times New Roman"/>
                      <w:b w:val="0"/>
                      <w:bCs w:val="0"/>
                      <w:color w:val="auto"/>
                      <w:sz w:val="21"/>
                      <w:szCs w:val="21"/>
                      <w:u w:val="none" w:color="auto"/>
                      <w:lang w:val="en-US" w:eastAsia="zh-CN"/>
                    </w:rPr>
                    <w:t>213-001-09</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固态</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b w:val="0"/>
                      <w:bCs w:val="0"/>
                      <w:color w:val="auto"/>
                      <w:sz w:val="21"/>
                      <w:szCs w:val="21"/>
                      <w:u w:val="none" w:color="auto"/>
                      <w:lang w:val="en-US"/>
                    </w:rPr>
                  </w:pPr>
                  <w:r>
                    <w:rPr>
                      <w:rFonts w:hint="eastAsia" w:ascii="Times New Roman" w:hAnsi="Times New Roman" w:eastAsia="宋体" w:cs="Times New Roman"/>
                      <w:b w:val="0"/>
                      <w:bCs w:val="0"/>
                      <w:sz w:val="21"/>
                      <w:szCs w:val="21"/>
                      <w:lang w:val="en-US" w:eastAsia="zh-CN"/>
                    </w:rPr>
                    <w:t>7519.6</w:t>
                  </w:r>
                </w:p>
              </w:tc>
              <w:tc>
                <w:tcPr>
                  <w:tcW w:w="0" w:type="auto"/>
                  <w:vMerge w:val="restar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分别贮存在成品堆放区</w:t>
                  </w:r>
                </w:p>
              </w:tc>
              <w:tc>
                <w:tcPr>
                  <w:tcW w:w="0" w:type="auto"/>
                  <w:vMerge w:val="restar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eastAsia" w:cs="Times New Roman"/>
                      <w:b w:val="0"/>
                      <w:bCs w:val="0"/>
                      <w:color w:val="auto"/>
                      <w:sz w:val="21"/>
                      <w:szCs w:val="21"/>
                      <w:u w:val="none" w:color="auto"/>
                      <w:lang w:val="en-US" w:eastAsia="zh-CN"/>
                    </w:rPr>
                    <w:t>作为产品</w:t>
                  </w:r>
                  <w:r>
                    <w:rPr>
                      <w:rFonts w:hint="default" w:ascii="Times New Roman" w:hAnsi="Times New Roman" w:eastAsia="宋体" w:cs="Times New Roman"/>
                      <w:b w:val="0"/>
                      <w:bCs w:val="0"/>
                      <w:color w:val="auto"/>
                      <w:sz w:val="21"/>
                      <w:szCs w:val="21"/>
                      <w:u w:val="none" w:color="auto"/>
                    </w:rPr>
                    <w:t>外售</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0" w:type="auto"/>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有色金属</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eastAsia" w:ascii="Times New Roman" w:hAnsi="Times New Roman" w:cs="Times New Roman" w:eastAsiaTheme="minorEastAsia"/>
                      <w:b w:val="0"/>
                      <w:bCs w:val="0"/>
                      <w:color w:val="auto"/>
                      <w:sz w:val="21"/>
                      <w:szCs w:val="21"/>
                      <w:u w:color="auto"/>
                      <w:lang w:val="en-US" w:eastAsia="zh-CN"/>
                    </w:rPr>
                    <w:t>一般工业固废</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固态</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b w:val="0"/>
                      <w:bCs w:val="0"/>
                      <w:color w:val="auto"/>
                      <w:sz w:val="21"/>
                      <w:szCs w:val="21"/>
                      <w:u w:val="none" w:color="auto"/>
                      <w:lang w:val="en-US"/>
                    </w:rPr>
                  </w:pPr>
                  <w:r>
                    <w:rPr>
                      <w:rFonts w:hint="eastAsia" w:ascii="Times New Roman" w:hAnsi="Times New Roman" w:eastAsia="宋体" w:cs="Times New Roman"/>
                      <w:b w:val="0"/>
                      <w:bCs w:val="0"/>
                      <w:sz w:val="21"/>
                      <w:szCs w:val="21"/>
                      <w:lang w:val="en-US" w:eastAsia="zh-CN"/>
                    </w:rPr>
                    <w:t>1087.5</w:t>
                  </w:r>
                </w:p>
              </w:tc>
              <w:tc>
                <w:tcPr>
                  <w:tcW w:w="0" w:type="auto"/>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c>
                <w:tcPr>
                  <w:tcW w:w="0" w:type="auto"/>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0" w:type="auto"/>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橡胶</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eastAsia" w:ascii="Times New Roman" w:hAnsi="Times New Roman" w:eastAsia="宋体" w:cs="Times New Roman"/>
                      <w:b w:val="0"/>
                      <w:bCs w:val="0"/>
                      <w:color w:val="auto"/>
                      <w:sz w:val="21"/>
                      <w:szCs w:val="21"/>
                      <w:u w:val="none" w:color="auto"/>
                      <w:lang w:val="en-US" w:eastAsia="zh-CN"/>
                    </w:rPr>
                    <w:t>265-001-05</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固态</w:t>
                  </w:r>
                </w:p>
              </w:tc>
              <w:tc>
                <w:tcPr>
                  <w:tcW w:w="0" w:type="auto"/>
                  <w:tcBorders>
                    <w:tl2br w:val="nil"/>
                    <w:tr2bl w:val="nil"/>
                  </w:tcBorders>
                  <w:vAlign w:val="center"/>
                </w:tcPr>
                <w:p>
                  <w:pPr>
                    <w:keepNext w:val="0"/>
                    <w:keepLines w:val="0"/>
                    <w:pageBreakBefore w:val="0"/>
                    <w:widowControl/>
                    <w:suppressLineNumbers w:val="0"/>
                    <w:kinsoku/>
                    <w:wordWrap/>
                    <w:overflowPunct/>
                    <w:topLinePunct w:val="0"/>
                    <w:bidi w:val="0"/>
                    <w:adjustRightInd/>
                    <w:spacing w:line="240" w:lineRule="auto"/>
                    <w:ind w:left="0" w:leftChars="0" w:right="0" w:rightChars="0"/>
                    <w:jc w:val="center"/>
                    <w:textAlignment w:val="center"/>
                    <w:outlineLvl w:val="9"/>
                    <w:rPr>
                      <w:rFonts w:hint="default" w:ascii="Times New Roman" w:hAnsi="Times New Roman" w:eastAsia="宋体" w:cs="Times New Roman"/>
                      <w:b w:val="0"/>
                      <w:bCs w:val="0"/>
                      <w:color w:val="auto"/>
                      <w:sz w:val="21"/>
                      <w:szCs w:val="21"/>
                      <w:u w:val="none" w:color="auto"/>
                      <w:lang w:val="en-US" w:eastAsia="zh-CN"/>
                    </w:rPr>
                  </w:pPr>
                  <w:r>
                    <w:rPr>
                      <w:rFonts w:hint="eastAsia" w:cs="Times New Roman"/>
                      <w:b w:val="0"/>
                      <w:bCs w:val="0"/>
                      <w:color w:val="auto"/>
                      <w:sz w:val="21"/>
                      <w:szCs w:val="21"/>
                      <w:u w:val="none" w:color="auto"/>
                      <w:lang w:val="en-US" w:eastAsia="zh-CN"/>
                    </w:rPr>
                    <w:t>618</w:t>
                  </w:r>
                </w:p>
              </w:tc>
              <w:tc>
                <w:tcPr>
                  <w:tcW w:w="0" w:type="auto"/>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c>
                <w:tcPr>
                  <w:tcW w:w="0" w:type="auto"/>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0" w:type="auto"/>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default" w:ascii="Times New Roman" w:hAnsi="Times New Roman" w:eastAsia="宋体" w:cs="Times New Roman"/>
                      <w:b w:val="0"/>
                      <w:bCs w:val="0"/>
                      <w:color w:val="auto"/>
                      <w:sz w:val="21"/>
                      <w:szCs w:val="21"/>
                      <w:u w:val="none" w:color="auto"/>
                    </w:rPr>
                    <w:t>塑料</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eastAsia" w:ascii="Times New Roman" w:hAnsi="Times New Roman" w:eastAsia="宋体" w:cs="Times New Roman"/>
                      <w:b w:val="0"/>
                      <w:bCs w:val="0"/>
                      <w:color w:val="auto"/>
                      <w:sz w:val="21"/>
                      <w:szCs w:val="21"/>
                      <w:u w:val="none" w:color="auto"/>
                      <w:lang w:val="en-US" w:eastAsia="zh-CN"/>
                    </w:rPr>
                    <w:t>292-001-06</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eastAsia" w:ascii="Times New Roman" w:hAnsi="Times New Roman" w:eastAsia="宋体" w:cs="Times New Roman"/>
                      <w:b w:val="0"/>
                      <w:bCs w:val="0"/>
                      <w:color w:val="auto"/>
                      <w:sz w:val="21"/>
                      <w:szCs w:val="21"/>
                      <w:u w:val="none" w:color="auto"/>
                      <w:lang w:val="en-US" w:eastAsia="zh-CN"/>
                    </w:rPr>
                  </w:pPr>
                  <w:r>
                    <w:rPr>
                      <w:rFonts w:hint="default" w:ascii="Times New Roman" w:hAnsi="Times New Roman" w:eastAsia="宋体" w:cs="Times New Roman"/>
                      <w:b w:val="0"/>
                      <w:bCs w:val="0"/>
                      <w:color w:val="auto"/>
                      <w:sz w:val="21"/>
                      <w:szCs w:val="21"/>
                      <w:u w:val="none" w:color="auto"/>
                    </w:rPr>
                    <w:t>固态</w:t>
                  </w:r>
                </w:p>
              </w:tc>
              <w:tc>
                <w:tcPr>
                  <w:tcW w:w="0" w:type="auto"/>
                  <w:tcBorders>
                    <w:tl2br w:val="nil"/>
                    <w:tr2bl w:val="nil"/>
                  </w:tcBorders>
                  <w:vAlign w:val="center"/>
                </w:tcPr>
                <w:p>
                  <w:pPr>
                    <w:keepNext w:val="0"/>
                    <w:keepLines w:val="0"/>
                    <w:pageBreakBefore w:val="0"/>
                    <w:widowControl/>
                    <w:suppressLineNumbers w:val="0"/>
                    <w:kinsoku/>
                    <w:wordWrap/>
                    <w:overflowPunct/>
                    <w:topLinePunct w:val="0"/>
                    <w:bidi w:val="0"/>
                    <w:adjustRightInd/>
                    <w:spacing w:line="240" w:lineRule="auto"/>
                    <w:ind w:left="0" w:leftChars="0" w:right="0" w:rightChars="0"/>
                    <w:jc w:val="center"/>
                    <w:textAlignment w:val="center"/>
                    <w:outlineLvl w:val="9"/>
                    <w:rPr>
                      <w:rFonts w:hint="default" w:cs="Times New Roman"/>
                      <w:b w:val="0"/>
                      <w:bCs w:val="0"/>
                      <w:i w:val="0"/>
                      <w:iCs w:val="0"/>
                      <w:color w:val="auto"/>
                      <w:kern w:val="0"/>
                      <w:sz w:val="21"/>
                      <w:szCs w:val="21"/>
                      <w:u w:val="none" w:color="auto"/>
                      <w:lang w:val="en-US" w:eastAsia="zh-CN" w:bidi="ar"/>
                    </w:rPr>
                  </w:pPr>
                  <w:r>
                    <w:rPr>
                      <w:rFonts w:hint="eastAsia" w:cs="Times New Roman"/>
                      <w:b w:val="0"/>
                      <w:bCs w:val="0"/>
                      <w:i w:val="0"/>
                      <w:iCs w:val="0"/>
                      <w:color w:val="auto"/>
                      <w:kern w:val="0"/>
                      <w:sz w:val="21"/>
                      <w:szCs w:val="21"/>
                      <w:u w:val="none" w:color="auto"/>
                      <w:lang w:val="en-US" w:eastAsia="zh-CN" w:bidi="ar"/>
                    </w:rPr>
                    <w:t>410</w:t>
                  </w:r>
                </w:p>
              </w:tc>
              <w:tc>
                <w:tcPr>
                  <w:tcW w:w="0" w:type="auto"/>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c>
                <w:tcPr>
                  <w:tcW w:w="0" w:type="auto"/>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0" w:type="auto"/>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kern w:val="2"/>
                      <w:sz w:val="21"/>
                      <w:szCs w:val="21"/>
                      <w:u w:val="none" w:color="auto"/>
                      <w:lang w:val="en-US" w:eastAsia="zh-CN" w:bidi="ar-SA"/>
                    </w:rPr>
                  </w:pPr>
                  <w:r>
                    <w:rPr>
                      <w:rFonts w:hint="default" w:ascii="Times New Roman" w:hAnsi="Times New Roman" w:eastAsia="宋体" w:cs="Times New Roman"/>
                      <w:b w:val="0"/>
                      <w:bCs w:val="0"/>
                      <w:color w:val="auto"/>
                      <w:sz w:val="21"/>
                      <w:szCs w:val="21"/>
                      <w:u w:val="none" w:color="auto"/>
                    </w:rPr>
                    <w:t>玻璃</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eastAsia" w:ascii="Times New Roman" w:hAnsi="Times New Roman" w:eastAsia="宋体" w:cs="Times New Roman"/>
                      <w:b w:val="0"/>
                      <w:bCs w:val="0"/>
                      <w:color w:val="auto"/>
                      <w:sz w:val="21"/>
                      <w:szCs w:val="21"/>
                      <w:u w:val="none" w:color="auto"/>
                      <w:lang w:val="en-US" w:eastAsia="zh-CN"/>
                    </w:rPr>
                    <w:t>300-001-08</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kern w:val="2"/>
                      <w:sz w:val="21"/>
                      <w:szCs w:val="21"/>
                      <w:u w:val="none" w:color="auto"/>
                      <w:lang w:val="en-US" w:eastAsia="zh-CN" w:bidi="ar-SA"/>
                    </w:rPr>
                  </w:pPr>
                  <w:r>
                    <w:rPr>
                      <w:rFonts w:hint="default" w:ascii="Times New Roman" w:hAnsi="Times New Roman" w:eastAsia="宋体" w:cs="Times New Roman"/>
                      <w:b w:val="0"/>
                      <w:bCs w:val="0"/>
                      <w:color w:val="auto"/>
                      <w:sz w:val="21"/>
                      <w:szCs w:val="21"/>
                      <w:u w:val="none" w:color="auto"/>
                    </w:rPr>
                    <w:t>固态</w:t>
                  </w:r>
                </w:p>
              </w:tc>
              <w:tc>
                <w:tcPr>
                  <w:tcW w:w="0" w:type="auto"/>
                  <w:tcBorders>
                    <w:tl2br w:val="nil"/>
                    <w:tr2bl w:val="nil"/>
                  </w:tcBorders>
                  <w:vAlign w:val="center"/>
                </w:tcPr>
                <w:p>
                  <w:pPr>
                    <w:keepNext w:val="0"/>
                    <w:keepLines w:val="0"/>
                    <w:pageBreakBefore w:val="0"/>
                    <w:widowControl/>
                    <w:suppressLineNumbers w:val="0"/>
                    <w:kinsoku/>
                    <w:wordWrap/>
                    <w:overflowPunct/>
                    <w:topLinePunct w:val="0"/>
                    <w:bidi w:val="0"/>
                    <w:adjustRightInd/>
                    <w:spacing w:line="240" w:lineRule="auto"/>
                    <w:ind w:left="0" w:leftChars="0" w:right="0" w:rightChars="0"/>
                    <w:jc w:val="center"/>
                    <w:textAlignment w:val="center"/>
                    <w:outlineLvl w:val="9"/>
                    <w:rPr>
                      <w:rFonts w:hint="default" w:ascii="Times New Roman" w:hAnsi="Times New Roman" w:eastAsia="宋体" w:cs="Times New Roman"/>
                      <w:b w:val="0"/>
                      <w:bCs w:val="0"/>
                      <w:color w:val="auto"/>
                      <w:kern w:val="2"/>
                      <w:sz w:val="21"/>
                      <w:szCs w:val="21"/>
                      <w:u w:val="none" w:color="auto"/>
                      <w:lang w:val="en-US" w:eastAsia="zh-CN" w:bidi="ar-SA"/>
                    </w:rPr>
                  </w:pPr>
                  <w:r>
                    <w:rPr>
                      <w:rFonts w:hint="eastAsia" w:cs="Times New Roman"/>
                      <w:b w:val="0"/>
                      <w:bCs w:val="0"/>
                      <w:color w:val="auto"/>
                      <w:kern w:val="2"/>
                      <w:sz w:val="21"/>
                      <w:szCs w:val="21"/>
                      <w:u w:val="none" w:color="auto"/>
                      <w:lang w:val="en-US" w:eastAsia="zh-CN" w:bidi="ar-SA"/>
                    </w:rPr>
                    <w:t>232.4</w:t>
                  </w:r>
                </w:p>
              </w:tc>
              <w:tc>
                <w:tcPr>
                  <w:tcW w:w="0" w:type="auto"/>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c>
                <w:tcPr>
                  <w:tcW w:w="0" w:type="auto"/>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0" w:type="auto"/>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eastAsia" w:ascii="Times New Roman" w:hAnsi="Times New Roman" w:eastAsia="宋体" w:cs="Times New Roman"/>
                      <w:b w:val="0"/>
                      <w:bCs w:val="0"/>
                      <w:color w:val="auto"/>
                      <w:sz w:val="21"/>
                      <w:szCs w:val="21"/>
                      <w:u w:val="none" w:color="auto"/>
                      <w:lang w:val="en-US" w:eastAsia="zh-CN"/>
                    </w:rPr>
                    <w:t>可用零部件</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eastAsia" w:ascii="Times New Roman" w:hAnsi="Times New Roman" w:cs="Times New Roman" w:eastAsiaTheme="minorEastAsia"/>
                      <w:b w:val="0"/>
                      <w:bCs w:val="0"/>
                      <w:color w:val="auto"/>
                      <w:sz w:val="21"/>
                      <w:szCs w:val="21"/>
                      <w:u w:color="auto"/>
                      <w:lang w:val="en-US" w:eastAsia="zh-CN"/>
                    </w:rPr>
                    <w:t>一般工业固废</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固态</w:t>
                  </w:r>
                </w:p>
              </w:tc>
              <w:tc>
                <w:tcPr>
                  <w:tcW w:w="0" w:type="auto"/>
                  <w:tcBorders>
                    <w:tl2br w:val="nil"/>
                    <w:tr2bl w:val="nil"/>
                  </w:tcBorders>
                  <w:vAlign w:val="center"/>
                </w:tcPr>
                <w:p>
                  <w:pPr>
                    <w:keepNext w:val="0"/>
                    <w:keepLines w:val="0"/>
                    <w:pageBreakBefore w:val="0"/>
                    <w:widowControl/>
                    <w:suppressLineNumbers w:val="0"/>
                    <w:kinsoku/>
                    <w:wordWrap/>
                    <w:overflowPunct/>
                    <w:topLinePunct w:val="0"/>
                    <w:bidi w:val="0"/>
                    <w:adjustRightInd/>
                    <w:spacing w:line="240" w:lineRule="auto"/>
                    <w:ind w:left="0" w:leftChars="0" w:right="0" w:rightChars="0"/>
                    <w:jc w:val="center"/>
                    <w:textAlignment w:val="center"/>
                    <w:outlineLvl w:val="9"/>
                    <w:rPr>
                      <w:rFonts w:hint="default" w:ascii="Times New Roman" w:hAnsi="Times New Roman" w:eastAsia="宋体" w:cs="Times New Roman"/>
                      <w:b w:val="0"/>
                      <w:bCs w:val="0"/>
                      <w:i w:val="0"/>
                      <w:iCs w:val="0"/>
                      <w:color w:val="auto"/>
                      <w:kern w:val="0"/>
                      <w:sz w:val="21"/>
                      <w:szCs w:val="21"/>
                      <w:u w:val="none" w:color="auto"/>
                      <w:lang w:val="en-US" w:eastAsia="zh-CN" w:bidi="ar"/>
                    </w:rPr>
                  </w:pPr>
                  <w:r>
                    <w:rPr>
                      <w:rFonts w:hint="eastAsia" w:cs="Times New Roman"/>
                      <w:b w:val="0"/>
                      <w:bCs w:val="0"/>
                      <w:i w:val="0"/>
                      <w:iCs w:val="0"/>
                      <w:color w:val="auto"/>
                      <w:kern w:val="0"/>
                      <w:sz w:val="21"/>
                      <w:szCs w:val="21"/>
                      <w:u w:val="none" w:color="auto"/>
                      <w:lang w:val="en-US" w:eastAsia="zh-CN" w:bidi="ar"/>
                    </w:rPr>
                    <w:t>580</w:t>
                  </w:r>
                </w:p>
              </w:tc>
              <w:tc>
                <w:tcPr>
                  <w:tcW w:w="0" w:type="auto"/>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c>
                <w:tcPr>
                  <w:tcW w:w="0" w:type="auto"/>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0" w:type="auto"/>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eastAsia" w:ascii="Times New Roman" w:hAnsi="Times New Roman" w:eastAsia="宋体" w:cs="Times New Roman"/>
                      <w:b w:val="0"/>
                      <w:bCs w:val="0"/>
                      <w:color w:val="auto"/>
                      <w:sz w:val="21"/>
                      <w:szCs w:val="21"/>
                      <w:u w:val="none" w:color="auto"/>
                      <w:lang w:val="en-US" w:eastAsia="zh-CN"/>
                    </w:rPr>
                    <w:t>五大总成</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eastAsia" w:ascii="Times New Roman" w:hAnsi="Times New Roman" w:eastAsia="宋体" w:cs="Times New Roman"/>
                      <w:b w:val="0"/>
                      <w:bCs w:val="0"/>
                      <w:color w:val="auto"/>
                      <w:sz w:val="21"/>
                      <w:szCs w:val="21"/>
                      <w:u w:val="none" w:color="auto"/>
                      <w:lang w:val="en-US" w:eastAsia="zh-CN"/>
                    </w:rPr>
                  </w:pPr>
                  <w:r>
                    <w:rPr>
                      <w:rFonts w:hint="eastAsia" w:ascii="Times New Roman" w:hAnsi="Times New Roman" w:cs="Times New Roman" w:eastAsiaTheme="minorEastAsia"/>
                      <w:b w:val="0"/>
                      <w:bCs w:val="0"/>
                      <w:color w:val="auto"/>
                      <w:sz w:val="21"/>
                      <w:szCs w:val="21"/>
                      <w:u w:color="auto"/>
                      <w:lang w:val="en-US" w:eastAsia="zh-CN"/>
                    </w:rPr>
                    <w:t>一般工业固废</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eastAsia" w:ascii="Times New Roman" w:hAnsi="Times New Roman" w:eastAsia="宋体" w:cs="Times New Roman"/>
                      <w:b w:val="0"/>
                      <w:bCs w:val="0"/>
                      <w:color w:val="auto"/>
                      <w:sz w:val="21"/>
                      <w:szCs w:val="21"/>
                      <w:u w:val="none" w:color="auto"/>
                      <w:lang w:val="en-US" w:eastAsia="zh-CN"/>
                    </w:rPr>
                  </w:pPr>
                  <w:r>
                    <w:rPr>
                      <w:rFonts w:hint="eastAsia" w:ascii="Times New Roman" w:hAnsi="Times New Roman" w:eastAsia="宋体" w:cs="Times New Roman"/>
                      <w:b w:val="0"/>
                      <w:bCs w:val="0"/>
                      <w:color w:val="auto"/>
                      <w:sz w:val="21"/>
                      <w:szCs w:val="21"/>
                      <w:u w:val="none" w:color="auto"/>
                      <w:lang w:val="en-US" w:eastAsia="zh-CN"/>
                    </w:rPr>
                    <w:t>固态</w:t>
                  </w:r>
                </w:p>
              </w:tc>
              <w:tc>
                <w:tcPr>
                  <w:tcW w:w="0" w:type="auto"/>
                  <w:tcBorders>
                    <w:tl2br w:val="nil"/>
                    <w:tr2bl w:val="nil"/>
                  </w:tcBorders>
                  <w:vAlign w:val="center"/>
                </w:tcPr>
                <w:p>
                  <w:pPr>
                    <w:keepNext w:val="0"/>
                    <w:keepLines w:val="0"/>
                    <w:pageBreakBefore w:val="0"/>
                    <w:widowControl/>
                    <w:suppressLineNumbers w:val="0"/>
                    <w:kinsoku/>
                    <w:wordWrap/>
                    <w:overflowPunct/>
                    <w:topLinePunct w:val="0"/>
                    <w:bidi w:val="0"/>
                    <w:adjustRightInd/>
                    <w:spacing w:line="240" w:lineRule="auto"/>
                    <w:ind w:left="0" w:leftChars="0" w:right="0" w:rightChars="0"/>
                    <w:jc w:val="center"/>
                    <w:textAlignment w:val="center"/>
                    <w:outlineLvl w:val="9"/>
                    <w:rPr>
                      <w:rFonts w:hint="default" w:ascii="Times New Roman" w:hAnsi="Times New Roman" w:eastAsia="宋体" w:cs="Times New Roman"/>
                      <w:b w:val="0"/>
                      <w:bCs w:val="0"/>
                      <w:i w:val="0"/>
                      <w:iCs w:val="0"/>
                      <w:color w:val="auto"/>
                      <w:kern w:val="0"/>
                      <w:sz w:val="21"/>
                      <w:szCs w:val="21"/>
                      <w:u w:val="none" w:color="auto"/>
                      <w:lang w:val="en-US" w:eastAsia="zh-CN" w:bidi="ar"/>
                    </w:rPr>
                  </w:pPr>
                  <w:r>
                    <w:rPr>
                      <w:rFonts w:hint="eastAsia" w:cs="Times New Roman"/>
                      <w:b w:val="0"/>
                      <w:bCs w:val="0"/>
                      <w:i w:val="0"/>
                      <w:iCs w:val="0"/>
                      <w:color w:val="auto"/>
                      <w:kern w:val="0"/>
                      <w:sz w:val="21"/>
                      <w:szCs w:val="21"/>
                      <w:u w:val="none" w:color="auto"/>
                      <w:lang w:val="en-US" w:eastAsia="zh-CN" w:bidi="ar"/>
                    </w:rPr>
                    <w:t>7195</w:t>
                  </w:r>
                </w:p>
              </w:tc>
              <w:tc>
                <w:tcPr>
                  <w:tcW w:w="0" w:type="auto"/>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c>
                <w:tcPr>
                  <w:tcW w:w="0" w:type="auto"/>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660" w:hRule="atLeast"/>
                <w:jc w:val="center"/>
              </w:trPr>
              <w:tc>
                <w:tcPr>
                  <w:tcW w:w="0" w:type="auto"/>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eastAsia" w:ascii="Times New Roman" w:hAnsi="Times New Roman" w:eastAsia="宋体" w:cs="Times New Roman"/>
                      <w:b w:val="0"/>
                      <w:bCs w:val="0"/>
                      <w:color w:val="auto"/>
                      <w:sz w:val="21"/>
                      <w:szCs w:val="21"/>
                      <w:u w:val="none" w:color="auto"/>
                      <w:lang w:val="en-US" w:eastAsia="zh-CN"/>
                    </w:rPr>
                    <w:t>动力电池</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eastAsia" w:ascii="Times New Roman" w:hAnsi="Times New Roman" w:eastAsia="宋体" w:cs="Times New Roman"/>
                      <w:b w:val="0"/>
                      <w:bCs w:val="0"/>
                      <w:color w:val="auto"/>
                      <w:sz w:val="21"/>
                      <w:szCs w:val="21"/>
                      <w:u w:val="none" w:color="auto"/>
                      <w:lang w:val="en-US" w:eastAsia="zh-CN"/>
                    </w:rPr>
                    <w:t>350-001-13</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eastAsia" w:ascii="Times New Roman" w:hAnsi="Times New Roman" w:eastAsia="宋体" w:cs="Times New Roman"/>
                      <w:b w:val="0"/>
                      <w:bCs w:val="0"/>
                      <w:color w:val="auto"/>
                      <w:sz w:val="21"/>
                      <w:szCs w:val="21"/>
                      <w:u w:val="none" w:color="auto"/>
                      <w:lang w:val="en-US" w:eastAsia="zh-CN"/>
                    </w:rPr>
                    <w:t>固态</w:t>
                  </w:r>
                </w:p>
              </w:tc>
              <w:tc>
                <w:tcPr>
                  <w:tcW w:w="0" w:type="auto"/>
                  <w:tcBorders>
                    <w:tl2br w:val="nil"/>
                    <w:tr2bl w:val="nil"/>
                  </w:tcBorders>
                  <w:vAlign w:val="center"/>
                </w:tcPr>
                <w:p>
                  <w:pPr>
                    <w:keepNext w:val="0"/>
                    <w:keepLines w:val="0"/>
                    <w:pageBreakBefore w:val="0"/>
                    <w:widowControl/>
                    <w:suppressLineNumbers w:val="0"/>
                    <w:kinsoku/>
                    <w:wordWrap/>
                    <w:overflowPunct/>
                    <w:topLinePunct w:val="0"/>
                    <w:bidi w:val="0"/>
                    <w:adjustRightInd/>
                    <w:spacing w:line="240" w:lineRule="auto"/>
                    <w:ind w:left="0" w:leftChars="0" w:right="0" w:rightChars="0"/>
                    <w:jc w:val="center"/>
                    <w:textAlignment w:val="center"/>
                    <w:outlineLvl w:val="9"/>
                    <w:rPr>
                      <w:rFonts w:hint="default" w:ascii="Times New Roman" w:hAnsi="Times New Roman" w:eastAsia="宋体" w:cs="Times New Roman"/>
                      <w:b w:val="0"/>
                      <w:bCs w:val="0"/>
                      <w:i w:val="0"/>
                      <w:iCs w:val="0"/>
                      <w:color w:val="auto"/>
                      <w:kern w:val="0"/>
                      <w:sz w:val="21"/>
                      <w:szCs w:val="21"/>
                      <w:u w:val="none" w:color="auto"/>
                      <w:lang w:val="en-US" w:eastAsia="zh-CN" w:bidi="ar"/>
                    </w:rPr>
                  </w:pPr>
                  <w:r>
                    <w:rPr>
                      <w:rFonts w:hint="eastAsia" w:cs="Times New Roman"/>
                      <w:b w:val="0"/>
                      <w:bCs w:val="0"/>
                      <w:i w:val="0"/>
                      <w:iCs w:val="0"/>
                      <w:color w:val="auto"/>
                      <w:kern w:val="0"/>
                      <w:sz w:val="21"/>
                      <w:szCs w:val="21"/>
                      <w:u w:val="none" w:color="auto"/>
                      <w:lang w:val="en-US" w:eastAsia="zh-CN" w:bidi="ar"/>
                    </w:rPr>
                    <w:t>100</w:t>
                  </w:r>
                </w:p>
              </w:tc>
              <w:tc>
                <w:tcPr>
                  <w:tcW w:w="0" w:type="auto"/>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c>
                <w:tcPr>
                  <w:tcW w:w="0" w:type="auto"/>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0" w:type="auto"/>
                  <w:vMerge w:val="restar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eastAsia" w:cs="Times New Roman"/>
                      <w:b w:val="0"/>
                      <w:bCs w:val="0"/>
                      <w:color w:val="auto"/>
                      <w:sz w:val="21"/>
                      <w:szCs w:val="21"/>
                      <w:u w:val="none" w:color="auto"/>
                      <w:lang w:val="en-US" w:eastAsia="zh-CN"/>
                    </w:rPr>
                    <w:t>危险固废</w:t>
                  </w:r>
                </w:p>
              </w:tc>
              <w:tc>
                <w:tcPr>
                  <w:tcW w:w="0" w:type="auto"/>
                  <w:tcBorders>
                    <w:tl2br w:val="nil"/>
                    <w:tr2bl w:val="nil"/>
                  </w:tcBorders>
                  <w:vAlign w:val="center"/>
                </w:tcPr>
                <w:p>
                  <w:pPr>
                    <w:pStyle w:val="30"/>
                    <w:keepNext w:val="0"/>
                    <w:keepLines w:val="0"/>
                    <w:pageBreakBefore w:val="0"/>
                    <w:kinsoku/>
                    <w:wordWrap/>
                    <w:overflowPunct/>
                    <w:topLinePunct w:val="0"/>
                    <w:bidi w:val="0"/>
                    <w:adjustRightInd/>
                    <w:spacing w:line="240" w:lineRule="auto"/>
                    <w:ind w:left="0" w:leftChars="0" w:right="0" w:rightChars="0" w:firstLine="0" w:firstLineChars="0"/>
                    <w:jc w:val="center"/>
                    <w:outlineLvl w:val="9"/>
                    <w:rPr>
                      <w:rFonts w:hint="default" w:ascii="Times New Roman" w:hAnsi="Times New Roman" w:cs="Times New Roman" w:eastAsiaTheme="minorEastAsia"/>
                      <w:b w:val="0"/>
                      <w:bCs w:val="0"/>
                      <w:color w:val="auto"/>
                      <w:sz w:val="21"/>
                      <w:szCs w:val="21"/>
                      <w:u w:color="auto"/>
                      <w:lang w:val="en-US" w:eastAsia="zh-CN"/>
                    </w:rPr>
                  </w:pPr>
                  <w:r>
                    <w:rPr>
                      <w:rFonts w:hint="eastAsia" w:ascii="Times New Roman" w:hAnsi="Times New Roman" w:cs="Times New Roman" w:eastAsiaTheme="minorEastAsia"/>
                      <w:b w:val="0"/>
                      <w:bCs w:val="0"/>
                      <w:color w:val="auto"/>
                      <w:sz w:val="21"/>
                      <w:szCs w:val="21"/>
                      <w:u w:color="auto"/>
                      <w:lang w:val="en-US" w:eastAsia="zh-CN"/>
                    </w:rPr>
                    <w:t>废蓄电池</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eastAsia" w:ascii="Times New Roman" w:hAnsi="Times New Roman" w:eastAsia="宋体" w:cs="Times New Roman"/>
                      <w:b w:val="0"/>
                      <w:bCs w:val="0"/>
                      <w:color w:val="auto"/>
                      <w:kern w:val="2"/>
                      <w:sz w:val="21"/>
                      <w:szCs w:val="21"/>
                      <w:u w:val="none" w:color="auto"/>
                      <w:lang w:val="en-US" w:eastAsia="zh-CN" w:bidi="ar-SA"/>
                    </w:rPr>
                  </w:pPr>
                  <w:r>
                    <w:rPr>
                      <w:rFonts w:hint="default" w:ascii="Times New Roman" w:hAnsi="Times New Roman" w:eastAsia="宋体" w:cs="Times New Roman"/>
                      <w:b w:val="0"/>
                      <w:bCs w:val="0"/>
                      <w:color w:val="auto"/>
                      <w:sz w:val="21"/>
                      <w:szCs w:val="21"/>
                      <w:u w:val="none" w:color="auto"/>
                    </w:rPr>
                    <w:t>900-044-49</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eastAsia" w:ascii="Times New Roman" w:hAnsi="Times New Roman" w:eastAsia="宋体" w:cs="Times New Roman"/>
                      <w:b w:val="0"/>
                      <w:bCs w:val="0"/>
                      <w:color w:val="auto"/>
                      <w:sz w:val="21"/>
                      <w:szCs w:val="21"/>
                      <w:u w:val="none" w:color="auto"/>
                      <w:lang w:val="en-US" w:eastAsia="zh-CN"/>
                    </w:rPr>
                    <w:t>固态</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b w:val="0"/>
                      <w:bCs w:val="0"/>
                      <w:kern w:val="2"/>
                      <w:sz w:val="21"/>
                      <w:szCs w:val="21"/>
                      <w:lang w:val="en-US" w:eastAsia="zh-CN" w:bidi="ar-SA"/>
                    </w:rPr>
                  </w:pPr>
                  <w:r>
                    <w:rPr>
                      <w:rFonts w:hint="eastAsia" w:ascii="Times New Roman" w:hAnsi="Times New Roman" w:eastAsia="宋体" w:cs="Times New Roman"/>
                      <w:b w:val="0"/>
                      <w:bCs w:val="0"/>
                      <w:sz w:val="21"/>
                      <w:szCs w:val="21"/>
                      <w:lang w:val="en-US" w:eastAsia="zh-CN"/>
                    </w:rPr>
                    <w:t>162</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default" w:ascii="Times New Roman" w:hAnsi="Times New Roman" w:eastAsia="宋体" w:cs="Times New Roman"/>
                      <w:b w:val="0"/>
                      <w:bCs w:val="0"/>
                      <w:color w:val="auto"/>
                      <w:sz w:val="21"/>
                      <w:szCs w:val="21"/>
                      <w:u w:val="none" w:color="auto"/>
                    </w:rPr>
                    <w:t>耐酸性专用容器</w:t>
                  </w:r>
                </w:p>
              </w:tc>
              <w:tc>
                <w:tcPr>
                  <w:tcW w:w="0" w:type="auto"/>
                  <w:vMerge w:val="restar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危废暂存间暂存，委托有资质单位处理</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0" w:type="auto"/>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eastAsia" w:ascii="Times New Roman" w:hAnsi="Times New Roman" w:eastAsia="宋体" w:cs="Times New Roman"/>
                      <w:b w:val="0"/>
                      <w:bCs w:val="0"/>
                      <w:color w:val="auto"/>
                      <w:sz w:val="21"/>
                      <w:szCs w:val="21"/>
                      <w:u w:val="none" w:color="auto"/>
                      <w:lang w:val="en-US" w:eastAsia="zh-CN"/>
                    </w:rPr>
                    <w:t>废电容器</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eastAsia" w:ascii="Times New Roman" w:hAnsi="Times New Roman" w:eastAsia="宋体" w:cs="Times New Roman"/>
                      <w:b w:val="0"/>
                      <w:bCs w:val="0"/>
                      <w:color w:val="auto"/>
                      <w:kern w:val="2"/>
                      <w:sz w:val="21"/>
                      <w:szCs w:val="21"/>
                      <w:u w:val="none" w:color="auto"/>
                      <w:lang w:val="en-US" w:eastAsia="zh-CN" w:bidi="ar-SA"/>
                    </w:rPr>
                  </w:pPr>
                  <w:r>
                    <w:rPr>
                      <w:rFonts w:hint="default" w:ascii="Times New Roman" w:hAnsi="Times New Roman" w:eastAsia="宋体" w:cs="Times New Roman"/>
                      <w:b w:val="0"/>
                      <w:bCs w:val="0"/>
                      <w:color w:val="auto"/>
                      <w:sz w:val="21"/>
                      <w:szCs w:val="21"/>
                      <w:u w:val="none" w:color="auto"/>
                    </w:rPr>
                    <w:t>900-045-49</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eastAsia" w:ascii="Times New Roman" w:hAnsi="Times New Roman" w:eastAsia="宋体" w:cs="Times New Roman"/>
                      <w:b w:val="0"/>
                      <w:bCs w:val="0"/>
                      <w:color w:val="auto"/>
                      <w:sz w:val="21"/>
                      <w:szCs w:val="21"/>
                      <w:u w:val="none" w:color="auto"/>
                      <w:lang w:val="en-US" w:eastAsia="zh-CN"/>
                    </w:rPr>
                  </w:pPr>
                  <w:r>
                    <w:rPr>
                      <w:rFonts w:hint="eastAsia" w:ascii="Times New Roman" w:hAnsi="Times New Roman" w:eastAsia="宋体" w:cs="Times New Roman"/>
                      <w:b w:val="0"/>
                      <w:bCs w:val="0"/>
                      <w:color w:val="auto"/>
                      <w:sz w:val="21"/>
                      <w:szCs w:val="21"/>
                      <w:u w:val="none" w:color="auto"/>
                      <w:lang w:val="en-US" w:eastAsia="zh-CN"/>
                    </w:rPr>
                    <w:t>固态</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b w:val="0"/>
                      <w:bCs w:val="0"/>
                      <w:kern w:val="2"/>
                      <w:sz w:val="21"/>
                      <w:szCs w:val="21"/>
                      <w:lang w:val="en-US" w:eastAsia="zh-CN" w:bidi="ar-SA"/>
                    </w:rPr>
                  </w:pPr>
                  <w:r>
                    <w:rPr>
                      <w:rFonts w:hint="eastAsia" w:ascii="Times New Roman" w:hAnsi="Times New Roman" w:eastAsia="宋体" w:cs="Times New Roman"/>
                      <w:b w:val="0"/>
                      <w:bCs w:val="0"/>
                      <w:sz w:val="21"/>
                      <w:szCs w:val="21"/>
                      <w:lang w:val="en-US" w:eastAsia="zh-CN"/>
                    </w:rPr>
                    <w:t>110</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eastAsia" w:ascii="Times New Roman" w:hAnsi="Times New Roman" w:eastAsia="宋体" w:cs="Times New Roman"/>
                      <w:b w:val="0"/>
                      <w:bCs w:val="0"/>
                      <w:color w:val="auto"/>
                      <w:sz w:val="21"/>
                      <w:szCs w:val="21"/>
                      <w:u w:val="none" w:color="auto"/>
                      <w:lang w:val="en-US" w:eastAsia="zh-CN"/>
                    </w:rPr>
                  </w:pPr>
                  <w:r>
                    <w:rPr>
                      <w:rFonts w:hint="eastAsia" w:cs="Times New Roman"/>
                      <w:b w:val="0"/>
                      <w:bCs w:val="0"/>
                      <w:color w:val="auto"/>
                      <w:sz w:val="21"/>
                      <w:szCs w:val="21"/>
                      <w:u w:val="none" w:color="auto"/>
                      <w:lang w:val="en-US" w:eastAsia="zh-CN"/>
                    </w:rPr>
                    <w:t>塑料桶</w:t>
                  </w:r>
                </w:p>
              </w:tc>
              <w:tc>
                <w:tcPr>
                  <w:tcW w:w="0" w:type="auto"/>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0" w:type="auto"/>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c>
                <w:tcPr>
                  <w:tcW w:w="0" w:type="auto"/>
                  <w:tcBorders>
                    <w:tl2br w:val="nil"/>
                    <w:tr2bl w:val="nil"/>
                  </w:tcBorders>
                  <w:vAlign w:val="center"/>
                </w:tcPr>
                <w:p>
                  <w:pPr>
                    <w:pStyle w:val="30"/>
                    <w:keepNext w:val="0"/>
                    <w:keepLines w:val="0"/>
                    <w:pageBreakBefore w:val="0"/>
                    <w:kinsoku/>
                    <w:wordWrap/>
                    <w:overflowPunct/>
                    <w:topLinePunct w:val="0"/>
                    <w:bidi w:val="0"/>
                    <w:adjustRightInd/>
                    <w:spacing w:line="240" w:lineRule="auto"/>
                    <w:ind w:left="0" w:leftChars="0" w:right="0" w:rightChars="0"/>
                    <w:jc w:val="center"/>
                    <w:outlineLvl w:val="9"/>
                    <w:rPr>
                      <w:rFonts w:hint="eastAsia" w:ascii="Times New Roman" w:hAnsi="Times New Roman" w:cs="Times New Roman" w:eastAsiaTheme="minorEastAsia"/>
                      <w:b w:val="0"/>
                      <w:bCs w:val="0"/>
                      <w:color w:val="auto"/>
                      <w:kern w:val="2"/>
                      <w:sz w:val="21"/>
                      <w:szCs w:val="21"/>
                      <w:u w:color="auto"/>
                      <w:lang w:val="en-US" w:eastAsia="zh-CN" w:bidi="ar-SA"/>
                    </w:rPr>
                  </w:pPr>
                  <w:r>
                    <w:rPr>
                      <w:rFonts w:hint="default" w:ascii="Times New Roman" w:hAnsi="Times New Roman" w:cs="Times New Roman" w:eastAsiaTheme="minorEastAsia"/>
                      <w:b w:val="0"/>
                      <w:bCs w:val="0"/>
                      <w:color w:val="auto"/>
                      <w:sz w:val="21"/>
                      <w:szCs w:val="21"/>
                      <w:u w:color="auto"/>
                      <w:lang w:val="en-US"/>
                    </w:rPr>
                    <w:t>废尾气净化装置</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eastAsia" w:ascii="Times New Roman" w:hAnsi="Times New Roman" w:eastAsia="宋体" w:cs="Times New Roman"/>
                      <w:b w:val="0"/>
                      <w:bCs w:val="0"/>
                      <w:color w:val="auto"/>
                      <w:kern w:val="2"/>
                      <w:sz w:val="21"/>
                      <w:szCs w:val="21"/>
                      <w:u w:val="none" w:color="auto"/>
                      <w:lang w:val="en-US" w:eastAsia="zh-CN" w:bidi="ar-SA"/>
                    </w:rPr>
                  </w:pPr>
                  <w:r>
                    <w:rPr>
                      <w:rFonts w:hint="default" w:ascii="Times New Roman" w:hAnsi="Times New Roman" w:eastAsia="宋体" w:cs="Times New Roman"/>
                      <w:b w:val="0"/>
                      <w:bCs w:val="0"/>
                      <w:color w:val="auto"/>
                      <w:sz w:val="21"/>
                      <w:szCs w:val="21"/>
                      <w:u w:val="none" w:color="auto"/>
                    </w:rPr>
                    <w:t>900-049-50</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eastAsia" w:ascii="Times New Roman" w:hAnsi="Times New Roman" w:eastAsia="宋体" w:cs="Times New Roman"/>
                      <w:b w:val="0"/>
                      <w:bCs w:val="0"/>
                      <w:color w:val="auto"/>
                      <w:sz w:val="21"/>
                      <w:szCs w:val="21"/>
                      <w:u w:val="none" w:color="auto"/>
                      <w:lang w:val="en-US" w:eastAsia="zh-CN"/>
                    </w:rPr>
                    <w:t>固态</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b w:val="0"/>
                      <w:bCs w:val="0"/>
                      <w:kern w:val="2"/>
                      <w:sz w:val="21"/>
                      <w:szCs w:val="21"/>
                      <w:lang w:val="en-US" w:eastAsia="zh-CN" w:bidi="ar-SA"/>
                    </w:rPr>
                  </w:pPr>
                  <w:r>
                    <w:rPr>
                      <w:rFonts w:hint="eastAsia" w:ascii="Times New Roman" w:hAnsi="Times New Roman" w:eastAsia="宋体" w:cs="Times New Roman"/>
                      <w:b w:val="0"/>
                      <w:bCs w:val="0"/>
                      <w:sz w:val="21"/>
                      <w:szCs w:val="21"/>
                      <w:lang w:val="en-US" w:eastAsia="zh-CN"/>
                    </w:rPr>
                    <w:t>13.2</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密闭容器</w:t>
                  </w:r>
                </w:p>
              </w:tc>
              <w:tc>
                <w:tcPr>
                  <w:tcW w:w="0" w:type="auto"/>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0" w:type="auto"/>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c>
                <w:tcPr>
                  <w:tcW w:w="0" w:type="auto"/>
                  <w:tcBorders>
                    <w:tl2br w:val="nil"/>
                    <w:tr2bl w:val="nil"/>
                  </w:tcBorders>
                  <w:vAlign w:val="center"/>
                </w:tcPr>
                <w:p>
                  <w:pPr>
                    <w:pStyle w:val="30"/>
                    <w:keepNext w:val="0"/>
                    <w:keepLines w:val="0"/>
                    <w:pageBreakBefore w:val="0"/>
                    <w:kinsoku/>
                    <w:wordWrap/>
                    <w:overflowPunct/>
                    <w:topLinePunct w:val="0"/>
                    <w:bidi w:val="0"/>
                    <w:adjustRightInd/>
                    <w:spacing w:line="240" w:lineRule="auto"/>
                    <w:ind w:left="0" w:leftChars="0" w:right="0" w:rightChars="0" w:firstLine="0" w:firstLineChars="0"/>
                    <w:jc w:val="center"/>
                    <w:outlineLvl w:val="9"/>
                    <w:rPr>
                      <w:rFonts w:hint="eastAsia" w:ascii="Times New Roman" w:hAnsi="Times New Roman" w:cs="Times New Roman" w:eastAsiaTheme="minorEastAsia"/>
                      <w:b w:val="0"/>
                      <w:bCs w:val="0"/>
                      <w:color w:val="auto"/>
                      <w:kern w:val="2"/>
                      <w:sz w:val="21"/>
                      <w:szCs w:val="21"/>
                      <w:u w:color="auto"/>
                      <w:lang w:val="en-US" w:eastAsia="zh-CN" w:bidi="ar-SA"/>
                    </w:rPr>
                  </w:pPr>
                  <w:r>
                    <w:rPr>
                      <w:rFonts w:hint="default" w:ascii="Times New Roman" w:hAnsi="Times New Roman" w:cs="Times New Roman" w:eastAsiaTheme="minorEastAsia"/>
                      <w:b w:val="0"/>
                      <w:bCs w:val="0"/>
                      <w:color w:val="auto"/>
                      <w:sz w:val="21"/>
                      <w:szCs w:val="21"/>
                      <w:u w:color="auto"/>
                      <w:lang w:val="en-US"/>
                    </w:rPr>
                    <w:t>废油液</w:t>
                  </w:r>
                </w:p>
              </w:tc>
              <w:tc>
                <w:tcPr>
                  <w:tcW w:w="0" w:type="auto"/>
                  <w:vMerge w:val="restar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eastAsia" w:ascii="Times New Roman" w:hAnsi="Times New Roman" w:eastAsia="宋体" w:cs="Times New Roman"/>
                      <w:b w:val="0"/>
                      <w:bCs w:val="0"/>
                      <w:color w:val="auto"/>
                      <w:kern w:val="2"/>
                      <w:sz w:val="21"/>
                      <w:szCs w:val="21"/>
                      <w:u w:val="none" w:color="auto"/>
                      <w:lang w:val="en-US" w:eastAsia="zh-CN" w:bidi="ar-SA"/>
                    </w:rPr>
                  </w:pPr>
                  <w:r>
                    <w:rPr>
                      <w:rFonts w:hint="default" w:ascii="Times New Roman" w:hAnsi="Times New Roman" w:eastAsia="宋体" w:cs="Times New Roman"/>
                      <w:b w:val="0"/>
                      <w:bCs w:val="0"/>
                      <w:color w:val="auto"/>
                      <w:sz w:val="21"/>
                      <w:szCs w:val="21"/>
                      <w:u w:val="none" w:color="auto"/>
                    </w:rPr>
                    <w:t>900-199-08</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eastAsia" w:ascii="Times New Roman" w:hAnsi="Times New Roman" w:eastAsia="宋体" w:cs="Times New Roman"/>
                      <w:b w:val="0"/>
                      <w:bCs w:val="0"/>
                      <w:color w:val="auto"/>
                      <w:sz w:val="21"/>
                      <w:szCs w:val="21"/>
                      <w:u w:val="none" w:color="auto"/>
                      <w:lang w:val="en-US" w:eastAsia="zh-CN"/>
                    </w:rPr>
                    <w:t>液态</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b w:val="0"/>
                      <w:bCs w:val="0"/>
                      <w:kern w:val="2"/>
                      <w:sz w:val="21"/>
                      <w:szCs w:val="21"/>
                      <w:lang w:val="en-US" w:eastAsia="zh-CN" w:bidi="ar-SA"/>
                    </w:rPr>
                  </w:pPr>
                  <w:r>
                    <w:rPr>
                      <w:rFonts w:hint="eastAsia" w:ascii="Times New Roman" w:hAnsi="Times New Roman" w:eastAsia="宋体" w:cs="Times New Roman"/>
                      <w:b w:val="0"/>
                      <w:bCs w:val="0"/>
                      <w:sz w:val="21"/>
                      <w:szCs w:val="21"/>
                      <w:lang w:val="en-US" w:eastAsia="zh-CN"/>
                    </w:rPr>
                    <w:t>50</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eastAsia" w:cs="Times New Roman"/>
                      <w:b w:val="0"/>
                      <w:bCs w:val="0"/>
                      <w:color w:val="auto"/>
                      <w:sz w:val="21"/>
                      <w:szCs w:val="21"/>
                      <w:u w:val="none" w:color="auto"/>
                      <w:lang w:val="en-US" w:eastAsia="zh-CN"/>
                    </w:rPr>
                    <w:t>200L油桶</w:t>
                  </w:r>
                </w:p>
              </w:tc>
              <w:tc>
                <w:tcPr>
                  <w:tcW w:w="0" w:type="auto"/>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0" w:type="auto"/>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eastAsia" w:ascii="Times New Roman" w:hAnsi="Times New Roman" w:eastAsia="宋体" w:cs="Times New Roman"/>
                      <w:b w:val="0"/>
                      <w:bCs w:val="0"/>
                      <w:color w:val="auto"/>
                      <w:sz w:val="21"/>
                      <w:szCs w:val="21"/>
                      <w:u w:val="none" w:color="auto"/>
                      <w:lang w:val="en-US" w:eastAsia="zh-CN"/>
                    </w:rPr>
                    <w:t>燃油</w:t>
                  </w:r>
                </w:p>
              </w:tc>
              <w:tc>
                <w:tcPr>
                  <w:tcW w:w="0" w:type="auto"/>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eastAsia" w:ascii="Times New Roman" w:hAnsi="Times New Roman" w:eastAsia="宋体" w:cs="Times New Roman"/>
                      <w:b w:val="0"/>
                      <w:bCs w:val="0"/>
                      <w:color w:val="auto"/>
                      <w:sz w:val="21"/>
                      <w:szCs w:val="21"/>
                      <w:u w:val="none" w:color="auto"/>
                      <w:lang w:val="en-US" w:eastAsia="zh-CN"/>
                    </w:rPr>
                  </w:pP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eastAsia" w:ascii="Times New Roman" w:hAnsi="Times New Roman" w:eastAsia="宋体" w:cs="Times New Roman"/>
                      <w:b w:val="0"/>
                      <w:bCs w:val="0"/>
                      <w:color w:val="auto"/>
                      <w:sz w:val="21"/>
                      <w:szCs w:val="21"/>
                      <w:u w:val="none" w:color="auto"/>
                      <w:lang w:val="en-US" w:eastAsia="zh-CN"/>
                    </w:rPr>
                    <w:t>液态</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b w:val="0"/>
                      <w:bCs w:val="0"/>
                      <w:kern w:val="2"/>
                      <w:sz w:val="21"/>
                      <w:szCs w:val="21"/>
                      <w:lang w:val="en-US" w:eastAsia="zh-CN" w:bidi="ar-SA"/>
                    </w:rPr>
                  </w:pPr>
                  <w:r>
                    <w:rPr>
                      <w:rFonts w:hint="eastAsia" w:ascii="Times New Roman" w:hAnsi="Times New Roman" w:eastAsia="宋体" w:cs="Times New Roman"/>
                      <w:b w:val="0"/>
                      <w:bCs w:val="0"/>
                      <w:sz w:val="21"/>
                      <w:szCs w:val="21"/>
                      <w:lang w:val="en-US" w:eastAsia="zh-CN"/>
                    </w:rPr>
                    <w:t>21</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eastAsia" w:cs="Times New Roman"/>
                      <w:b w:val="0"/>
                      <w:bCs w:val="0"/>
                      <w:color w:val="auto"/>
                      <w:sz w:val="21"/>
                      <w:szCs w:val="21"/>
                      <w:u w:val="none" w:color="auto"/>
                      <w:lang w:val="en-US" w:eastAsia="zh-CN"/>
                    </w:rPr>
                    <w:t>200L油桶</w:t>
                  </w:r>
                </w:p>
              </w:tc>
              <w:tc>
                <w:tcPr>
                  <w:tcW w:w="0" w:type="auto"/>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0" w:type="auto"/>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eastAsia" w:ascii="Times New Roman" w:hAnsi="Times New Roman" w:eastAsia="宋体" w:cs="Times New Roman"/>
                      <w:b w:val="0"/>
                      <w:bCs w:val="0"/>
                      <w:color w:val="auto"/>
                      <w:sz w:val="21"/>
                      <w:szCs w:val="21"/>
                      <w:u w:val="none" w:color="auto"/>
                      <w:lang w:val="en-US" w:eastAsia="zh-CN"/>
                    </w:rPr>
                    <w:t>废空调制冷剂</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eastAsia" w:ascii="Times New Roman" w:hAnsi="Times New Roman" w:eastAsia="宋体" w:cs="Times New Roman"/>
                      <w:b w:val="0"/>
                      <w:bCs w:val="0"/>
                      <w:color w:val="auto"/>
                      <w:kern w:val="2"/>
                      <w:sz w:val="21"/>
                      <w:szCs w:val="21"/>
                      <w:u w:val="none" w:color="auto"/>
                      <w:lang w:val="en-US" w:eastAsia="zh-CN" w:bidi="ar-SA"/>
                    </w:rPr>
                  </w:pPr>
                  <w:r>
                    <w:rPr>
                      <w:rFonts w:hint="default" w:ascii="Times New Roman" w:hAnsi="Times New Roman" w:eastAsia="宋体" w:cs="Times New Roman"/>
                      <w:b w:val="0"/>
                      <w:bCs w:val="0"/>
                      <w:color w:val="auto"/>
                      <w:sz w:val="21"/>
                      <w:szCs w:val="21"/>
                      <w:u w:val="none" w:color="auto"/>
                    </w:rPr>
                    <w:t>《报废机动车拆解环境保护技术规范》中制定的危险废物</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eastAsia" w:ascii="Times New Roman" w:hAnsi="Times New Roman" w:eastAsia="宋体" w:cs="Times New Roman"/>
                      <w:b w:val="0"/>
                      <w:bCs w:val="0"/>
                      <w:color w:val="auto"/>
                      <w:sz w:val="21"/>
                      <w:szCs w:val="21"/>
                      <w:u w:val="none" w:color="auto"/>
                      <w:lang w:val="en-US" w:eastAsia="zh-CN"/>
                    </w:rPr>
                    <w:t>液态</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b w:val="0"/>
                      <w:bCs w:val="0"/>
                      <w:kern w:val="2"/>
                      <w:sz w:val="21"/>
                      <w:szCs w:val="21"/>
                      <w:lang w:val="en-US" w:eastAsia="zh-CN" w:bidi="ar-SA"/>
                    </w:rPr>
                  </w:pPr>
                  <w:r>
                    <w:rPr>
                      <w:rFonts w:hint="eastAsia" w:ascii="Times New Roman" w:hAnsi="Times New Roman" w:eastAsia="宋体" w:cs="Times New Roman"/>
                      <w:b w:val="0"/>
                      <w:bCs w:val="0"/>
                      <w:sz w:val="21"/>
                      <w:szCs w:val="21"/>
                      <w:lang w:val="en-US" w:eastAsia="zh-CN"/>
                    </w:rPr>
                    <w:t>10</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密闭容器</w:t>
                  </w:r>
                </w:p>
              </w:tc>
              <w:tc>
                <w:tcPr>
                  <w:tcW w:w="0" w:type="auto"/>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0" w:type="auto"/>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eastAsia" w:ascii="Times New Roman" w:hAnsi="Times New Roman" w:eastAsia="宋体" w:cs="Times New Roman"/>
                      <w:b w:val="0"/>
                      <w:bCs w:val="0"/>
                      <w:color w:val="auto"/>
                      <w:sz w:val="21"/>
                      <w:szCs w:val="21"/>
                      <w:u w:val="none" w:color="auto"/>
                      <w:lang w:val="en-US" w:eastAsia="zh-CN"/>
                    </w:rPr>
                    <w:t>废冷却液</w:t>
                  </w:r>
                </w:p>
              </w:tc>
              <w:tc>
                <w:tcPr>
                  <w:tcW w:w="2362"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eastAsia" w:ascii="Times New Roman" w:hAnsi="Times New Roman" w:eastAsia="宋体" w:cs="Times New Roman"/>
                      <w:b w:val="0"/>
                      <w:bCs w:val="0"/>
                      <w:color w:val="auto"/>
                      <w:kern w:val="2"/>
                      <w:sz w:val="21"/>
                      <w:szCs w:val="21"/>
                      <w:u w:val="none" w:color="auto"/>
                      <w:lang w:val="en-US" w:eastAsia="zh-CN" w:bidi="ar-SA"/>
                    </w:rPr>
                  </w:pPr>
                  <w:r>
                    <w:rPr>
                      <w:rFonts w:hint="eastAsia" w:ascii="Times New Roman" w:hAnsi="Times New Roman" w:eastAsia="宋体" w:cs="Times New Roman"/>
                      <w:b w:val="0"/>
                      <w:bCs w:val="0"/>
                      <w:color w:val="auto"/>
                      <w:sz w:val="21"/>
                      <w:szCs w:val="21"/>
                      <w:u w:val="none" w:color="auto"/>
                      <w:lang w:val="en-US" w:eastAsia="zh-CN"/>
                    </w:rPr>
                    <w:t>900-007-09</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eastAsia" w:ascii="Times New Roman" w:hAnsi="Times New Roman" w:eastAsia="宋体" w:cs="Times New Roman"/>
                      <w:b w:val="0"/>
                      <w:bCs w:val="0"/>
                      <w:color w:val="auto"/>
                      <w:sz w:val="21"/>
                      <w:szCs w:val="21"/>
                      <w:u w:val="none" w:color="auto"/>
                      <w:lang w:val="en-US" w:eastAsia="zh-CN"/>
                    </w:rPr>
                  </w:pPr>
                  <w:r>
                    <w:rPr>
                      <w:rFonts w:hint="eastAsia" w:ascii="Times New Roman" w:hAnsi="Times New Roman" w:eastAsia="宋体" w:cs="Times New Roman"/>
                      <w:b w:val="0"/>
                      <w:bCs w:val="0"/>
                      <w:color w:val="auto"/>
                      <w:sz w:val="21"/>
                      <w:szCs w:val="21"/>
                      <w:u w:val="none" w:color="auto"/>
                      <w:lang w:val="en-US" w:eastAsia="zh-CN"/>
                    </w:rPr>
                    <w:t>液态</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b w:val="0"/>
                      <w:bCs w:val="0"/>
                      <w:kern w:val="2"/>
                      <w:sz w:val="21"/>
                      <w:szCs w:val="21"/>
                      <w:lang w:val="en-US" w:eastAsia="zh-CN" w:bidi="ar-SA"/>
                    </w:rPr>
                  </w:pPr>
                  <w:r>
                    <w:rPr>
                      <w:rFonts w:hint="eastAsia" w:ascii="Times New Roman" w:hAnsi="Times New Roman" w:eastAsia="宋体" w:cs="Times New Roman"/>
                      <w:b w:val="0"/>
                      <w:bCs w:val="0"/>
                      <w:sz w:val="21"/>
                      <w:szCs w:val="21"/>
                      <w:lang w:val="en-US" w:eastAsia="zh-CN"/>
                    </w:rPr>
                    <w:t>2</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密闭容器</w:t>
                  </w:r>
                </w:p>
              </w:tc>
              <w:tc>
                <w:tcPr>
                  <w:tcW w:w="0" w:type="auto"/>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0" w:type="auto"/>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eastAsia" w:ascii="Times New Roman" w:hAnsi="Times New Roman" w:eastAsia="宋体" w:cs="Times New Roman"/>
                      <w:b w:val="0"/>
                      <w:bCs w:val="0"/>
                      <w:color w:val="auto"/>
                      <w:sz w:val="21"/>
                      <w:szCs w:val="21"/>
                      <w:u w:val="none" w:color="auto"/>
                      <w:lang w:val="en-US" w:eastAsia="zh-CN"/>
                    </w:rPr>
                    <w:t>废电路板</w:t>
                  </w:r>
                </w:p>
              </w:tc>
              <w:tc>
                <w:tcPr>
                  <w:tcW w:w="2362"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eastAsia" w:ascii="Times New Roman" w:hAnsi="Times New Roman" w:eastAsia="宋体" w:cs="Times New Roman"/>
                      <w:b w:val="0"/>
                      <w:bCs w:val="0"/>
                      <w:color w:val="auto"/>
                      <w:kern w:val="2"/>
                      <w:sz w:val="21"/>
                      <w:szCs w:val="21"/>
                      <w:u w:val="none" w:color="auto"/>
                      <w:lang w:val="en-US" w:eastAsia="zh-CN" w:bidi="ar-SA"/>
                    </w:rPr>
                  </w:pPr>
                  <w:r>
                    <w:rPr>
                      <w:rFonts w:hint="default" w:ascii="Times New Roman" w:hAnsi="Times New Roman" w:eastAsia="宋体" w:cs="Times New Roman"/>
                      <w:b w:val="0"/>
                      <w:bCs w:val="0"/>
                      <w:color w:val="auto"/>
                      <w:sz w:val="21"/>
                      <w:szCs w:val="21"/>
                      <w:u w:val="none" w:color="auto"/>
                    </w:rPr>
                    <w:t>900-045-49</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eastAsia" w:ascii="Times New Roman" w:hAnsi="Times New Roman" w:eastAsia="宋体" w:cs="Times New Roman"/>
                      <w:b w:val="0"/>
                      <w:bCs w:val="0"/>
                      <w:color w:val="auto"/>
                      <w:sz w:val="21"/>
                      <w:szCs w:val="21"/>
                      <w:u w:val="none" w:color="auto"/>
                      <w:lang w:val="en-US" w:eastAsia="zh-CN"/>
                    </w:rPr>
                    <w:t>固态</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b w:val="0"/>
                      <w:bCs w:val="0"/>
                      <w:kern w:val="2"/>
                      <w:sz w:val="21"/>
                      <w:szCs w:val="21"/>
                      <w:lang w:val="en-US" w:eastAsia="zh-CN" w:bidi="ar-SA"/>
                    </w:rPr>
                  </w:pPr>
                  <w:r>
                    <w:rPr>
                      <w:rFonts w:hint="eastAsia" w:ascii="Times New Roman" w:hAnsi="Times New Roman" w:eastAsia="宋体" w:cs="Times New Roman"/>
                      <w:b w:val="0"/>
                      <w:bCs w:val="0"/>
                      <w:sz w:val="21"/>
                      <w:szCs w:val="21"/>
                      <w:lang w:val="en-US" w:eastAsia="zh-CN"/>
                    </w:rPr>
                    <w:t>21.6</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密闭容器</w:t>
                  </w:r>
                </w:p>
              </w:tc>
              <w:tc>
                <w:tcPr>
                  <w:tcW w:w="0" w:type="auto"/>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0" w:type="auto"/>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c>
                <w:tcPr>
                  <w:tcW w:w="0" w:type="auto"/>
                  <w:tcBorders>
                    <w:tl2br w:val="nil"/>
                    <w:tr2bl w:val="nil"/>
                  </w:tcBorders>
                  <w:vAlign w:val="center"/>
                </w:tcPr>
                <w:p>
                  <w:pPr>
                    <w:pStyle w:val="30"/>
                    <w:keepNext w:val="0"/>
                    <w:keepLines w:val="0"/>
                    <w:pageBreakBefore w:val="0"/>
                    <w:kinsoku/>
                    <w:wordWrap/>
                    <w:overflowPunct/>
                    <w:topLinePunct w:val="0"/>
                    <w:bidi w:val="0"/>
                    <w:adjustRightInd/>
                    <w:spacing w:line="240" w:lineRule="auto"/>
                    <w:ind w:left="0" w:leftChars="0" w:right="0" w:rightChars="0" w:firstLine="0" w:firstLineChars="0"/>
                    <w:jc w:val="center"/>
                    <w:outlineLvl w:val="9"/>
                    <w:rPr>
                      <w:rFonts w:hint="eastAsia" w:ascii="Times New Roman" w:hAnsi="Times New Roman" w:cs="Times New Roman" w:eastAsiaTheme="minorEastAsia"/>
                      <w:b w:val="0"/>
                      <w:bCs w:val="0"/>
                      <w:color w:val="auto"/>
                      <w:kern w:val="2"/>
                      <w:sz w:val="21"/>
                      <w:szCs w:val="21"/>
                      <w:u w:color="auto"/>
                      <w:lang w:val="en-US" w:eastAsia="zh-CN" w:bidi="ar-SA"/>
                    </w:rPr>
                  </w:pPr>
                  <w:r>
                    <w:rPr>
                      <w:rFonts w:hint="default" w:ascii="Times New Roman" w:hAnsi="Times New Roman" w:cs="Times New Roman" w:eastAsiaTheme="minorEastAsia"/>
                      <w:b w:val="0"/>
                      <w:bCs w:val="0"/>
                      <w:color w:val="auto"/>
                      <w:sz w:val="21"/>
                      <w:szCs w:val="21"/>
                      <w:u w:color="auto"/>
                      <w:lang w:val="en-US"/>
                    </w:rPr>
                    <w:t>废机油滤清器</w:t>
                  </w:r>
                </w:p>
              </w:tc>
              <w:tc>
                <w:tcPr>
                  <w:tcW w:w="2362"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eastAsia" w:ascii="Times New Roman" w:hAnsi="Times New Roman" w:eastAsia="宋体" w:cs="Times New Roman"/>
                      <w:b w:val="0"/>
                      <w:bCs w:val="0"/>
                      <w:color w:val="auto"/>
                      <w:kern w:val="2"/>
                      <w:sz w:val="21"/>
                      <w:szCs w:val="21"/>
                      <w:u w:val="none" w:color="auto"/>
                      <w:lang w:val="en-US" w:eastAsia="zh-CN" w:bidi="ar-SA"/>
                    </w:rPr>
                  </w:pPr>
                  <w:r>
                    <w:rPr>
                      <w:rFonts w:hint="default" w:ascii="Times New Roman" w:hAnsi="Times New Roman" w:eastAsia="宋体" w:cs="Times New Roman"/>
                      <w:b w:val="0"/>
                      <w:bCs w:val="0"/>
                      <w:color w:val="auto"/>
                      <w:sz w:val="21"/>
                      <w:szCs w:val="21"/>
                      <w:u w:val="none" w:color="auto"/>
                    </w:rPr>
                    <w:t>900-</w:t>
                  </w:r>
                  <w:r>
                    <w:rPr>
                      <w:rFonts w:hint="eastAsia" w:ascii="Times New Roman" w:hAnsi="Times New Roman" w:eastAsia="宋体" w:cs="Times New Roman"/>
                      <w:b w:val="0"/>
                      <w:bCs w:val="0"/>
                      <w:color w:val="auto"/>
                      <w:sz w:val="21"/>
                      <w:szCs w:val="21"/>
                      <w:u w:val="none" w:color="auto"/>
                      <w:lang w:val="en-US" w:eastAsia="zh-CN"/>
                    </w:rPr>
                    <w:t>041-49</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eastAsia" w:ascii="Times New Roman" w:hAnsi="Times New Roman" w:eastAsia="宋体" w:cs="Times New Roman"/>
                      <w:b w:val="0"/>
                      <w:bCs w:val="0"/>
                      <w:color w:val="auto"/>
                      <w:sz w:val="21"/>
                      <w:szCs w:val="21"/>
                      <w:u w:val="none" w:color="auto"/>
                      <w:lang w:val="en-US" w:eastAsia="zh-CN"/>
                    </w:rPr>
                  </w:pPr>
                  <w:r>
                    <w:rPr>
                      <w:rFonts w:hint="eastAsia" w:ascii="Times New Roman" w:hAnsi="Times New Roman" w:eastAsia="宋体" w:cs="Times New Roman"/>
                      <w:b w:val="0"/>
                      <w:bCs w:val="0"/>
                      <w:color w:val="auto"/>
                      <w:sz w:val="21"/>
                      <w:szCs w:val="21"/>
                      <w:u w:val="none" w:color="auto"/>
                      <w:lang w:val="en-US" w:eastAsia="zh-CN"/>
                    </w:rPr>
                    <w:t>固态</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b w:val="0"/>
                      <w:bCs w:val="0"/>
                      <w:kern w:val="2"/>
                      <w:sz w:val="21"/>
                      <w:szCs w:val="21"/>
                      <w:lang w:val="en-US" w:eastAsia="zh-CN" w:bidi="ar-SA"/>
                    </w:rPr>
                  </w:pPr>
                  <w:r>
                    <w:rPr>
                      <w:rFonts w:hint="eastAsia" w:ascii="Times New Roman" w:hAnsi="Times New Roman" w:eastAsia="宋体" w:cs="Times New Roman"/>
                      <w:b w:val="0"/>
                      <w:bCs w:val="0"/>
                      <w:sz w:val="21"/>
                      <w:szCs w:val="21"/>
                      <w:lang w:val="en-US" w:eastAsia="zh-CN"/>
                    </w:rPr>
                    <w:t>2.7</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密闭容器</w:t>
                  </w:r>
                </w:p>
              </w:tc>
              <w:tc>
                <w:tcPr>
                  <w:tcW w:w="0" w:type="auto"/>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0" w:type="auto"/>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c>
                <w:tcPr>
                  <w:tcW w:w="0" w:type="auto"/>
                  <w:tcBorders>
                    <w:tl2br w:val="nil"/>
                    <w:tr2bl w:val="nil"/>
                  </w:tcBorders>
                  <w:vAlign w:val="center"/>
                </w:tcPr>
                <w:p>
                  <w:pPr>
                    <w:pStyle w:val="30"/>
                    <w:keepNext w:val="0"/>
                    <w:keepLines w:val="0"/>
                    <w:pageBreakBefore w:val="0"/>
                    <w:kinsoku/>
                    <w:wordWrap/>
                    <w:overflowPunct/>
                    <w:topLinePunct w:val="0"/>
                    <w:bidi w:val="0"/>
                    <w:adjustRightInd/>
                    <w:spacing w:line="240" w:lineRule="auto"/>
                    <w:ind w:left="0" w:leftChars="0" w:right="0" w:rightChars="0" w:firstLine="0" w:firstLineChars="0"/>
                    <w:jc w:val="center"/>
                    <w:outlineLvl w:val="9"/>
                    <w:rPr>
                      <w:rFonts w:hint="eastAsia" w:ascii="Times New Roman" w:hAnsi="Times New Roman" w:cs="Times New Roman" w:eastAsiaTheme="minorEastAsia"/>
                      <w:b w:val="0"/>
                      <w:bCs w:val="0"/>
                      <w:color w:val="auto"/>
                      <w:kern w:val="2"/>
                      <w:sz w:val="21"/>
                      <w:szCs w:val="21"/>
                      <w:u w:color="auto"/>
                      <w:lang w:val="en-US" w:eastAsia="zh-CN" w:bidi="ar-SA"/>
                    </w:rPr>
                  </w:pPr>
                  <w:r>
                    <w:rPr>
                      <w:rFonts w:hint="default" w:ascii="Times New Roman" w:hAnsi="Times New Roman" w:cs="Times New Roman" w:eastAsiaTheme="minorEastAsia"/>
                      <w:b w:val="0"/>
                      <w:bCs w:val="0"/>
                      <w:color w:val="auto"/>
                      <w:sz w:val="21"/>
                      <w:szCs w:val="21"/>
                      <w:u w:color="auto"/>
                      <w:lang w:val="en-US"/>
                    </w:rPr>
                    <w:t>含有毒有害物质的部件（含汞开关、含铅部件）</w:t>
                  </w:r>
                </w:p>
              </w:tc>
              <w:tc>
                <w:tcPr>
                  <w:tcW w:w="2362"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eastAsia" w:ascii="Times New Roman" w:hAnsi="Times New Roman" w:eastAsia="宋体" w:cs="Times New Roman"/>
                      <w:b w:val="0"/>
                      <w:bCs w:val="0"/>
                      <w:color w:val="auto"/>
                      <w:kern w:val="2"/>
                      <w:sz w:val="21"/>
                      <w:szCs w:val="21"/>
                      <w:u w:val="none" w:color="auto"/>
                      <w:lang w:val="en-US" w:eastAsia="zh-CN" w:bidi="ar-SA"/>
                    </w:rPr>
                  </w:pPr>
                  <w:r>
                    <w:rPr>
                      <w:rFonts w:hint="default" w:ascii="Times New Roman" w:hAnsi="Times New Roman" w:eastAsia="宋体" w:cs="Times New Roman"/>
                      <w:b w:val="0"/>
                      <w:bCs w:val="0"/>
                      <w:color w:val="auto"/>
                      <w:sz w:val="21"/>
                      <w:szCs w:val="21"/>
                      <w:u w:val="none" w:color="auto"/>
                    </w:rPr>
                    <w:t>900-052-31</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eastAsia" w:ascii="Times New Roman" w:hAnsi="Times New Roman" w:eastAsia="宋体" w:cs="Times New Roman"/>
                      <w:b w:val="0"/>
                      <w:bCs w:val="0"/>
                      <w:color w:val="auto"/>
                      <w:sz w:val="21"/>
                      <w:szCs w:val="21"/>
                      <w:u w:val="none" w:color="auto"/>
                      <w:lang w:val="en-US" w:eastAsia="zh-CN"/>
                    </w:rPr>
                  </w:pPr>
                  <w:r>
                    <w:rPr>
                      <w:rFonts w:hint="eastAsia" w:ascii="Times New Roman" w:hAnsi="Times New Roman" w:eastAsia="宋体" w:cs="Times New Roman"/>
                      <w:b w:val="0"/>
                      <w:bCs w:val="0"/>
                      <w:color w:val="auto"/>
                      <w:sz w:val="21"/>
                      <w:szCs w:val="21"/>
                      <w:u w:val="none" w:color="auto"/>
                      <w:lang w:val="en-US" w:eastAsia="zh-CN"/>
                    </w:rPr>
                    <w:t>固态</w:t>
                  </w:r>
                </w:p>
              </w:tc>
              <w:tc>
                <w:tcPr>
                  <w:tcW w:w="0" w:type="auto"/>
                  <w:tcBorders>
                    <w:tl2br w:val="nil"/>
                    <w:tr2bl w:val="nil"/>
                  </w:tcBorders>
                  <w:vAlign w:val="center"/>
                </w:tcPr>
                <w:p>
                  <w:pPr>
                    <w:adjustRightInd w:val="0"/>
                    <w:snapToGrid w:val="0"/>
                    <w:spacing w:line="240" w:lineRule="auto"/>
                    <w:jc w:val="center"/>
                    <w:rPr>
                      <w:rFonts w:hint="default" w:ascii="Times New Roman" w:hAnsi="Times New Roman" w:eastAsia="宋体" w:cs="Times New Roman"/>
                      <w:b w:val="0"/>
                      <w:bCs w:val="0"/>
                      <w:kern w:val="2"/>
                      <w:sz w:val="21"/>
                      <w:szCs w:val="21"/>
                      <w:lang w:val="en-US" w:eastAsia="zh-CN" w:bidi="ar-SA"/>
                    </w:rPr>
                  </w:pPr>
                  <w:r>
                    <w:rPr>
                      <w:rFonts w:hint="eastAsia" w:ascii="Times New Roman" w:hAnsi="Times New Roman" w:eastAsia="宋体" w:cs="Times New Roman"/>
                      <w:b w:val="0"/>
                      <w:bCs w:val="0"/>
                      <w:sz w:val="21"/>
                      <w:szCs w:val="21"/>
                      <w:lang w:val="en-US" w:eastAsia="zh-CN"/>
                    </w:rPr>
                    <w:t>5</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耐酸性专用容器</w:t>
                  </w:r>
                </w:p>
              </w:tc>
              <w:tc>
                <w:tcPr>
                  <w:tcW w:w="0" w:type="auto"/>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0" w:type="auto"/>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kern w:val="2"/>
                      <w:sz w:val="21"/>
                      <w:szCs w:val="21"/>
                      <w:u w:val="none" w:color="auto"/>
                      <w:lang w:val="en-US" w:eastAsia="zh-CN" w:bidi="ar-SA"/>
                    </w:rPr>
                  </w:pPr>
                  <w:r>
                    <w:rPr>
                      <w:rFonts w:hint="eastAsia" w:cs="Times New Roman"/>
                      <w:b w:val="0"/>
                      <w:bCs w:val="0"/>
                      <w:color w:val="auto"/>
                      <w:sz w:val="21"/>
                      <w:szCs w:val="21"/>
                      <w:u w:val="none" w:color="auto"/>
                      <w:lang w:eastAsia="zh-CN"/>
                    </w:rPr>
                    <w:t>油水分离器废油</w:t>
                  </w:r>
                </w:p>
              </w:tc>
              <w:tc>
                <w:tcPr>
                  <w:tcW w:w="2362"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kern w:val="2"/>
                      <w:sz w:val="21"/>
                      <w:szCs w:val="21"/>
                      <w:u w:val="none" w:color="auto"/>
                      <w:lang w:val="en-US" w:eastAsia="zh-CN" w:bidi="ar-SA"/>
                    </w:rPr>
                  </w:pPr>
                  <w:r>
                    <w:rPr>
                      <w:rFonts w:hint="default" w:ascii="Times New Roman" w:hAnsi="Times New Roman" w:eastAsia="宋体" w:cs="Times New Roman"/>
                      <w:b w:val="0"/>
                      <w:bCs w:val="0"/>
                      <w:color w:val="auto"/>
                      <w:sz w:val="21"/>
                      <w:szCs w:val="21"/>
                      <w:u w:val="none" w:color="auto"/>
                    </w:rPr>
                    <w:t>900-023-29</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eastAsia" w:ascii="Times New Roman" w:hAnsi="Times New Roman" w:eastAsia="宋体" w:cs="Times New Roman"/>
                      <w:b w:val="0"/>
                      <w:bCs w:val="0"/>
                      <w:color w:val="auto"/>
                      <w:kern w:val="2"/>
                      <w:sz w:val="21"/>
                      <w:szCs w:val="21"/>
                      <w:u w:val="none" w:color="auto"/>
                      <w:lang w:val="en-US" w:eastAsia="zh-CN" w:bidi="ar-SA"/>
                    </w:rPr>
                  </w:pPr>
                  <w:r>
                    <w:rPr>
                      <w:rFonts w:hint="default" w:ascii="Times New Roman" w:hAnsi="Times New Roman" w:eastAsia="宋体" w:cs="Times New Roman"/>
                      <w:b w:val="0"/>
                      <w:bCs w:val="0"/>
                      <w:color w:val="auto"/>
                      <w:sz w:val="21"/>
                      <w:szCs w:val="21"/>
                      <w:u w:val="none" w:color="auto"/>
                    </w:rPr>
                    <w:t>液体</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kern w:val="2"/>
                      <w:sz w:val="21"/>
                      <w:szCs w:val="21"/>
                      <w:u w:val="none" w:color="auto"/>
                      <w:lang w:val="en-US" w:eastAsia="zh-CN" w:bidi="ar-SA"/>
                    </w:rPr>
                  </w:pPr>
                  <w:r>
                    <w:rPr>
                      <w:rFonts w:hint="eastAsia" w:cs="Times New Roman"/>
                      <w:b w:val="0"/>
                      <w:bCs w:val="0"/>
                      <w:color w:val="auto"/>
                      <w:kern w:val="2"/>
                      <w:sz w:val="21"/>
                      <w:szCs w:val="21"/>
                      <w:u w:val="none" w:color="auto"/>
                      <w:lang w:val="en-US" w:eastAsia="zh-CN" w:bidi="ar-SA"/>
                    </w:rPr>
                    <w:t>0.2</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kern w:val="2"/>
                      <w:sz w:val="21"/>
                      <w:szCs w:val="21"/>
                      <w:u w:val="none" w:color="auto"/>
                      <w:lang w:val="en-US" w:eastAsia="zh-CN" w:bidi="ar-SA"/>
                    </w:rPr>
                  </w:pPr>
                  <w:r>
                    <w:rPr>
                      <w:rFonts w:hint="default" w:ascii="Times New Roman" w:hAnsi="Times New Roman" w:eastAsia="宋体" w:cs="Times New Roman"/>
                      <w:b w:val="0"/>
                      <w:bCs w:val="0"/>
                      <w:color w:val="auto"/>
                      <w:sz w:val="21"/>
                      <w:szCs w:val="21"/>
                      <w:u w:val="none" w:color="auto"/>
                    </w:rPr>
                    <w:t>密闭容器</w:t>
                  </w:r>
                </w:p>
              </w:tc>
              <w:tc>
                <w:tcPr>
                  <w:tcW w:w="0" w:type="auto"/>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0" w:type="auto"/>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kern w:val="2"/>
                      <w:sz w:val="21"/>
                      <w:szCs w:val="21"/>
                      <w:u w:val="none" w:color="auto"/>
                      <w:lang w:val="en-US" w:eastAsia="zh-CN" w:bidi="ar-SA"/>
                    </w:rPr>
                  </w:pPr>
                  <w:r>
                    <w:rPr>
                      <w:rFonts w:hint="default" w:ascii="Times New Roman" w:hAnsi="Times New Roman" w:eastAsia="宋体" w:cs="Times New Roman"/>
                      <w:b w:val="0"/>
                      <w:bCs w:val="0"/>
                      <w:color w:val="auto"/>
                      <w:sz w:val="21"/>
                      <w:szCs w:val="21"/>
                      <w:u w:val="none" w:color="auto"/>
                    </w:rPr>
                    <w:t>废含油手套抹布</w:t>
                  </w:r>
                </w:p>
              </w:tc>
              <w:tc>
                <w:tcPr>
                  <w:tcW w:w="2362"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kern w:val="2"/>
                      <w:sz w:val="21"/>
                      <w:szCs w:val="21"/>
                      <w:u w:val="none" w:color="auto"/>
                      <w:lang w:val="en-US" w:eastAsia="zh-CN" w:bidi="ar-SA"/>
                    </w:rPr>
                  </w:pPr>
                  <w:r>
                    <w:rPr>
                      <w:rFonts w:hint="default" w:ascii="Times New Roman" w:hAnsi="Times New Roman" w:eastAsia="宋体" w:cs="Times New Roman"/>
                      <w:b w:val="0"/>
                      <w:bCs w:val="0"/>
                      <w:color w:val="auto"/>
                      <w:sz w:val="21"/>
                      <w:szCs w:val="21"/>
                      <w:u w:val="none" w:color="auto"/>
                    </w:rPr>
                    <w:t>900-210-08</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eastAsia" w:ascii="Times New Roman" w:hAnsi="Times New Roman" w:eastAsia="宋体" w:cs="Times New Roman"/>
                      <w:b w:val="0"/>
                      <w:bCs w:val="0"/>
                      <w:color w:val="auto"/>
                      <w:kern w:val="2"/>
                      <w:sz w:val="21"/>
                      <w:szCs w:val="21"/>
                      <w:u w:val="none" w:color="auto"/>
                      <w:lang w:val="en-US" w:eastAsia="zh-CN" w:bidi="ar-SA"/>
                    </w:rPr>
                  </w:pPr>
                  <w:r>
                    <w:rPr>
                      <w:rFonts w:hint="default" w:ascii="Times New Roman" w:hAnsi="Times New Roman" w:eastAsia="宋体" w:cs="Times New Roman"/>
                      <w:b w:val="0"/>
                      <w:bCs w:val="0"/>
                      <w:color w:val="auto"/>
                      <w:sz w:val="21"/>
                      <w:szCs w:val="21"/>
                      <w:u w:val="none" w:color="auto"/>
                    </w:rPr>
                    <w:t>固态</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kern w:val="2"/>
                      <w:sz w:val="21"/>
                      <w:szCs w:val="21"/>
                      <w:u w:val="none" w:color="auto"/>
                      <w:lang w:val="en-US" w:eastAsia="zh-CN" w:bidi="ar-SA"/>
                    </w:rPr>
                  </w:pPr>
                  <w:r>
                    <w:rPr>
                      <w:rFonts w:hint="eastAsia" w:cs="Times New Roman"/>
                      <w:b w:val="0"/>
                      <w:bCs w:val="0"/>
                      <w:color w:val="auto"/>
                      <w:kern w:val="2"/>
                      <w:sz w:val="21"/>
                      <w:szCs w:val="21"/>
                      <w:u w:val="none" w:color="auto"/>
                      <w:lang w:val="en-US" w:eastAsia="zh-CN" w:bidi="ar-SA"/>
                    </w:rPr>
                    <w:t>0.3</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kern w:val="2"/>
                      <w:sz w:val="21"/>
                      <w:szCs w:val="21"/>
                      <w:u w:val="none" w:color="auto"/>
                      <w:lang w:val="en-US" w:eastAsia="zh-CN" w:bidi="ar-SA"/>
                    </w:rPr>
                  </w:pPr>
                  <w:r>
                    <w:rPr>
                      <w:rFonts w:hint="default" w:ascii="Times New Roman" w:hAnsi="Times New Roman" w:eastAsia="宋体" w:cs="Times New Roman"/>
                      <w:b w:val="0"/>
                      <w:bCs w:val="0"/>
                      <w:color w:val="auto"/>
                      <w:sz w:val="21"/>
                      <w:szCs w:val="21"/>
                      <w:u w:val="none" w:color="auto"/>
                    </w:rPr>
                    <w:t>专用容器</w:t>
                  </w:r>
                </w:p>
              </w:tc>
              <w:tc>
                <w:tcPr>
                  <w:tcW w:w="0" w:type="auto"/>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0" w:type="auto"/>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eastAsia" w:cs="Times New Roman"/>
                      <w:b w:val="0"/>
                      <w:bCs w:val="0"/>
                      <w:color w:val="auto"/>
                      <w:sz w:val="21"/>
                      <w:szCs w:val="21"/>
                      <w:u w:val="none" w:color="auto"/>
                      <w:lang w:val="en-US" w:eastAsia="zh-CN"/>
                    </w:rPr>
                    <w:t>隔油沉淀池污泥</w:t>
                  </w:r>
                </w:p>
              </w:tc>
              <w:tc>
                <w:tcPr>
                  <w:tcW w:w="2362" w:type="dxa"/>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kern w:val="2"/>
                      <w:sz w:val="21"/>
                      <w:szCs w:val="21"/>
                      <w:u w:val="none" w:color="auto"/>
                      <w:lang w:val="en-US" w:eastAsia="zh-CN" w:bidi="ar-SA"/>
                    </w:rPr>
                  </w:pPr>
                  <w:r>
                    <w:rPr>
                      <w:rFonts w:hint="default" w:ascii="Times New Roman" w:hAnsi="Times New Roman" w:eastAsia="宋体" w:cs="Times New Roman"/>
                      <w:b w:val="0"/>
                      <w:bCs w:val="0"/>
                      <w:color w:val="auto"/>
                      <w:sz w:val="21"/>
                      <w:szCs w:val="21"/>
                      <w:u w:val="none" w:color="auto"/>
                    </w:rPr>
                    <w:t>900-041-49</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固态</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kern w:val="2"/>
                      <w:sz w:val="21"/>
                      <w:szCs w:val="21"/>
                      <w:u w:val="none" w:color="auto"/>
                      <w:lang w:val="en-US" w:eastAsia="zh-CN" w:bidi="ar-SA"/>
                    </w:rPr>
                  </w:pPr>
                  <w:r>
                    <w:rPr>
                      <w:rFonts w:hint="eastAsia" w:cs="Times New Roman"/>
                      <w:b w:val="0"/>
                      <w:bCs w:val="0"/>
                      <w:color w:val="auto"/>
                      <w:kern w:val="2"/>
                      <w:sz w:val="21"/>
                      <w:szCs w:val="21"/>
                      <w:u w:val="none" w:color="auto"/>
                      <w:lang w:val="en-US" w:eastAsia="zh-CN" w:bidi="ar-SA"/>
                    </w:rPr>
                    <w:t>1.2</w:t>
                  </w:r>
                </w:p>
              </w:tc>
              <w:tc>
                <w:tcPr>
                  <w:tcW w:w="0" w:type="auto"/>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专用容器</w:t>
                  </w:r>
                </w:p>
              </w:tc>
              <w:tc>
                <w:tcPr>
                  <w:tcW w:w="0" w:type="auto"/>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r>
          </w:tbl>
          <w:p>
            <w:pPr>
              <w:pageBreakBefore w:val="0"/>
              <w:kinsoku/>
              <w:overflowPunct/>
              <w:bidi w:val="0"/>
              <w:ind w:firstLine="480" w:firstLineChars="200"/>
              <w:rPr>
                <w:rFonts w:hint="default" w:ascii="Times New Roman" w:hAnsi="Times New Roman" w:eastAsia="宋体" w:cs="Times New Roman"/>
                <w:color w:val="auto"/>
                <w:sz w:val="24"/>
                <w:szCs w:val="24"/>
                <w:u w:val="none" w:color="auto"/>
                <w:lang w:val="en-US" w:eastAsia="zh-CN"/>
              </w:rPr>
            </w:pPr>
            <w:r>
              <w:rPr>
                <w:rFonts w:hint="default" w:ascii="Times New Roman" w:hAnsi="Times New Roman" w:eastAsia="宋体" w:cs="Times New Roman"/>
                <w:color w:val="auto"/>
                <w:sz w:val="24"/>
                <w:szCs w:val="24"/>
                <w:u w:val="none" w:color="auto"/>
              </w:rPr>
              <w:t>根据《建设项目危险废物环境影响评价指南》</w:t>
            </w:r>
            <w:r>
              <w:rPr>
                <w:rFonts w:hint="eastAsia" w:cs="Times New Roman"/>
                <w:color w:val="auto"/>
                <w:sz w:val="24"/>
                <w:szCs w:val="24"/>
                <w:u w:val="none" w:color="auto"/>
                <w:lang w:eastAsia="zh-CN"/>
              </w:rPr>
              <w:t>，</w:t>
            </w:r>
            <w:r>
              <w:rPr>
                <w:rFonts w:hint="default" w:ascii="Times New Roman" w:hAnsi="Times New Roman" w:eastAsia="宋体" w:cs="Times New Roman"/>
                <w:color w:val="auto"/>
                <w:sz w:val="24"/>
                <w:szCs w:val="24"/>
                <w:u w:val="none" w:color="auto"/>
              </w:rPr>
              <w:t>本项目危险废物指南详见下表</w:t>
            </w:r>
            <w:r>
              <w:rPr>
                <w:rFonts w:hint="default" w:ascii="Times New Roman" w:hAnsi="Times New Roman" w:eastAsia="宋体" w:cs="Times New Roman"/>
                <w:color w:val="auto"/>
                <w:sz w:val="24"/>
                <w:szCs w:val="24"/>
                <w:u w:val="none" w:color="auto"/>
                <w:lang w:eastAsia="zh-CN"/>
              </w:rPr>
              <w:t>。</w:t>
            </w:r>
          </w:p>
          <w:p>
            <w:pPr>
              <w:pStyle w:val="15"/>
              <w:keepNext w:val="0"/>
              <w:keepLines w:val="0"/>
              <w:pageBreakBefore w:val="0"/>
              <w:widowControl/>
              <w:kinsoku/>
              <w:wordWrap/>
              <w:overflowPunct/>
              <w:topLinePunct w:val="0"/>
              <w:autoSpaceDE/>
              <w:autoSpaceDN/>
              <w:bidi w:val="0"/>
              <w:adjustRightInd/>
              <w:snapToGrid/>
              <w:spacing w:before="0" w:beforeAutospacing="0" w:after="0" w:afterAutospacing="0" w:line="240" w:lineRule="auto"/>
              <w:jc w:val="center"/>
              <w:textAlignment w:val="auto"/>
              <w:outlineLvl w:val="0"/>
              <w:rPr>
                <w:rFonts w:hint="default" w:ascii="Times New Roman" w:hAnsi="Times New Roman" w:eastAsia="宋体" w:cs="Times New Roman"/>
                <w:b/>
                <w:bCs/>
                <w:color w:val="auto"/>
                <w:kern w:val="2"/>
                <w:sz w:val="21"/>
                <w:szCs w:val="21"/>
                <w:lang w:val="en-US" w:eastAsia="zh-CN" w:bidi="ar-SA"/>
              </w:rPr>
            </w:pPr>
            <w:r>
              <w:rPr>
                <w:rFonts w:hint="default" w:ascii="Times New Roman" w:hAnsi="Times New Roman" w:eastAsia="宋体" w:cs="Times New Roman"/>
                <w:b/>
                <w:bCs/>
                <w:color w:val="auto"/>
                <w:kern w:val="2"/>
                <w:sz w:val="21"/>
                <w:szCs w:val="21"/>
                <w:lang w:val="en-US" w:eastAsia="zh-CN" w:bidi="ar-SA"/>
              </w:rPr>
              <w:t>表4-1</w:t>
            </w:r>
            <w:r>
              <w:rPr>
                <w:rFonts w:hint="eastAsia" w:ascii="Times New Roman" w:hAnsi="Times New Roman" w:eastAsia="宋体" w:cs="Times New Roman"/>
                <w:b/>
                <w:bCs/>
                <w:color w:val="auto"/>
                <w:kern w:val="2"/>
                <w:sz w:val="21"/>
                <w:szCs w:val="21"/>
                <w:lang w:val="en-US" w:eastAsia="zh-CN" w:bidi="ar-SA"/>
              </w:rPr>
              <w:t>6</w:t>
            </w:r>
            <w:r>
              <w:rPr>
                <w:rFonts w:hint="default" w:ascii="Times New Roman" w:hAnsi="Times New Roman" w:eastAsia="宋体" w:cs="Times New Roman"/>
                <w:b/>
                <w:bCs/>
                <w:color w:val="auto"/>
                <w:kern w:val="2"/>
                <w:sz w:val="21"/>
                <w:szCs w:val="21"/>
                <w:lang w:val="en-US" w:eastAsia="zh-CN" w:bidi="ar-SA"/>
              </w:rPr>
              <w:t xml:space="preserve"> </w:t>
            </w:r>
            <w:r>
              <w:rPr>
                <w:rFonts w:hint="eastAsia" w:ascii="Times New Roman" w:hAnsi="Times New Roman" w:eastAsia="宋体" w:cs="Times New Roman"/>
                <w:b/>
                <w:bCs/>
                <w:color w:val="auto"/>
                <w:kern w:val="2"/>
                <w:sz w:val="21"/>
                <w:szCs w:val="21"/>
                <w:lang w:val="en-US" w:eastAsia="zh-CN" w:bidi="ar-SA"/>
              </w:rPr>
              <w:t>本项目</w:t>
            </w:r>
            <w:r>
              <w:rPr>
                <w:rFonts w:hint="default" w:ascii="Times New Roman" w:hAnsi="Times New Roman" w:eastAsia="宋体" w:cs="Times New Roman"/>
                <w:b/>
                <w:bCs/>
                <w:color w:val="auto"/>
                <w:kern w:val="2"/>
                <w:sz w:val="21"/>
                <w:szCs w:val="21"/>
                <w:lang w:val="en-US" w:eastAsia="zh-CN" w:bidi="ar-SA"/>
              </w:rPr>
              <w:t>危险废物汇总</w:t>
            </w:r>
          </w:p>
          <w:tbl>
            <w:tblPr>
              <w:tblStyle w:val="18"/>
              <w:tblW w:w="5000" w:type="pct"/>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0" w:type="dxa"/>
                <w:bottom w:w="0" w:type="dxa"/>
                <w:right w:w="0" w:type="dxa"/>
              </w:tblCellMar>
            </w:tblPr>
            <w:tblGrid>
              <w:gridCol w:w="275"/>
              <w:gridCol w:w="1508"/>
              <w:gridCol w:w="764"/>
              <w:gridCol w:w="2253"/>
              <w:gridCol w:w="870"/>
              <w:gridCol w:w="1058"/>
              <w:gridCol w:w="460"/>
              <w:gridCol w:w="848"/>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171"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序号</w:t>
                  </w:r>
                </w:p>
              </w:tc>
              <w:tc>
                <w:tcPr>
                  <w:tcW w:w="938"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危险废物名称</w:t>
                  </w:r>
                </w:p>
              </w:tc>
              <w:tc>
                <w:tcPr>
                  <w:tcW w:w="475"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危险废物类别</w:t>
                  </w:r>
                </w:p>
              </w:tc>
              <w:tc>
                <w:tcPr>
                  <w:tcW w:w="1401"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危险废物代码</w:t>
                  </w:r>
                </w:p>
              </w:tc>
              <w:tc>
                <w:tcPr>
                  <w:tcW w:w="541"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产生量</w:t>
                  </w:r>
                </w:p>
              </w:tc>
              <w:tc>
                <w:tcPr>
                  <w:tcW w:w="658"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主要成分</w:t>
                  </w:r>
                </w:p>
              </w:tc>
              <w:tc>
                <w:tcPr>
                  <w:tcW w:w="286"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危险特性</w:t>
                  </w:r>
                </w:p>
              </w:tc>
              <w:tc>
                <w:tcPr>
                  <w:tcW w:w="527"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zh-CN" w:eastAsia="zh-CN"/>
                    </w:rPr>
                  </w:pPr>
                  <w:r>
                    <w:rPr>
                      <w:rFonts w:hint="default" w:ascii="Times New Roman" w:hAnsi="Times New Roman" w:eastAsia="宋体" w:cs="Times New Roman"/>
                      <w:b w:val="0"/>
                      <w:bCs w:val="0"/>
                      <w:color w:val="auto"/>
                      <w:sz w:val="21"/>
                      <w:szCs w:val="21"/>
                      <w:u w:val="none" w:color="auto"/>
                    </w:rPr>
                    <w:t>污染防治措施</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340" w:hRule="atLeast"/>
                <w:jc w:val="center"/>
              </w:trPr>
              <w:tc>
                <w:tcPr>
                  <w:tcW w:w="171"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1</w:t>
                  </w:r>
                </w:p>
              </w:tc>
              <w:tc>
                <w:tcPr>
                  <w:tcW w:w="938"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废蓄电池</w:t>
                  </w:r>
                </w:p>
              </w:tc>
              <w:tc>
                <w:tcPr>
                  <w:tcW w:w="475"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HW49</w:t>
                  </w:r>
                </w:p>
              </w:tc>
              <w:tc>
                <w:tcPr>
                  <w:tcW w:w="1401"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900-044-49</w:t>
                  </w:r>
                </w:p>
              </w:tc>
              <w:tc>
                <w:tcPr>
                  <w:tcW w:w="541" w:type="pc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b w:val="0"/>
                      <w:bCs w:val="0"/>
                      <w:color w:val="auto"/>
                      <w:sz w:val="21"/>
                      <w:szCs w:val="21"/>
                      <w:u w:val="none" w:color="auto"/>
                      <w:lang w:val="en-US" w:eastAsia="zh-CN"/>
                    </w:rPr>
                  </w:pPr>
                  <w:r>
                    <w:rPr>
                      <w:rFonts w:hint="eastAsia" w:ascii="Times New Roman" w:hAnsi="Times New Roman" w:eastAsia="宋体" w:cs="Times New Roman"/>
                      <w:sz w:val="21"/>
                      <w:szCs w:val="21"/>
                      <w:lang w:val="en-US" w:eastAsia="zh-CN"/>
                    </w:rPr>
                    <w:t>162</w:t>
                  </w:r>
                </w:p>
              </w:tc>
              <w:tc>
                <w:tcPr>
                  <w:tcW w:w="658"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铅酸蓄</w:t>
                  </w:r>
                </w:p>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电池</w:t>
                  </w:r>
                </w:p>
              </w:tc>
              <w:tc>
                <w:tcPr>
                  <w:tcW w:w="286"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T</w:t>
                  </w:r>
                </w:p>
              </w:tc>
              <w:tc>
                <w:tcPr>
                  <w:tcW w:w="527" w:type="pct"/>
                  <w:vMerge w:val="restar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zh-CN" w:eastAsia="zh-CN"/>
                    </w:rPr>
                  </w:pPr>
                  <w:r>
                    <w:rPr>
                      <w:rFonts w:hint="default" w:ascii="Times New Roman" w:hAnsi="Times New Roman" w:eastAsia="宋体" w:cs="Times New Roman"/>
                      <w:b w:val="0"/>
                      <w:bCs w:val="0"/>
                      <w:color w:val="auto"/>
                      <w:sz w:val="21"/>
                      <w:szCs w:val="21"/>
                      <w:u w:val="none" w:color="auto"/>
                    </w:rPr>
                    <w:t>用专用容器收集后暂存于危废暂存间，定期交由有资质单位处理</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171"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2</w:t>
                  </w:r>
                </w:p>
              </w:tc>
              <w:tc>
                <w:tcPr>
                  <w:tcW w:w="938"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eastAsia" w:ascii="Times New Roman" w:hAnsi="Times New Roman" w:eastAsia="宋体" w:cs="Times New Roman"/>
                      <w:b w:val="0"/>
                      <w:bCs w:val="0"/>
                      <w:color w:val="auto"/>
                      <w:sz w:val="21"/>
                      <w:szCs w:val="21"/>
                      <w:u w:val="none" w:color="auto"/>
                      <w:lang w:val="en-US" w:eastAsia="zh-CN"/>
                    </w:rPr>
                    <w:t>废电容器</w:t>
                  </w:r>
                </w:p>
              </w:tc>
              <w:tc>
                <w:tcPr>
                  <w:tcW w:w="475"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default" w:ascii="Times New Roman" w:hAnsi="Times New Roman" w:eastAsia="宋体" w:cs="Times New Roman"/>
                      <w:b w:val="0"/>
                      <w:bCs w:val="0"/>
                      <w:color w:val="auto"/>
                      <w:sz w:val="21"/>
                      <w:szCs w:val="21"/>
                      <w:u w:val="none" w:color="auto"/>
                    </w:rPr>
                    <w:t>HW49</w:t>
                  </w:r>
                </w:p>
              </w:tc>
              <w:tc>
                <w:tcPr>
                  <w:tcW w:w="1401"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default" w:ascii="Times New Roman" w:hAnsi="Times New Roman" w:eastAsia="宋体" w:cs="Times New Roman"/>
                      <w:b w:val="0"/>
                      <w:bCs w:val="0"/>
                      <w:color w:val="auto"/>
                      <w:sz w:val="21"/>
                      <w:szCs w:val="21"/>
                      <w:u w:val="none" w:color="auto"/>
                    </w:rPr>
                    <w:t>900-045-49</w:t>
                  </w:r>
                </w:p>
              </w:tc>
              <w:tc>
                <w:tcPr>
                  <w:tcW w:w="541" w:type="pc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b w:val="0"/>
                      <w:bCs w:val="0"/>
                      <w:color w:val="auto"/>
                      <w:sz w:val="21"/>
                      <w:szCs w:val="21"/>
                      <w:u w:val="none" w:color="auto"/>
                      <w:lang w:val="en-US" w:eastAsia="zh-CN"/>
                    </w:rPr>
                  </w:pPr>
                  <w:r>
                    <w:rPr>
                      <w:rFonts w:hint="eastAsia" w:ascii="Times New Roman" w:hAnsi="Times New Roman" w:eastAsia="宋体" w:cs="Times New Roman"/>
                      <w:sz w:val="21"/>
                      <w:szCs w:val="21"/>
                      <w:lang w:val="en-US" w:eastAsia="zh-CN"/>
                    </w:rPr>
                    <w:t>110</w:t>
                  </w:r>
                </w:p>
              </w:tc>
              <w:tc>
                <w:tcPr>
                  <w:tcW w:w="658"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default" w:ascii="Times New Roman" w:hAnsi="Times New Roman" w:eastAsia="宋体" w:cs="Times New Roman"/>
                      <w:b w:val="0"/>
                      <w:bCs w:val="0"/>
                      <w:color w:val="auto"/>
                      <w:sz w:val="21"/>
                      <w:szCs w:val="21"/>
                      <w:u w:val="none" w:color="auto"/>
                    </w:rPr>
                    <w:t>废电容器</w:t>
                  </w:r>
                </w:p>
              </w:tc>
              <w:tc>
                <w:tcPr>
                  <w:tcW w:w="286"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default" w:ascii="Times New Roman" w:hAnsi="Times New Roman" w:eastAsia="宋体" w:cs="Times New Roman"/>
                      <w:b w:val="0"/>
                      <w:bCs w:val="0"/>
                      <w:color w:val="auto"/>
                      <w:sz w:val="21"/>
                      <w:szCs w:val="21"/>
                      <w:u w:val="none" w:color="auto"/>
                    </w:rPr>
                    <w:t>T</w:t>
                  </w:r>
                </w:p>
              </w:tc>
              <w:tc>
                <w:tcPr>
                  <w:tcW w:w="527" w:type="pct"/>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171"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eastAsia" w:ascii="Times New Roman" w:hAnsi="Times New Roman" w:eastAsia="宋体" w:cs="Times New Roman"/>
                      <w:b w:val="0"/>
                      <w:bCs w:val="0"/>
                      <w:color w:val="auto"/>
                      <w:sz w:val="21"/>
                      <w:szCs w:val="21"/>
                      <w:u w:val="none" w:color="auto"/>
                      <w:lang w:val="en-US" w:eastAsia="zh-CN"/>
                    </w:rPr>
                  </w:pPr>
                  <w:r>
                    <w:rPr>
                      <w:rFonts w:hint="eastAsia" w:ascii="Times New Roman" w:hAnsi="Times New Roman" w:eastAsia="宋体" w:cs="Times New Roman"/>
                      <w:b w:val="0"/>
                      <w:bCs w:val="0"/>
                      <w:color w:val="auto"/>
                      <w:sz w:val="21"/>
                      <w:szCs w:val="21"/>
                      <w:u w:val="none" w:color="auto"/>
                      <w:lang w:val="en-US" w:eastAsia="zh-CN"/>
                    </w:rPr>
                    <w:t>3</w:t>
                  </w:r>
                </w:p>
              </w:tc>
              <w:tc>
                <w:tcPr>
                  <w:tcW w:w="938"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default" w:ascii="Times New Roman" w:hAnsi="Times New Roman" w:eastAsia="宋体" w:cs="Times New Roman"/>
                      <w:b w:val="0"/>
                      <w:bCs w:val="0"/>
                      <w:color w:val="auto"/>
                      <w:sz w:val="21"/>
                      <w:szCs w:val="21"/>
                      <w:u w:val="none" w:color="auto"/>
                    </w:rPr>
                    <w:t>废尾气净化装置（含催化剂）</w:t>
                  </w:r>
                </w:p>
              </w:tc>
              <w:tc>
                <w:tcPr>
                  <w:tcW w:w="475"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default" w:ascii="Times New Roman" w:hAnsi="Times New Roman" w:eastAsia="宋体" w:cs="Times New Roman"/>
                      <w:b w:val="0"/>
                      <w:bCs w:val="0"/>
                      <w:color w:val="auto"/>
                      <w:sz w:val="21"/>
                      <w:szCs w:val="21"/>
                      <w:u w:val="none" w:color="auto"/>
                    </w:rPr>
                    <w:t>HW50</w:t>
                  </w:r>
                </w:p>
              </w:tc>
              <w:tc>
                <w:tcPr>
                  <w:tcW w:w="1401"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default" w:ascii="Times New Roman" w:hAnsi="Times New Roman" w:eastAsia="宋体" w:cs="Times New Roman"/>
                      <w:b w:val="0"/>
                      <w:bCs w:val="0"/>
                      <w:color w:val="auto"/>
                      <w:sz w:val="21"/>
                      <w:szCs w:val="21"/>
                      <w:u w:val="none" w:color="auto"/>
                    </w:rPr>
                    <w:t>900-049-50</w:t>
                  </w:r>
                </w:p>
              </w:tc>
              <w:tc>
                <w:tcPr>
                  <w:tcW w:w="541" w:type="pc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b w:val="0"/>
                      <w:bCs w:val="0"/>
                      <w:color w:val="auto"/>
                      <w:sz w:val="21"/>
                      <w:szCs w:val="21"/>
                      <w:u w:val="none" w:color="auto"/>
                      <w:lang w:val="en-US" w:eastAsia="zh-CN"/>
                    </w:rPr>
                  </w:pPr>
                  <w:r>
                    <w:rPr>
                      <w:rFonts w:hint="eastAsia" w:ascii="Times New Roman" w:hAnsi="Times New Roman" w:eastAsia="宋体" w:cs="Times New Roman"/>
                      <w:sz w:val="21"/>
                      <w:szCs w:val="21"/>
                      <w:lang w:val="en-US" w:eastAsia="zh-CN"/>
                    </w:rPr>
                    <w:t>13.2</w:t>
                  </w:r>
                </w:p>
              </w:tc>
              <w:tc>
                <w:tcPr>
                  <w:tcW w:w="658"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default" w:ascii="Times New Roman" w:hAnsi="Times New Roman" w:eastAsia="宋体" w:cs="Times New Roman"/>
                      <w:b w:val="0"/>
                      <w:bCs w:val="0"/>
                      <w:color w:val="auto"/>
                      <w:sz w:val="21"/>
                      <w:szCs w:val="21"/>
                      <w:u w:val="none" w:color="auto"/>
                    </w:rPr>
                    <w:t>催化剂</w:t>
                  </w:r>
                </w:p>
              </w:tc>
              <w:tc>
                <w:tcPr>
                  <w:tcW w:w="286"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default" w:ascii="Times New Roman" w:hAnsi="Times New Roman" w:eastAsia="宋体" w:cs="Times New Roman"/>
                      <w:b w:val="0"/>
                      <w:bCs w:val="0"/>
                      <w:color w:val="auto"/>
                      <w:sz w:val="21"/>
                      <w:szCs w:val="21"/>
                      <w:u w:val="none" w:color="auto"/>
                    </w:rPr>
                    <w:t>T</w:t>
                  </w:r>
                </w:p>
              </w:tc>
              <w:tc>
                <w:tcPr>
                  <w:tcW w:w="527" w:type="pct"/>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171"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eastAsia" w:ascii="Times New Roman" w:hAnsi="Times New Roman" w:eastAsia="宋体" w:cs="Times New Roman"/>
                      <w:b w:val="0"/>
                      <w:bCs w:val="0"/>
                      <w:color w:val="auto"/>
                      <w:sz w:val="21"/>
                      <w:szCs w:val="21"/>
                      <w:u w:val="none" w:color="auto"/>
                      <w:lang w:val="en-US" w:eastAsia="zh-CN"/>
                    </w:rPr>
                    <w:t>4</w:t>
                  </w:r>
                </w:p>
              </w:tc>
              <w:tc>
                <w:tcPr>
                  <w:tcW w:w="938"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eastAsia" w:ascii="Times New Roman" w:hAnsi="Times New Roman" w:eastAsia="宋体" w:cs="Times New Roman"/>
                      <w:b w:val="0"/>
                      <w:bCs w:val="0"/>
                      <w:color w:val="auto"/>
                      <w:sz w:val="21"/>
                      <w:szCs w:val="21"/>
                      <w:u w:val="none" w:color="auto"/>
                      <w:lang w:val="en-US" w:eastAsia="zh-CN"/>
                    </w:rPr>
                  </w:pPr>
                  <w:r>
                    <w:rPr>
                      <w:rFonts w:hint="default" w:ascii="Times New Roman" w:hAnsi="Times New Roman" w:eastAsia="宋体" w:cs="Times New Roman"/>
                      <w:b w:val="0"/>
                      <w:bCs w:val="0"/>
                      <w:color w:val="auto"/>
                      <w:sz w:val="21"/>
                      <w:szCs w:val="21"/>
                      <w:u w:val="none" w:color="auto"/>
                    </w:rPr>
                    <w:t>燃料油废油液</w:t>
                  </w:r>
                </w:p>
              </w:tc>
              <w:tc>
                <w:tcPr>
                  <w:tcW w:w="475" w:type="pct"/>
                  <w:vMerge w:val="restar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default" w:ascii="Times New Roman" w:hAnsi="Times New Roman" w:eastAsia="宋体" w:cs="Times New Roman"/>
                      <w:b w:val="0"/>
                      <w:bCs w:val="0"/>
                      <w:color w:val="auto"/>
                      <w:sz w:val="21"/>
                      <w:szCs w:val="21"/>
                      <w:u w:val="none" w:color="auto"/>
                    </w:rPr>
                    <w:t>HW08</w:t>
                  </w:r>
                </w:p>
              </w:tc>
              <w:tc>
                <w:tcPr>
                  <w:tcW w:w="1401" w:type="pct"/>
                  <w:vMerge w:val="restar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default" w:ascii="Times New Roman" w:hAnsi="Times New Roman" w:eastAsia="宋体" w:cs="Times New Roman"/>
                      <w:b w:val="0"/>
                      <w:bCs w:val="0"/>
                      <w:color w:val="auto"/>
                      <w:sz w:val="21"/>
                      <w:szCs w:val="21"/>
                      <w:u w:val="none" w:color="auto"/>
                    </w:rPr>
                    <w:t>900-199-08</w:t>
                  </w:r>
                </w:p>
              </w:tc>
              <w:tc>
                <w:tcPr>
                  <w:tcW w:w="541"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b w:val="0"/>
                      <w:bCs w:val="0"/>
                      <w:color w:val="auto"/>
                      <w:sz w:val="21"/>
                      <w:szCs w:val="21"/>
                      <w:u w:val="none" w:color="auto"/>
                      <w:lang w:val="en-US" w:eastAsia="zh-CN"/>
                    </w:rPr>
                  </w:pPr>
                  <w:r>
                    <w:rPr>
                      <w:rFonts w:hint="eastAsia" w:ascii="Times New Roman" w:hAnsi="Times New Roman" w:eastAsia="宋体" w:cs="Times New Roman"/>
                      <w:sz w:val="21"/>
                      <w:szCs w:val="21"/>
                      <w:lang w:val="en-US" w:eastAsia="zh-CN"/>
                    </w:rPr>
                    <w:t>50</w:t>
                  </w:r>
                </w:p>
              </w:tc>
              <w:tc>
                <w:tcPr>
                  <w:tcW w:w="658" w:type="pct"/>
                  <w:vMerge w:val="restar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eastAsia" w:ascii="Times New Roman" w:hAnsi="Times New Roman" w:eastAsia="宋体" w:cs="Times New Roman"/>
                      <w:b w:val="0"/>
                      <w:bCs w:val="0"/>
                      <w:color w:val="auto"/>
                      <w:sz w:val="21"/>
                      <w:szCs w:val="21"/>
                      <w:u w:val="none" w:color="auto"/>
                      <w:lang w:val="en-US" w:eastAsia="zh-CN"/>
                    </w:rPr>
                    <w:t>矿物油</w:t>
                  </w:r>
                </w:p>
              </w:tc>
              <w:tc>
                <w:tcPr>
                  <w:tcW w:w="286" w:type="pct"/>
                  <w:vMerge w:val="restar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default" w:ascii="Times New Roman" w:hAnsi="Times New Roman" w:eastAsia="宋体" w:cs="Times New Roman"/>
                      <w:b w:val="0"/>
                      <w:bCs w:val="0"/>
                      <w:color w:val="auto"/>
                      <w:sz w:val="21"/>
                      <w:szCs w:val="21"/>
                      <w:u w:val="none" w:color="auto"/>
                    </w:rPr>
                    <w:t>T、I</w:t>
                  </w:r>
                </w:p>
              </w:tc>
              <w:tc>
                <w:tcPr>
                  <w:tcW w:w="527" w:type="pct"/>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171"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eastAsia" w:ascii="Times New Roman" w:hAnsi="Times New Roman" w:eastAsia="宋体" w:cs="Times New Roman"/>
                      <w:b w:val="0"/>
                      <w:bCs w:val="0"/>
                      <w:color w:val="auto"/>
                      <w:sz w:val="21"/>
                      <w:szCs w:val="21"/>
                      <w:u w:val="none" w:color="auto"/>
                      <w:lang w:val="en-US" w:eastAsia="zh-CN"/>
                    </w:rPr>
                    <w:t>5</w:t>
                  </w:r>
                </w:p>
              </w:tc>
              <w:tc>
                <w:tcPr>
                  <w:tcW w:w="938"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eastAsia" w:ascii="Times New Roman" w:hAnsi="Times New Roman" w:eastAsia="宋体" w:cs="Times New Roman"/>
                      <w:b w:val="0"/>
                      <w:bCs w:val="0"/>
                      <w:color w:val="auto"/>
                      <w:sz w:val="21"/>
                      <w:szCs w:val="21"/>
                      <w:u w:val="none" w:color="auto"/>
                      <w:lang w:val="en-US" w:eastAsia="zh-CN"/>
                    </w:rPr>
                  </w:pPr>
                  <w:r>
                    <w:rPr>
                      <w:rFonts w:hint="default" w:ascii="Times New Roman" w:hAnsi="Times New Roman" w:eastAsia="宋体" w:cs="Times New Roman"/>
                      <w:b w:val="0"/>
                      <w:bCs w:val="0"/>
                      <w:color w:val="auto"/>
                      <w:sz w:val="21"/>
                      <w:szCs w:val="21"/>
                      <w:u w:val="none" w:color="auto"/>
                    </w:rPr>
                    <w:t>非燃油类废油液</w:t>
                  </w:r>
                </w:p>
              </w:tc>
              <w:tc>
                <w:tcPr>
                  <w:tcW w:w="475" w:type="pct"/>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c>
                <w:tcPr>
                  <w:tcW w:w="1401" w:type="pct"/>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c>
                <w:tcPr>
                  <w:tcW w:w="541"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b w:val="0"/>
                      <w:bCs w:val="0"/>
                      <w:color w:val="auto"/>
                      <w:sz w:val="21"/>
                      <w:szCs w:val="21"/>
                      <w:u w:val="none" w:color="auto"/>
                      <w:lang w:val="en-US" w:eastAsia="zh-CN"/>
                    </w:rPr>
                  </w:pPr>
                  <w:r>
                    <w:rPr>
                      <w:rFonts w:hint="eastAsia" w:ascii="Times New Roman" w:hAnsi="Times New Roman" w:eastAsia="宋体" w:cs="Times New Roman"/>
                      <w:sz w:val="21"/>
                      <w:szCs w:val="21"/>
                      <w:lang w:val="en-US" w:eastAsia="zh-CN"/>
                    </w:rPr>
                    <w:t>21</w:t>
                  </w:r>
                </w:p>
              </w:tc>
              <w:tc>
                <w:tcPr>
                  <w:tcW w:w="658" w:type="pct"/>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c>
                <w:tcPr>
                  <w:tcW w:w="286" w:type="pct"/>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c>
                <w:tcPr>
                  <w:tcW w:w="527" w:type="pct"/>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171"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eastAsia" w:ascii="Times New Roman" w:hAnsi="Times New Roman" w:eastAsia="宋体" w:cs="Times New Roman"/>
                      <w:b w:val="0"/>
                      <w:bCs w:val="0"/>
                      <w:color w:val="auto"/>
                      <w:sz w:val="21"/>
                      <w:szCs w:val="21"/>
                      <w:u w:val="none" w:color="auto"/>
                      <w:lang w:val="en-US" w:eastAsia="zh-CN"/>
                    </w:rPr>
                    <w:t>6</w:t>
                  </w:r>
                </w:p>
              </w:tc>
              <w:tc>
                <w:tcPr>
                  <w:tcW w:w="938"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eastAsia" w:ascii="Times New Roman" w:hAnsi="Times New Roman" w:eastAsia="宋体" w:cs="Times New Roman"/>
                      <w:b w:val="0"/>
                      <w:bCs w:val="0"/>
                      <w:color w:val="auto"/>
                      <w:sz w:val="21"/>
                      <w:szCs w:val="21"/>
                      <w:u w:val="none" w:color="auto"/>
                      <w:lang w:val="en-US" w:eastAsia="zh-CN"/>
                    </w:rPr>
                  </w:pPr>
                  <w:r>
                    <w:rPr>
                      <w:rFonts w:hint="eastAsia" w:ascii="Times New Roman" w:hAnsi="Times New Roman" w:eastAsia="宋体" w:cs="Times New Roman"/>
                      <w:b w:val="0"/>
                      <w:bCs w:val="0"/>
                      <w:color w:val="auto"/>
                      <w:sz w:val="21"/>
                      <w:szCs w:val="21"/>
                      <w:u w:val="none" w:color="auto"/>
                      <w:lang w:val="en-US" w:eastAsia="zh-CN"/>
                    </w:rPr>
                    <w:t>废空调制冷剂</w:t>
                  </w:r>
                </w:p>
              </w:tc>
              <w:tc>
                <w:tcPr>
                  <w:tcW w:w="475"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HW49</w:t>
                  </w:r>
                </w:p>
              </w:tc>
              <w:tc>
                <w:tcPr>
                  <w:tcW w:w="1401"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《报废机动车拆解环境保护技术规范》中制定的危险废物</w:t>
                  </w:r>
                </w:p>
              </w:tc>
              <w:tc>
                <w:tcPr>
                  <w:tcW w:w="541"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b w:val="0"/>
                      <w:bCs w:val="0"/>
                      <w:color w:val="auto"/>
                      <w:sz w:val="21"/>
                      <w:szCs w:val="21"/>
                      <w:u w:val="none" w:color="auto"/>
                      <w:lang w:val="en-US" w:eastAsia="zh-CN"/>
                    </w:rPr>
                  </w:pPr>
                  <w:r>
                    <w:rPr>
                      <w:rFonts w:hint="eastAsia" w:ascii="Times New Roman" w:hAnsi="Times New Roman" w:eastAsia="宋体" w:cs="Times New Roman"/>
                      <w:sz w:val="21"/>
                      <w:szCs w:val="21"/>
                      <w:lang w:val="en-US" w:eastAsia="zh-CN"/>
                    </w:rPr>
                    <w:t>10</w:t>
                  </w:r>
                </w:p>
              </w:tc>
              <w:tc>
                <w:tcPr>
                  <w:tcW w:w="658"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制冷剂</w:t>
                  </w:r>
                </w:p>
              </w:tc>
              <w:tc>
                <w:tcPr>
                  <w:tcW w:w="286"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T</w:t>
                  </w:r>
                </w:p>
              </w:tc>
              <w:tc>
                <w:tcPr>
                  <w:tcW w:w="527" w:type="pct"/>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171"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eastAsia" w:ascii="Times New Roman" w:hAnsi="Times New Roman" w:eastAsia="宋体" w:cs="Times New Roman"/>
                      <w:b w:val="0"/>
                      <w:bCs w:val="0"/>
                      <w:color w:val="auto"/>
                      <w:sz w:val="21"/>
                      <w:szCs w:val="21"/>
                      <w:u w:val="none" w:color="auto"/>
                      <w:lang w:val="en-US" w:eastAsia="zh-CN"/>
                    </w:rPr>
                  </w:pPr>
                  <w:r>
                    <w:rPr>
                      <w:rFonts w:hint="eastAsia" w:ascii="Times New Roman" w:hAnsi="Times New Roman" w:eastAsia="宋体" w:cs="Times New Roman"/>
                      <w:b w:val="0"/>
                      <w:bCs w:val="0"/>
                      <w:color w:val="auto"/>
                      <w:sz w:val="21"/>
                      <w:szCs w:val="21"/>
                      <w:u w:val="none" w:color="auto"/>
                      <w:lang w:val="en-US" w:eastAsia="zh-CN"/>
                    </w:rPr>
                    <w:t>7</w:t>
                  </w:r>
                </w:p>
              </w:tc>
              <w:tc>
                <w:tcPr>
                  <w:tcW w:w="938"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eastAsia" w:ascii="Times New Roman" w:hAnsi="Times New Roman" w:eastAsia="宋体" w:cs="Times New Roman"/>
                      <w:b w:val="0"/>
                      <w:bCs w:val="0"/>
                      <w:color w:val="auto"/>
                      <w:sz w:val="21"/>
                      <w:szCs w:val="21"/>
                      <w:u w:val="none" w:color="auto"/>
                      <w:lang w:val="en-US" w:eastAsia="zh-CN"/>
                    </w:rPr>
                    <w:t>废冷却液</w:t>
                  </w:r>
                </w:p>
              </w:tc>
              <w:tc>
                <w:tcPr>
                  <w:tcW w:w="475"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eastAsia" w:ascii="Times New Roman" w:hAnsi="Times New Roman" w:eastAsia="宋体" w:cs="Times New Roman"/>
                      <w:b w:val="0"/>
                      <w:bCs w:val="0"/>
                      <w:color w:val="auto"/>
                      <w:sz w:val="21"/>
                      <w:szCs w:val="21"/>
                      <w:u w:val="none" w:color="auto"/>
                      <w:lang w:val="en-US" w:eastAsia="zh-CN"/>
                    </w:rPr>
                    <w:t>HW09</w:t>
                  </w:r>
                </w:p>
              </w:tc>
              <w:tc>
                <w:tcPr>
                  <w:tcW w:w="1401"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eastAsia" w:ascii="Times New Roman" w:hAnsi="Times New Roman" w:eastAsia="宋体" w:cs="Times New Roman"/>
                      <w:b w:val="0"/>
                      <w:bCs w:val="0"/>
                      <w:color w:val="auto"/>
                      <w:sz w:val="21"/>
                      <w:szCs w:val="21"/>
                      <w:u w:val="none" w:color="auto"/>
                      <w:lang w:val="en-US" w:eastAsia="zh-CN"/>
                    </w:rPr>
                    <w:t>900-007-09</w:t>
                  </w:r>
                </w:p>
              </w:tc>
              <w:tc>
                <w:tcPr>
                  <w:tcW w:w="541" w:type="pc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b w:val="0"/>
                      <w:bCs w:val="0"/>
                      <w:color w:val="auto"/>
                      <w:sz w:val="21"/>
                      <w:szCs w:val="21"/>
                      <w:u w:val="none" w:color="auto"/>
                      <w:lang w:val="en-US" w:eastAsia="zh-CN"/>
                    </w:rPr>
                  </w:pPr>
                  <w:r>
                    <w:rPr>
                      <w:rFonts w:hint="eastAsia" w:ascii="Times New Roman" w:hAnsi="Times New Roman" w:eastAsia="宋体" w:cs="Times New Roman"/>
                      <w:sz w:val="21"/>
                      <w:szCs w:val="21"/>
                      <w:lang w:val="en-US" w:eastAsia="zh-CN"/>
                    </w:rPr>
                    <w:t>2</w:t>
                  </w:r>
                </w:p>
              </w:tc>
              <w:tc>
                <w:tcPr>
                  <w:tcW w:w="658"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eastAsia" w:ascii="Times New Roman" w:hAnsi="Times New Roman" w:eastAsia="宋体" w:cs="Times New Roman"/>
                      <w:b w:val="0"/>
                      <w:bCs w:val="0"/>
                      <w:color w:val="auto"/>
                      <w:sz w:val="21"/>
                      <w:szCs w:val="21"/>
                      <w:u w:val="none" w:color="auto"/>
                      <w:lang w:val="en-US" w:eastAsia="zh-CN"/>
                    </w:rPr>
                  </w:pPr>
                  <w:r>
                    <w:rPr>
                      <w:rFonts w:hint="eastAsia" w:ascii="Times New Roman" w:hAnsi="Times New Roman" w:eastAsia="宋体" w:cs="Times New Roman"/>
                      <w:b w:val="0"/>
                      <w:bCs w:val="0"/>
                      <w:color w:val="auto"/>
                      <w:sz w:val="21"/>
                      <w:szCs w:val="21"/>
                      <w:u w:val="none" w:color="auto"/>
                      <w:lang w:val="en-US" w:eastAsia="zh-CN"/>
                    </w:rPr>
                    <w:t>乙二醇</w:t>
                  </w:r>
                </w:p>
              </w:tc>
              <w:tc>
                <w:tcPr>
                  <w:tcW w:w="286"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eastAsia" w:ascii="Times New Roman" w:hAnsi="Times New Roman" w:eastAsia="宋体" w:cs="Times New Roman"/>
                      <w:b w:val="0"/>
                      <w:bCs w:val="0"/>
                      <w:color w:val="auto"/>
                      <w:sz w:val="21"/>
                      <w:szCs w:val="21"/>
                      <w:u w:val="none" w:color="auto"/>
                      <w:lang w:val="en-US" w:eastAsia="zh-CN"/>
                    </w:rPr>
                  </w:pPr>
                  <w:r>
                    <w:rPr>
                      <w:rFonts w:hint="eastAsia" w:ascii="Times New Roman" w:hAnsi="Times New Roman" w:eastAsia="宋体" w:cs="Times New Roman"/>
                      <w:b w:val="0"/>
                      <w:bCs w:val="0"/>
                      <w:color w:val="auto"/>
                      <w:sz w:val="21"/>
                      <w:szCs w:val="21"/>
                      <w:u w:val="none" w:color="auto"/>
                      <w:lang w:val="en-US" w:eastAsia="zh-CN"/>
                    </w:rPr>
                    <w:t>T</w:t>
                  </w:r>
                </w:p>
              </w:tc>
              <w:tc>
                <w:tcPr>
                  <w:tcW w:w="527" w:type="pct"/>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171"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eastAsia" w:ascii="Times New Roman" w:hAnsi="Times New Roman" w:eastAsia="宋体" w:cs="Times New Roman"/>
                      <w:b w:val="0"/>
                      <w:bCs w:val="0"/>
                      <w:color w:val="auto"/>
                      <w:sz w:val="21"/>
                      <w:szCs w:val="21"/>
                      <w:u w:val="none" w:color="auto"/>
                      <w:lang w:val="en-US" w:eastAsia="zh-CN"/>
                    </w:rPr>
                    <w:t>8</w:t>
                  </w:r>
                </w:p>
              </w:tc>
              <w:tc>
                <w:tcPr>
                  <w:tcW w:w="938"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eastAsia" w:ascii="Times New Roman" w:hAnsi="Times New Roman" w:eastAsia="宋体" w:cs="Times New Roman"/>
                      <w:b w:val="0"/>
                      <w:bCs w:val="0"/>
                      <w:color w:val="auto"/>
                      <w:sz w:val="21"/>
                      <w:szCs w:val="21"/>
                      <w:u w:val="none" w:color="auto"/>
                      <w:lang w:val="en-US" w:eastAsia="zh-CN"/>
                    </w:rPr>
                  </w:pPr>
                  <w:r>
                    <w:rPr>
                      <w:rFonts w:hint="eastAsia" w:ascii="Times New Roman" w:hAnsi="Times New Roman" w:eastAsia="宋体" w:cs="Times New Roman"/>
                      <w:b w:val="0"/>
                      <w:bCs w:val="0"/>
                      <w:color w:val="auto"/>
                      <w:sz w:val="21"/>
                      <w:szCs w:val="21"/>
                      <w:u w:val="none" w:color="auto"/>
                      <w:lang w:val="en-US" w:eastAsia="zh-CN"/>
                    </w:rPr>
                    <w:t>废电路板</w:t>
                  </w:r>
                </w:p>
              </w:tc>
              <w:tc>
                <w:tcPr>
                  <w:tcW w:w="475"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default" w:ascii="Times New Roman" w:hAnsi="Times New Roman" w:eastAsia="宋体" w:cs="Times New Roman"/>
                      <w:b w:val="0"/>
                      <w:bCs w:val="0"/>
                      <w:color w:val="auto"/>
                      <w:sz w:val="21"/>
                      <w:szCs w:val="21"/>
                      <w:u w:val="none" w:color="auto"/>
                    </w:rPr>
                    <w:t>HW49</w:t>
                  </w:r>
                </w:p>
              </w:tc>
              <w:tc>
                <w:tcPr>
                  <w:tcW w:w="1401"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default" w:ascii="Times New Roman" w:hAnsi="Times New Roman" w:eastAsia="宋体" w:cs="Times New Roman"/>
                      <w:b w:val="0"/>
                      <w:bCs w:val="0"/>
                      <w:color w:val="auto"/>
                      <w:sz w:val="21"/>
                      <w:szCs w:val="21"/>
                      <w:u w:val="none" w:color="auto"/>
                    </w:rPr>
                    <w:t>900-045-49</w:t>
                  </w:r>
                </w:p>
              </w:tc>
              <w:tc>
                <w:tcPr>
                  <w:tcW w:w="541"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b w:val="0"/>
                      <w:bCs w:val="0"/>
                      <w:color w:val="auto"/>
                      <w:sz w:val="21"/>
                      <w:szCs w:val="21"/>
                      <w:u w:val="none" w:color="auto"/>
                      <w:lang w:val="en-US" w:eastAsia="zh-CN"/>
                    </w:rPr>
                  </w:pPr>
                  <w:r>
                    <w:rPr>
                      <w:rFonts w:hint="eastAsia" w:ascii="Times New Roman" w:hAnsi="Times New Roman" w:eastAsia="宋体" w:cs="Times New Roman"/>
                      <w:sz w:val="21"/>
                      <w:szCs w:val="21"/>
                      <w:lang w:val="en-US" w:eastAsia="zh-CN"/>
                    </w:rPr>
                    <w:t>21.6</w:t>
                  </w:r>
                </w:p>
              </w:tc>
              <w:tc>
                <w:tcPr>
                  <w:tcW w:w="658"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eastAsia" w:ascii="Times New Roman" w:hAnsi="Times New Roman" w:eastAsia="宋体" w:cs="Times New Roman"/>
                      <w:b w:val="0"/>
                      <w:bCs w:val="0"/>
                      <w:color w:val="auto"/>
                      <w:sz w:val="21"/>
                      <w:szCs w:val="21"/>
                      <w:u w:val="none" w:color="auto"/>
                      <w:lang w:val="en-US" w:eastAsia="zh-CN"/>
                    </w:rPr>
                    <w:t>废电路板</w:t>
                  </w:r>
                </w:p>
              </w:tc>
              <w:tc>
                <w:tcPr>
                  <w:tcW w:w="286"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T</w:t>
                  </w:r>
                </w:p>
              </w:tc>
              <w:tc>
                <w:tcPr>
                  <w:tcW w:w="527" w:type="pct"/>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171"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eastAsia" w:ascii="Times New Roman" w:hAnsi="Times New Roman" w:eastAsia="宋体" w:cs="Times New Roman"/>
                      <w:b w:val="0"/>
                      <w:bCs w:val="0"/>
                      <w:color w:val="auto"/>
                      <w:sz w:val="21"/>
                      <w:szCs w:val="21"/>
                      <w:u w:val="none" w:color="auto"/>
                      <w:lang w:val="en-US" w:eastAsia="zh-CN"/>
                    </w:rPr>
                    <w:t>9</w:t>
                  </w:r>
                </w:p>
              </w:tc>
              <w:tc>
                <w:tcPr>
                  <w:tcW w:w="938"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eastAsia" w:ascii="Times New Roman" w:hAnsi="Times New Roman" w:eastAsia="宋体" w:cs="Times New Roman"/>
                      <w:b w:val="0"/>
                      <w:bCs w:val="0"/>
                      <w:color w:val="auto"/>
                      <w:sz w:val="21"/>
                      <w:szCs w:val="21"/>
                      <w:u w:val="none" w:color="auto"/>
                      <w:lang w:val="en-US" w:eastAsia="zh-CN"/>
                    </w:rPr>
                  </w:pPr>
                  <w:r>
                    <w:rPr>
                      <w:rFonts w:hint="default" w:ascii="Times New Roman" w:hAnsi="Times New Roman" w:eastAsia="宋体" w:cs="Times New Roman"/>
                      <w:b w:val="0"/>
                      <w:bCs w:val="0"/>
                      <w:color w:val="auto"/>
                      <w:sz w:val="21"/>
                      <w:szCs w:val="21"/>
                      <w:u w:val="none" w:color="auto"/>
                      <w:lang w:val="en-US"/>
                    </w:rPr>
                    <w:t>废机油滤清器</w:t>
                  </w:r>
                </w:p>
              </w:tc>
              <w:tc>
                <w:tcPr>
                  <w:tcW w:w="475"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 xml:space="preserve">HW08 </w:t>
                  </w:r>
                </w:p>
              </w:tc>
              <w:tc>
                <w:tcPr>
                  <w:tcW w:w="1401"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900-</w:t>
                  </w:r>
                  <w:r>
                    <w:rPr>
                      <w:rFonts w:hint="eastAsia" w:ascii="Times New Roman" w:hAnsi="Times New Roman" w:eastAsia="宋体" w:cs="Times New Roman"/>
                      <w:b w:val="0"/>
                      <w:bCs w:val="0"/>
                      <w:color w:val="auto"/>
                      <w:sz w:val="21"/>
                      <w:szCs w:val="21"/>
                      <w:u w:val="none" w:color="auto"/>
                      <w:lang w:val="en-US" w:eastAsia="zh-CN"/>
                    </w:rPr>
                    <w:t>041-49</w:t>
                  </w:r>
                </w:p>
              </w:tc>
              <w:tc>
                <w:tcPr>
                  <w:tcW w:w="541" w:type="pc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b w:val="0"/>
                      <w:bCs w:val="0"/>
                      <w:color w:val="auto"/>
                      <w:sz w:val="21"/>
                      <w:szCs w:val="21"/>
                      <w:u w:val="none" w:color="auto"/>
                      <w:lang w:val="en-US" w:eastAsia="zh-CN"/>
                    </w:rPr>
                  </w:pPr>
                  <w:r>
                    <w:rPr>
                      <w:rFonts w:hint="eastAsia" w:ascii="Times New Roman" w:hAnsi="Times New Roman" w:eastAsia="宋体" w:cs="Times New Roman"/>
                      <w:sz w:val="21"/>
                      <w:szCs w:val="21"/>
                      <w:lang w:val="en-US" w:eastAsia="zh-CN"/>
                    </w:rPr>
                    <w:t>2.7</w:t>
                  </w:r>
                </w:p>
              </w:tc>
              <w:tc>
                <w:tcPr>
                  <w:tcW w:w="658"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eastAsia" w:ascii="Times New Roman" w:hAnsi="Times New Roman" w:eastAsia="宋体" w:cs="Times New Roman"/>
                      <w:b w:val="0"/>
                      <w:bCs w:val="0"/>
                      <w:color w:val="auto"/>
                      <w:sz w:val="21"/>
                      <w:szCs w:val="21"/>
                      <w:u w:val="none" w:color="auto"/>
                      <w:lang w:val="en-US" w:eastAsia="zh-CN"/>
                    </w:rPr>
                    <w:t>矿物油</w:t>
                  </w:r>
                </w:p>
              </w:tc>
              <w:tc>
                <w:tcPr>
                  <w:tcW w:w="286"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T/In</w:t>
                  </w:r>
                </w:p>
              </w:tc>
              <w:tc>
                <w:tcPr>
                  <w:tcW w:w="527" w:type="pct"/>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55" w:hRule="atLeast"/>
                <w:jc w:val="center"/>
              </w:trPr>
              <w:tc>
                <w:tcPr>
                  <w:tcW w:w="171" w:type="pct"/>
                  <w:vMerge w:val="restar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eastAsia" w:ascii="Times New Roman" w:hAnsi="Times New Roman" w:eastAsia="宋体" w:cs="Times New Roman"/>
                      <w:b w:val="0"/>
                      <w:bCs w:val="0"/>
                      <w:color w:val="auto"/>
                      <w:sz w:val="21"/>
                      <w:szCs w:val="21"/>
                      <w:u w:val="none" w:color="auto"/>
                      <w:lang w:val="en-US" w:eastAsia="zh-CN"/>
                    </w:rPr>
                    <w:t>10</w:t>
                  </w:r>
                </w:p>
              </w:tc>
              <w:tc>
                <w:tcPr>
                  <w:tcW w:w="938" w:type="pct"/>
                  <w:vMerge w:val="restar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eastAsia" w:ascii="Times New Roman" w:hAnsi="Times New Roman" w:eastAsia="宋体" w:cs="Times New Roman"/>
                      <w:b w:val="0"/>
                      <w:bCs w:val="0"/>
                      <w:color w:val="auto"/>
                      <w:sz w:val="21"/>
                      <w:szCs w:val="21"/>
                      <w:u w:val="none" w:color="auto"/>
                      <w:lang w:val="en-US" w:eastAsia="zh-CN"/>
                    </w:rPr>
                  </w:pPr>
                  <w:r>
                    <w:rPr>
                      <w:rFonts w:hint="default" w:ascii="Times New Roman" w:hAnsi="Times New Roman" w:eastAsia="宋体" w:cs="Times New Roman"/>
                      <w:b w:val="0"/>
                      <w:bCs w:val="0"/>
                      <w:color w:val="auto"/>
                      <w:sz w:val="21"/>
                      <w:szCs w:val="21"/>
                      <w:u w:val="none" w:color="auto"/>
                      <w:lang w:val="en-US"/>
                    </w:rPr>
                    <w:t>含有毒有害物质的部件（含汞开关、含铅部件）</w:t>
                  </w:r>
                </w:p>
              </w:tc>
              <w:tc>
                <w:tcPr>
                  <w:tcW w:w="475"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default" w:ascii="Times New Roman" w:hAnsi="Times New Roman" w:eastAsia="宋体" w:cs="Times New Roman"/>
                      <w:b w:val="0"/>
                      <w:bCs w:val="0"/>
                      <w:color w:val="auto"/>
                      <w:sz w:val="21"/>
                      <w:szCs w:val="21"/>
                      <w:u w:val="none" w:color="auto"/>
                    </w:rPr>
                    <w:t>HW31</w:t>
                  </w:r>
                </w:p>
              </w:tc>
              <w:tc>
                <w:tcPr>
                  <w:tcW w:w="1401"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default" w:ascii="Times New Roman" w:hAnsi="Times New Roman" w:eastAsia="宋体" w:cs="Times New Roman"/>
                      <w:b w:val="0"/>
                      <w:bCs w:val="0"/>
                      <w:color w:val="auto"/>
                      <w:sz w:val="21"/>
                      <w:szCs w:val="21"/>
                      <w:u w:val="none" w:color="auto"/>
                    </w:rPr>
                    <w:t>900-052-31</w:t>
                  </w:r>
                </w:p>
              </w:tc>
              <w:tc>
                <w:tcPr>
                  <w:tcW w:w="541" w:type="pct"/>
                  <w:vMerge w:val="restart"/>
                  <w:tcBorders>
                    <w:tl2br w:val="nil"/>
                    <w:tr2bl w:val="nil"/>
                  </w:tcBorders>
                  <w:vAlign w:val="center"/>
                </w:tcPr>
                <w:p>
                  <w:pPr>
                    <w:adjustRightInd w:val="0"/>
                    <w:snapToGrid w:val="0"/>
                    <w:spacing w:line="240" w:lineRule="auto"/>
                    <w:jc w:val="center"/>
                    <w:rPr>
                      <w:rFonts w:hint="eastAsia" w:ascii="Times New Roman" w:hAnsi="Times New Roman" w:eastAsia="宋体" w:cs="Times New Roman"/>
                      <w:b w:val="0"/>
                      <w:bCs w:val="0"/>
                      <w:color w:val="auto"/>
                      <w:sz w:val="21"/>
                      <w:szCs w:val="21"/>
                      <w:u w:val="none" w:color="auto"/>
                      <w:lang w:val="en-US" w:eastAsia="zh-CN"/>
                    </w:rPr>
                  </w:pPr>
                  <w:r>
                    <w:rPr>
                      <w:rFonts w:hint="eastAsia" w:ascii="Times New Roman" w:hAnsi="Times New Roman" w:eastAsia="宋体" w:cs="Times New Roman"/>
                      <w:sz w:val="21"/>
                      <w:szCs w:val="21"/>
                      <w:lang w:val="en-US" w:eastAsia="zh-CN"/>
                    </w:rPr>
                    <w:t>5</w:t>
                  </w:r>
                </w:p>
              </w:tc>
              <w:tc>
                <w:tcPr>
                  <w:tcW w:w="658"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default" w:ascii="Times New Roman" w:hAnsi="Times New Roman" w:eastAsia="宋体" w:cs="Times New Roman"/>
                      <w:b w:val="0"/>
                      <w:bCs w:val="0"/>
                      <w:color w:val="auto"/>
                      <w:sz w:val="21"/>
                      <w:szCs w:val="21"/>
                      <w:u w:val="none" w:color="auto"/>
                    </w:rPr>
                    <w:t>铅</w:t>
                  </w:r>
                </w:p>
              </w:tc>
              <w:tc>
                <w:tcPr>
                  <w:tcW w:w="286"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default" w:ascii="Times New Roman" w:hAnsi="Times New Roman" w:eastAsia="宋体" w:cs="Times New Roman"/>
                      <w:b w:val="0"/>
                      <w:bCs w:val="0"/>
                      <w:color w:val="auto"/>
                      <w:sz w:val="21"/>
                      <w:szCs w:val="21"/>
                      <w:u w:val="none" w:color="auto"/>
                    </w:rPr>
                    <w:t>T、C</w:t>
                  </w:r>
                </w:p>
              </w:tc>
              <w:tc>
                <w:tcPr>
                  <w:tcW w:w="527" w:type="pct"/>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55" w:hRule="atLeast"/>
                <w:jc w:val="center"/>
              </w:trPr>
              <w:tc>
                <w:tcPr>
                  <w:tcW w:w="171" w:type="pct"/>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p>
              </w:tc>
              <w:tc>
                <w:tcPr>
                  <w:tcW w:w="938" w:type="pct"/>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c>
                <w:tcPr>
                  <w:tcW w:w="475"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default" w:ascii="Times New Roman" w:hAnsi="Times New Roman" w:eastAsia="宋体" w:cs="Times New Roman"/>
                      <w:b w:val="0"/>
                      <w:bCs w:val="0"/>
                      <w:color w:val="auto"/>
                      <w:sz w:val="21"/>
                      <w:szCs w:val="21"/>
                      <w:u w:val="none" w:color="auto"/>
                    </w:rPr>
                    <w:t>HW29</w:t>
                  </w:r>
                </w:p>
              </w:tc>
              <w:tc>
                <w:tcPr>
                  <w:tcW w:w="1401"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default" w:ascii="Times New Roman" w:hAnsi="Times New Roman" w:eastAsia="宋体" w:cs="Times New Roman"/>
                      <w:b w:val="0"/>
                      <w:bCs w:val="0"/>
                      <w:color w:val="auto"/>
                      <w:sz w:val="21"/>
                      <w:szCs w:val="21"/>
                      <w:u w:val="none" w:color="auto"/>
                    </w:rPr>
                    <w:t>900-023-29</w:t>
                  </w:r>
                </w:p>
              </w:tc>
              <w:tc>
                <w:tcPr>
                  <w:tcW w:w="541" w:type="pct"/>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c>
                <w:tcPr>
                  <w:tcW w:w="658"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default" w:ascii="Times New Roman" w:hAnsi="Times New Roman" w:eastAsia="宋体" w:cs="Times New Roman"/>
                      <w:b w:val="0"/>
                      <w:bCs w:val="0"/>
                      <w:color w:val="auto"/>
                      <w:sz w:val="21"/>
                      <w:szCs w:val="21"/>
                      <w:u w:val="none" w:color="auto"/>
                    </w:rPr>
                    <w:t>汞</w:t>
                  </w:r>
                </w:p>
              </w:tc>
              <w:tc>
                <w:tcPr>
                  <w:tcW w:w="286"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default" w:ascii="Times New Roman" w:hAnsi="Times New Roman" w:eastAsia="宋体" w:cs="Times New Roman"/>
                      <w:b w:val="0"/>
                      <w:bCs w:val="0"/>
                      <w:color w:val="auto"/>
                      <w:sz w:val="21"/>
                      <w:szCs w:val="21"/>
                      <w:u w:val="none" w:color="auto"/>
                    </w:rPr>
                    <w:t>T</w:t>
                  </w:r>
                </w:p>
              </w:tc>
              <w:tc>
                <w:tcPr>
                  <w:tcW w:w="527" w:type="pct"/>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171"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eastAsia" w:ascii="Times New Roman" w:hAnsi="Times New Roman" w:eastAsia="宋体" w:cs="Times New Roman"/>
                      <w:b w:val="0"/>
                      <w:bCs w:val="0"/>
                      <w:color w:val="auto"/>
                      <w:sz w:val="21"/>
                      <w:szCs w:val="21"/>
                      <w:u w:val="none" w:color="auto"/>
                      <w:lang w:val="en-US" w:eastAsia="zh-CN"/>
                    </w:rPr>
                    <w:t>11</w:t>
                  </w:r>
                </w:p>
              </w:tc>
              <w:tc>
                <w:tcPr>
                  <w:tcW w:w="938"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eastAsia" w:ascii="Times New Roman" w:hAnsi="Times New Roman" w:eastAsia="宋体" w:cs="Times New Roman"/>
                      <w:b w:val="0"/>
                      <w:bCs w:val="0"/>
                      <w:color w:val="auto"/>
                      <w:sz w:val="21"/>
                      <w:szCs w:val="21"/>
                      <w:u w:val="none" w:color="auto"/>
                      <w:lang w:val="en-US" w:eastAsia="zh-CN"/>
                    </w:rPr>
                  </w:pPr>
                  <w:r>
                    <w:rPr>
                      <w:rFonts w:hint="eastAsia" w:ascii="Times New Roman" w:hAnsi="Times New Roman" w:eastAsia="宋体" w:cs="Times New Roman"/>
                      <w:b w:val="0"/>
                      <w:bCs w:val="0"/>
                      <w:color w:val="auto"/>
                      <w:sz w:val="21"/>
                      <w:szCs w:val="21"/>
                      <w:u w:val="none" w:color="auto"/>
                      <w:lang w:eastAsia="zh-CN"/>
                    </w:rPr>
                    <w:t>油水分离器废油</w:t>
                  </w:r>
                </w:p>
              </w:tc>
              <w:tc>
                <w:tcPr>
                  <w:tcW w:w="475"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default" w:ascii="Times New Roman" w:hAnsi="Times New Roman" w:eastAsia="宋体" w:cs="Times New Roman"/>
                      <w:b w:val="0"/>
                      <w:bCs w:val="0"/>
                      <w:color w:val="auto"/>
                      <w:sz w:val="21"/>
                      <w:szCs w:val="21"/>
                      <w:u w:val="none" w:color="auto"/>
                    </w:rPr>
                    <w:t>HW08</w:t>
                  </w:r>
                </w:p>
              </w:tc>
              <w:tc>
                <w:tcPr>
                  <w:tcW w:w="1401"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default" w:ascii="Times New Roman" w:hAnsi="Times New Roman" w:eastAsia="宋体" w:cs="Times New Roman"/>
                      <w:b w:val="0"/>
                      <w:bCs w:val="0"/>
                      <w:color w:val="auto"/>
                      <w:sz w:val="21"/>
                      <w:szCs w:val="21"/>
                      <w:u w:val="none" w:color="auto"/>
                    </w:rPr>
                    <w:t>900-210-08</w:t>
                  </w:r>
                </w:p>
              </w:tc>
              <w:tc>
                <w:tcPr>
                  <w:tcW w:w="541" w:type="pc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0.2</w:t>
                  </w:r>
                </w:p>
              </w:tc>
              <w:tc>
                <w:tcPr>
                  <w:tcW w:w="658"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eastAsia" w:ascii="Times New Roman" w:hAnsi="Times New Roman" w:eastAsia="宋体" w:cs="Times New Roman"/>
                      <w:b w:val="0"/>
                      <w:bCs w:val="0"/>
                      <w:color w:val="auto"/>
                      <w:sz w:val="21"/>
                      <w:szCs w:val="21"/>
                      <w:u w:val="none" w:color="auto"/>
                      <w:lang w:val="en-US" w:eastAsia="zh-CN"/>
                    </w:rPr>
                    <w:t>矿物油</w:t>
                  </w:r>
                </w:p>
              </w:tc>
              <w:tc>
                <w:tcPr>
                  <w:tcW w:w="286"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default" w:ascii="Times New Roman" w:hAnsi="Times New Roman" w:eastAsia="宋体" w:cs="Times New Roman"/>
                      <w:b w:val="0"/>
                      <w:bCs w:val="0"/>
                      <w:color w:val="auto"/>
                      <w:sz w:val="21"/>
                      <w:szCs w:val="21"/>
                      <w:u w:val="none" w:color="auto"/>
                    </w:rPr>
                    <w:t>T、I</w:t>
                  </w:r>
                </w:p>
              </w:tc>
              <w:tc>
                <w:tcPr>
                  <w:tcW w:w="527" w:type="pct"/>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171"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eastAsia" w:ascii="Times New Roman" w:hAnsi="Times New Roman" w:eastAsia="宋体" w:cs="Times New Roman"/>
                      <w:b w:val="0"/>
                      <w:bCs w:val="0"/>
                      <w:color w:val="auto"/>
                      <w:sz w:val="21"/>
                      <w:szCs w:val="21"/>
                      <w:u w:val="none" w:color="auto"/>
                      <w:lang w:val="en-US" w:eastAsia="zh-CN"/>
                    </w:rPr>
                    <w:t>12</w:t>
                  </w:r>
                </w:p>
              </w:tc>
              <w:tc>
                <w:tcPr>
                  <w:tcW w:w="938"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eastAsia" w:ascii="Times New Roman" w:hAnsi="Times New Roman" w:eastAsia="宋体" w:cs="Times New Roman"/>
                      <w:b w:val="0"/>
                      <w:bCs w:val="0"/>
                      <w:color w:val="auto"/>
                      <w:sz w:val="21"/>
                      <w:szCs w:val="21"/>
                      <w:u w:val="none" w:color="auto"/>
                      <w:lang w:val="en-US" w:eastAsia="zh-CN"/>
                    </w:rPr>
                  </w:pPr>
                  <w:r>
                    <w:rPr>
                      <w:rFonts w:hint="default" w:ascii="Times New Roman" w:hAnsi="Times New Roman" w:eastAsia="宋体" w:cs="Times New Roman"/>
                      <w:b w:val="0"/>
                      <w:bCs w:val="0"/>
                      <w:color w:val="auto"/>
                      <w:sz w:val="21"/>
                      <w:szCs w:val="21"/>
                      <w:u w:val="none" w:color="auto"/>
                    </w:rPr>
                    <w:t>废含油手套抹布</w:t>
                  </w:r>
                </w:p>
              </w:tc>
              <w:tc>
                <w:tcPr>
                  <w:tcW w:w="475"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default" w:ascii="Times New Roman" w:hAnsi="Times New Roman" w:eastAsia="宋体" w:cs="Times New Roman"/>
                      <w:b w:val="0"/>
                      <w:bCs w:val="0"/>
                      <w:color w:val="auto"/>
                      <w:sz w:val="21"/>
                      <w:szCs w:val="21"/>
                      <w:u w:val="none" w:color="auto"/>
                    </w:rPr>
                    <w:t>HW49</w:t>
                  </w:r>
                </w:p>
              </w:tc>
              <w:tc>
                <w:tcPr>
                  <w:tcW w:w="1401"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default" w:ascii="Times New Roman" w:hAnsi="Times New Roman" w:eastAsia="宋体" w:cs="Times New Roman"/>
                      <w:b w:val="0"/>
                      <w:bCs w:val="0"/>
                      <w:color w:val="auto"/>
                      <w:sz w:val="21"/>
                      <w:szCs w:val="21"/>
                      <w:u w:val="none" w:color="auto"/>
                    </w:rPr>
                    <w:t>900-041-49</w:t>
                  </w:r>
                </w:p>
              </w:tc>
              <w:tc>
                <w:tcPr>
                  <w:tcW w:w="541" w:type="pc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0.3</w:t>
                  </w:r>
                </w:p>
              </w:tc>
              <w:tc>
                <w:tcPr>
                  <w:tcW w:w="658"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eastAsia" w:ascii="Times New Roman" w:hAnsi="Times New Roman" w:eastAsia="宋体" w:cs="Times New Roman"/>
                      <w:b w:val="0"/>
                      <w:bCs w:val="0"/>
                      <w:color w:val="auto"/>
                      <w:sz w:val="21"/>
                      <w:szCs w:val="21"/>
                      <w:u w:val="none" w:color="auto"/>
                      <w:lang w:val="en-US" w:eastAsia="zh-CN"/>
                    </w:rPr>
                    <w:t>矿物油</w:t>
                  </w:r>
                </w:p>
              </w:tc>
              <w:tc>
                <w:tcPr>
                  <w:tcW w:w="286"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default" w:ascii="Times New Roman" w:hAnsi="Times New Roman" w:eastAsia="宋体" w:cs="Times New Roman"/>
                      <w:b w:val="0"/>
                      <w:bCs w:val="0"/>
                      <w:color w:val="auto"/>
                      <w:sz w:val="21"/>
                      <w:szCs w:val="21"/>
                      <w:u w:val="none" w:color="auto"/>
                    </w:rPr>
                    <w:t>T/In</w:t>
                  </w:r>
                </w:p>
              </w:tc>
              <w:tc>
                <w:tcPr>
                  <w:tcW w:w="527" w:type="pct"/>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171"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eastAsia" w:ascii="Times New Roman" w:hAnsi="Times New Roman" w:eastAsia="宋体" w:cs="Times New Roman"/>
                      <w:b w:val="0"/>
                      <w:bCs w:val="0"/>
                      <w:color w:val="auto"/>
                      <w:sz w:val="21"/>
                      <w:szCs w:val="21"/>
                      <w:u w:val="none" w:color="auto"/>
                      <w:lang w:val="en-US" w:eastAsia="zh-CN"/>
                    </w:rPr>
                    <w:t>13</w:t>
                  </w:r>
                </w:p>
              </w:tc>
              <w:tc>
                <w:tcPr>
                  <w:tcW w:w="938"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eastAsia" w:cs="Times New Roman"/>
                      <w:color w:val="auto"/>
                      <w:sz w:val="21"/>
                      <w:szCs w:val="21"/>
                      <w:u w:val="none" w:color="auto"/>
                      <w:lang w:val="en-US" w:eastAsia="zh-CN"/>
                    </w:rPr>
                    <w:t>隔油沉淀池含油污泥</w:t>
                  </w:r>
                </w:p>
              </w:tc>
              <w:tc>
                <w:tcPr>
                  <w:tcW w:w="475"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HW08</w:t>
                  </w:r>
                </w:p>
              </w:tc>
              <w:tc>
                <w:tcPr>
                  <w:tcW w:w="1401"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900-210-08</w:t>
                  </w:r>
                </w:p>
              </w:tc>
              <w:tc>
                <w:tcPr>
                  <w:tcW w:w="541"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eastAsia" w:ascii="Times New Roman" w:hAnsi="Times New Roman" w:eastAsia="宋体" w:cs="Times New Roman"/>
                      <w:b w:val="0"/>
                      <w:bCs w:val="0"/>
                      <w:color w:val="auto"/>
                      <w:sz w:val="21"/>
                      <w:szCs w:val="21"/>
                      <w:u w:val="none" w:color="auto"/>
                      <w:lang w:val="en-US" w:eastAsia="zh-CN"/>
                    </w:rPr>
                    <w:t>1.2</w:t>
                  </w:r>
                </w:p>
              </w:tc>
              <w:tc>
                <w:tcPr>
                  <w:tcW w:w="658"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eastAsia" w:ascii="Times New Roman" w:hAnsi="Times New Roman" w:eastAsia="宋体" w:cs="Times New Roman"/>
                      <w:b w:val="0"/>
                      <w:bCs w:val="0"/>
                      <w:color w:val="auto"/>
                      <w:sz w:val="21"/>
                      <w:szCs w:val="21"/>
                      <w:u w:val="none" w:color="auto"/>
                      <w:lang w:val="en-US" w:eastAsia="zh-CN"/>
                    </w:rPr>
                  </w:pPr>
                  <w:r>
                    <w:rPr>
                      <w:rFonts w:hint="eastAsia" w:ascii="Times New Roman" w:hAnsi="Times New Roman" w:eastAsia="宋体" w:cs="Times New Roman"/>
                      <w:b w:val="0"/>
                      <w:bCs w:val="0"/>
                      <w:color w:val="auto"/>
                      <w:sz w:val="21"/>
                      <w:szCs w:val="21"/>
                      <w:u w:val="none" w:color="auto"/>
                      <w:lang w:val="en-US" w:eastAsia="zh-CN"/>
                    </w:rPr>
                    <w:t>废矿物油与含矿物油废物</w:t>
                  </w:r>
                </w:p>
              </w:tc>
              <w:tc>
                <w:tcPr>
                  <w:tcW w:w="286"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T</w:t>
                  </w:r>
                  <w:r>
                    <w:rPr>
                      <w:rFonts w:hint="eastAsia" w:ascii="Times New Roman" w:hAnsi="Times New Roman" w:eastAsia="宋体" w:cs="Times New Roman"/>
                      <w:b w:val="0"/>
                      <w:bCs w:val="0"/>
                      <w:color w:val="auto"/>
                      <w:sz w:val="21"/>
                      <w:szCs w:val="21"/>
                      <w:u w:val="none" w:color="auto"/>
                      <w:lang w:eastAsia="zh-CN"/>
                    </w:rPr>
                    <w:t>、</w:t>
                  </w:r>
                  <w:r>
                    <w:rPr>
                      <w:rFonts w:hint="default" w:ascii="Times New Roman" w:hAnsi="Times New Roman" w:eastAsia="宋体" w:cs="Times New Roman"/>
                      <w:b w:val="0"/>
                      <w:bCs w:val="0"/>
                      <w:color w:val="auto"/>
                      <w:sz w:val="21"/>
                      <w:szCs w:val="21"/>
                      <w:u w:val="none" w:color="auto"/>
                    </w:rPr>
                    <w:t>I</w:t>
                  </w:r>
                </w:p>
              </w:tc>
              <w:tc>
                <w:tcPr>
                  <w:tcW w:w="527" w:type="pct"/>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p>
              </w:tc>
            </w:tr>
          </w:tbl>
          <w:p>
            <w:pPr>
              <w:autoSpaceDE w:val="0"/>
              <w:autoSpaceDN w:val="0"/>
              <w:spacing w:line="360" w:lineRule="auto"/>
              <w:ind w:firstLine="480" w:firstLineChars="200"/>
              <w:rPr>
                <w:rFonts w:cs="宋体"/>
                <w:b w:val="0"/>
                <w:bCs w:val="0"/>
                <w:color w:val="auto"/>
                <w:sz w:val="24"/>
                <w:szCs w:val="24"/>
                <w:u w:val="none"/>
                <w:lang w:bidi="zh-CN"/>
              </w:rPr>
            </w:pPr>
            <w:r>
              <w:rPr>
                <w:rFonts w:hint="eastAsia" w:cs="宋体"/>
                <w:b w:val="0"/>
                <w:bCs w:val="0"/>
                <w:color w:val="auto"/>
                <w:sz w:val="24"/>
                <w:szCs w:val="24"/>
                <w:u w:val="none"/>
                <w:lang w:val="en-US" w:bidi="zh-CN"/>
              </w:rPr>
              <w:t>（1）</w:t>
            </w:r>
            <w:r>
              <w:rPr>
                <w:rFonts w:cs="宋体"/>
                <w:b w:val="0"/>
                <w:bCs w:val="0"/>
                <w:color w:val="auto"/>
                <w:sz w:val="24"/>
                <w:szCs w:val="24"/>
                <w:u w:val="none"/>
                <w:lang w:bidi="zh-CN"/>
              </w:rPr>
              <w:t>一般固废</w:t>
            </w:r>
          </w:p>
          <w:p>
            <w:pPr>
              <w:autoSpaceDE w:val="0"/>
              <w:autoSpaceDN w:val="0"/>
              <w:spacing w:line="360" w:lineRule="auto"/>
              <w:ind w:firstLine="480" w:firstLineChars="200"/>
              <w:rPr>
                <w:rFonts w:cs="宋体"/>
                <w:b w:val="0"/>
                <w:bCs w:val="0"/>
                <w:color w:val="auto"/>
                <w:sz w:val="24"/>
                <w:szCs w:val="24"/>
                <w:u w:val="none"/>
                <w:lang w:bidi="zh-CN"/>
              </w:rPr>
            </w:pPr>
            <w:r>
              <w:rPr>
                <w:rFonts w:cs="宋体"/>
                <w:b w:val="0"/>
                <w:bCs w:val="0"/>
                <w:color w:val="auto"/>
                <w:sz w:val="24"/>
                <w:szCs w:val="24"/>
                <w:u w:val="none"/>
                <w:lang w:bidi="zh-CN"/>
              </w:rPr>
              <w:t>钢铁、有色金属、玻璃、塑料、橡胶</w:t>
            </w:r>
            <w:r>
              <w:rPr>
                <w:rFonts w:hint="eastAsia" w:cs="宋体"/>
                <w:b w:val="0"/>
                <w:bCs w:val="0"/>
                <w:color w:val="auto"/>
                <w:sz w:val="24"/>
                <w:szCs w:val="24"/>
                <w:u w:val="none"/>
                <w:lang w:bidi="zh-CN"/>
              </w:rPr>
              <w:t>、</w:t>
            </w:r>
            <w:r>
              <w:rPr>
                <w:rFonts w:hint="eastAsia" w:cs="宋体"/>
                <w:b w:val="0"/>
                <w:bCs w:val="0"/>
                <w:color w:val="auto"/>
                <w:sz w:val="24"/>
                <w:szCs w:val="24"/>
                <w:u w:val="none"/>
                <w:lang w:val="en-US" w:bidi="zh-CN"/>
              </w:rPr>
              <w:t>废动力电池（锂电池）</w:t>
            </w:r>
            <w:r>
              <w:rPr>
                <w:rFonts w:cs="宋体"/>
                <w:b w:val="0"/>
                <w:bCs w:val="0"/>
                <w:color w:val="auto"/>
                <w:sz w:val="24"/>
                <w:szCs w:val="24"/>
                <w:u w:val="none"/>
                <w:lang w:bidi="zh-CN"/>
              </w:rPr>
              <w:t>属于一般工业固体废物，属于可回收综合利用部分，外售相应单位</w:t>
            </w:r>
            <w:r>
              <w:rPr>
                <w:rFonts w:hint="eastAsia" w:cs="宋体"/>
                <w:b w:val="0"/>
                <w:bCs w:val="0"/>
                <w:color w:val="auto"/>
                <w:sz w:val="24"/>
                <w:szCs w:val="24"/>
                <w:u w:val="none"/>
                <w:lang w:bidi="zh-CN"/>
              </w:rPr>
              <w:t>；</w:t>
            </w:r>
            <w:r>
              <w:rPr>
                <w:rFonts w:cs="宋体"/>
                <w:b w:val="0"/>
                <w:bCs w:val="0"/>
                <w:color w:val="auto"/>
                <w:sz w:val="24"/>
                <w:szCs w:val="24"/>
                <w:u w:val="none"/>
                <w:lang w:bidi="zh-CN"/>
              </w:rPr>
              <w:t>可用零部件属于一般工业固体废物，外售附近修理厂</w:t>
            </w:r>
            <w:r>
              <w:rPr>
                <w:rFonts w:hint="eastAsia" w:cs="宋体"/>
                <w:b w:val="0"/>
                <w:bCs w:val="0"/>
                <w:color w:val="auto"/>
                <w:sz w:val="24"/>
                <w:szCs w:val="24"/>
                <w:u w:val="none"/>
                <w:lang w:bidi="zh-CN"/>
              </w:rPr>
              <w:t>；</w:t>
            </w:r>
            <w:r>
              <w:rPr>
                <w:rFonts w:cs="宋体"/>
                <w:b w:val="0"/>
                <w:bCs w:val="0"/>
                <w:color w:val="auto"/>
                <w:sz w:val="24"/>
                <w:szCs w:val="24"/>
                <w:u w:val="none"/>
                <w:lang w:bidi="zh-CN"/>
              </w:rPr>
              <w:t>五大总成属于特殊固废，按照《报废汽车回收拆解企业技术规范》等技术规范，委托有资质公司进行处置</w:t>
            </w:r>
            <w:r>
              <w:rPr>
                <w:rFonts w:hint="eastAsia" w:cs="宋体"/>
                <w:b w:val="0"/>
                <w:bCs w:val="0"/>
                <w:color w:val="auto"/>
                <w:sz w:val="24"/>
                <w:szCs w:val="24"/>
                <w:u w:val="none"/>
                <w:lang w:bidi="zh-CN"/>
              </w:rPr>
              <w:t>；</w:t>
            </w:r>
            <w:r>
              <w:rPr>
                <w:rFonts w:hint="eastAsia" w:cs="宋体"/>
                <w:b w:val="0"/>
                <w:bCs w:val="0"/>
                <w:color w:val="auto"/>
                <w:sz w:val="24"/>
                <w:szCs w:val="24"/>
                <w:u w:val="none"/>
                <w:lang w:val="en-US" w:bidi="zh-CN"/>
              </w:rPr>
              <w:t>不可利用的</w:t>
            </w:r>
            <w:r>
              <w:rPr>
                <w:rFonts w:hint="eastAsia" w:cs="宋体"/>
                <w:b w:val="0"/>
                <w:bCs w:val="0"/>
                <w:color w:val="auto"/>
                <w:sz w:val="24"/>
                <w:szCs w:val="24"/>
                <w:u w:val="none"/>
                <w:lang w:bidi="zh-CN"/>
              </w:rPr>
              <w:t>废海绵、麻织物、废海绵、废皮革、含油抹布及其他不可利用垃圾均交由环卫部门清运处置；员工产生的生活垃圾交由环卫部门清运处置。</w:t>
            </w:r>
          </w:p>
          <w:p>
            <w:pPr>
              <w:autoSpaceDE w:val="0"/>
              <w:autoSpaceDN w:val="0"/>
              <w:spacing w:line="360" w:lineRule="auto"/>
              <w:ind w:firstLine="480" w:firstLineChars="200"/>
              <w:rPr>
                <w:rFonts w:cs="宋体"/>
                <w:b w:val="0"/>
                <w:bCs w:val="0"/>
                <w:color w:val="auto"/>
                <w:sz w:val="24"/>
                <w:szCs w:val="24"/>
                <w:u w:val="none"/>
                <w:lang w:bidi="zh-CN"/>
              </w:rPr>
            </w:pPr>
            <w:r>
              <w:rPr>
                <w:rFonts w:hint="eastAsia" w:cs="宋体"/>
                <w:b w:val="0"/>
                <w:bCs w:val="0"/>
                <w:color w:val="auto"/>
                <w:sz w:val="24"/>
                <w:szCs w:val="24"/>
                <w:u w:val="none"/>
                <w:lang w:val="en-US" w:bidi="zh-CN"/>
              </w:rPr>
              <w:t>（2）</w:t>
            </w:r>
            <w:r>
              <w:rPr>
                <w:rFonts w:cs="宋体"/>
                <w:b w:val="0"/>
                <w:bCs w:val="0"/>
                <w:color w:val="auto"/>
                <w:sz w:val="24"/>
                <w:szCs w:val="24"/>
                <w:u w:val="none"/>
                <w:lang w:bidi="zh-CN"/>
              </w:rPr>
              <w:t>废蓄电池</w:t>
            </w:r>
          </w:p>
          <w:p>
            <w:pPr>
              <w:autoSpaceDE w:val="0"/>
              <w:autoSpaceDN w:val="0"/>
              <w:spacing w:line="360" w:lineRule="auto"/>
              <w:ind w:firstLine="480" w:firstLineChars="200"/>
              <w:rPr>
                <w:rFonts w:cs="宋体"/>
                <w:b w:val="0"/>
                <w:bCs w:val="0"/>
                <w:color w:val="auto"/>
                <w:sz w:val="24"/>
                <w:szCs w:val="24"/>
                <w:u w:val="none"/>
                <w:lang w:bidi="zh-CN"/>
              </w:rPr>
            </w:pPr>
            <w:r>
              <w:rPr>
                <w:rFonts w:cs="宋体"/>
                <w:b w:val="0"/>
                <w:bCs w:val="0"/>
                <w:color w:val="auto"/>
                <w:sz w:val="24"/>
                <w:szCs w:val="24"/>
                <w:u w:val="none"/>
                <w:lang w:bidi="zh-CN"/>
              </w:rPr>
              <w:t>废蓄电池的收集、贮存和运输应严格执行《废铅酸蓄电池处理污染控制技术规范》(HI519-2009)，最大单次贮存量不应大于</w:t>
            </w:r>
            <w:r>
              <w:rPr>
                <w:rFonts w:hint="eastAsia" w:cs="宋体"/>
                <w:b w:val="0"/>
                <w:bCs w:val="0"/>
                <w:color w:val="auto"/>
                <w:sz w:val="24"/>
                <w:szCs w:val="24"/>
                <w:u w:val="none"/>
                <w:lang w:bidi="zh-CN"/>
              </w:rPr>
              <w:t>3</w:t>
            </w:r>
            <w:r>
              <w:rPr>
                <w:rFonts w:cs="宋体"/>
                <w:b w:val="0"/>
                <w:bCs w:val="0"/>
                <w:color w:val="auto"/>
                <w:sz w:val="24"/>
                <w:szCs w:val="24"/>
                <w:u w:val="none"/>
                <w:lang w:bidi="zh-CN"/>
              </w:rPr>
              <w:t xml:space="preserve">t，所收集的废旧铅酸蓄电池贮存时间不超过 </w:t>
            </w:r>
            <w:r>
              <w:rPr>
                <w:rFonts w:hint="eastAsia" w:cs="宋体"/>
                <w:b w:val="0"/>
                <w:bCs w:val="0"/>
                <w:color w:val="auto"/>
                <w:sz w:val="24"/>
                <w:szCs w:val="24"/>
                <w:u w:val="none"/>
                <w:lang w:bidi="zh-CN"/>
              </w:rPr>
              <w:t>15</w:t>
            </w:r>
            <w:r>
              <w:rPr>
                <w:rFonts w:cs="宋体"/>
                <w:b w:val="0"/>
                <w:bCs w:val="0"/>
                <w:color w:val="auto"/>
                <w:sz w:val="24"/>
                <w:szCs w:val="24"/>
                <w:u w:val="none"/>
                <w:lang w:bidi="zh-CN"/>
              </w:rPr>
              <w:t>d</w:t>
            </w:r>
            <w:r>
              <w:rPr>
                <w:rFonts w:hint="eastAsia" w:cs="宋体"/>
                <w:b w:val="0"/>
                <w:bCs w:val="0"/>
                <w:color w:val="auto"/>
                <w:sz w:val="24"/>
                <w:szCs w:val="24"/>
                <w:u w:val="none"/>
                <w:lang w:bidi="zh-CN"/>
              </w:rPr>
              <w:t>，</w:t>
            </w:r>
            <w:r>
              <w:rPr>
                <w:rFonts w:cs="宋体"/>
                <w:b w:val="0"/>
                <w:bCs w:val="0"/>
                <w:color w:val="auto"/>
                <w:sz w:val="24"/>
                <w:szCs w:val="24"/>
                <w:u w:val="none"/>
                <w:lang w:bidi="zh-CN"/>
              </w:rPr>
              <w:t>评价要求所存的废旧铅酸蓄电池过磅称重，严格控制贮存量。同时废蓄电池储存应设有金属外框加固的专业塑料箱即周转箱(2t)(防止存放的废铅酸蓄电池倒塌，要求耐酸、防渗)，周转箱下方设架空底座，架空底座下放设耐酸、防渗塑料托盘，可有效收集废电池破损产生的电解液，主用于废电洲破损产生电解液的三重防护。未破损铅蓄电池的属于《国家危险废物名录》(2021版)中规定的危险废物，废物类别900-052-31，定期委托有资质单位进行回收处置，运输工具满足防雨、防渗漏、防遗撒要求时可豁免运输环节。</w:t>
            </w:r>
          </w:p>
          <w:p>
            <w:pPr>
              <w:autoSpaceDE w:val="0"/>
              <w:autoSpaceDN w:val="0"/>
              <w:spacing w:line="360" w:lineRule="auto"/>
              <w:ind w:firstLine="480" w:firstLineChars="200"/>
              <w:rPr>
                <w:rFonts w:cs="宋体"/>
                <w:b w:val="0"/>
                <w:bCs w:val="0"/>
                <w:color w:val="auto"/>
                <w:sz w:val="24"/>
                <w:szCs w:val="24"/>
                <w:u w:val="none"/>
                <w:lang w:bidi="zh-CN"/>
              </w:rPr>
            </w:pPr>
            <w:r>
              <w:rPr>
                <w:rFonts w:hint="eastAsia" w:cs="宋体"/>
                <w:b w:val="0"/>
                <w:bCs w:val="0"/>
                <w:color w:val="auto"/>
                <w:sz w:val="24"/>
                <w:szCs w:val="24"/>
                <w:u w:val="none"/>
                <w:lang w:val="en-US" w:bidi="zh-CN"/>
              </w:rPr>
              <w:t>（3）</w:t>
            </w:r>
            <w:r>
              <w:rPr>
                <w:rFonts w:cs="宋体"/>
                <w:b w:val="0"/>
                <w:bCs w:val="0"/>
                <w:color w:val="auto"/>
                <w:sz w:val="24"/>
                <w:szCs w:val="24"/>
                <w:u w:val="none"/>
                <w:lang w:bidi="zh-CN"/>
              </w:rPr>
              <w:t>废电容器</w:t>
            </w:r>
          </w:p>
          <w:p>
            <w:pPr>
              <w:autoSpaceDE w:val="0"/>
              <w:autoSpaceDN w:val="0"/>
              <w:spacing w:line="360" w:lineRule="auto"/>
              <w:ind w:firstLine="480" w:firstLineChars="200"/>
              <w:rPr>
                <w:rFonts w:cs="宋体"/>
                <w:b w:val="0"/>
                <w:bCs w:val="0"/>
                <w:color w:val="auto"/>
                <w:sz w:val="24"/>
                <w:szCs w:val="24"/>
                <w:u w:val="none"/>
                <w:lang w:bidi="zh-CN"/>
              </w:rPr>
            </w:pPr>
            <w:r>
              <w:rPr>
                <w:rFonts w:cs="宋体"/>
                <w:b w:val="0"/>
                <w:bCs w:val="0"/>
                <w:color w:val="auto"/>
                <w:sz w:val="24"/>
                <w:szCs w:val="24"/>
                <w:u w:val="none"/>
                <w:lang w:bidi="zh-CN"/>
              </w:rPr>
              <w:t>项目废旧汽车中的废电容器(含有多氯联苯)属于《国家危险废物名录》中的HW10 类别，具有毒性。同时，废电容器也属于《报废机动车拆解环境保护技术规范》(HJ348-2007)中规定的危险废物，拟采用容积为2t的耐酸容器进行临时储存，定期委托有资质单位进行回收处置。</w:t>
            </w:r>
          </w:p>
          <w:p>
            <w:pPr>
              <w:autoSpaceDE w:val="0"/>
              <w:autoSpaceDN w:val="0"/>
              <w:spacing w:line="360" w:lineRule="auto"/>
              <w:ind w:firstLine="480" w:firstLineChars="200"/>
              <w:rPr>
                <w:rFonts w:cs="宋体"/>
                <w:b w:val="0"/>
                <w:bCs w:val="0"/>
                <w:color w:val="auto"/>
                <w:sz w:val="24"/>
                <w:szCs w:val="24"/>
                <w:u w:val="none"/>
                <w:lang w:bidi="zh-CN"/>
              </w:rPr>
            </w:pPr>
            <w:r>
              <w:rPr>
                <w:rFonts w:hint="eastAsia" w:cs="宋体"/>
                <w:b w:val="0"/>
                <w:bCs w:val="0"/>
                <w:color w:val="auto"/>
                <w:sz w:val="24"/>
                <w:szCs w:val="24"/>
                <w:u w:val="none"/>
                <w:lang w:val="en-US" w:bidi="zh-CN"/>
              </w:rPr>
              <w:t>（4）</w:t>
            </w:r>
            <w:r>
              <w:rPr>
                <w:rFonts w:cs="宋体"/>
                <w:b w:val="0"/>
                <w:bCs w:val="0"/>
                <w:color w:val="auto"/>
                <w:sz w:val="24"/>
                <w:szCs w:val="24"/>
                <w:u w:val="none"/>
                <w:lang w:bidi="zh-CN"/>
              </w:rPr>
              <w:t>废尾气净化催化剂</w:t>
            </w:r>
          </w:p>
          <w:p>
            <w:pPr>
              <w:autoSpaceDE w:val="0"/>
              <w:autoSpaceDN w:val="0"/>
              <w:spacing w:line="360" w:lineRule="auto"/>
              <w:ind w:firstLine="480" w:firstLineChars="200"/>
              <w:rPr>
                <w:rFonts w:cs="宋体"/>
                <w:b w:val="0"/>
                <w:bCs w:val="0"/>
                <w:color w:val="auto"/>
                <w:sz w:val="24"/>
                <w:szCs w:val="24"/>
                <w:u w:val="none"/>
                <w:lang w:bidi="zh-CN"/>
              </w:rPr>
            </w:pPr>
            <w:r>
              <w:rPr>
                <w:rFonts w:cs="宋体"/>
                <w:b w:val="0"/>
                <w:bCs w:val="0"/>
                <w:color w:val="auto"/>
                <w:sz w:val="24"/>
                <w:szCs w:val="24"/>
                <w:u w:val="none"/>
                <w:lang w:bidi="zh-CN"/>
              </w:rPr>
              <w:t>项目废旧汽车尾气净化装置中的废尾气净化催化剂属于《国家危险废物名录》中的 HW50类别，具有毒性。同时，废电容器也属于《报废机动车拆解环境保护技术规范》(HJ348-2007)中规定的危险废物，定期委托有资质单位进行回收处置。</w:t>
            </w:r>
          </w:p>
          <w:p>
            <w:pPr>
              <w:autoSpaceDE w:val="0"/>
              <w:autoSpaceDN w:val="0"/>
              <w:spacing w:line="360" w:lineRule="auto"/>
              <w:ind w:firstLine="480" w:firstLineChars="200"/>
              <w:rPr>
                <w:rFonts w:cs="宋体"/>
                <w:b w:val="0"/>
                <w:bCs w:val="0"/>
                <w:color w:val="auto"/>
                <w:sz w:val="24"/>
                <w:szCs w:val="24"/>
                <w:u w:val="none"/>
                <w:lang w:bidi="zh-CN"/>
              </w:rPr>
            </w:pPr>
            <w:r>
              <w:rPr>
                <w:rFonts w:hint="eastAsia" w:cs="宋体"/>
                <w:b w:val="0"/>
                <w:bCs w:val="0"/>
                <w:color w:val="auto"/>
                <w:sz w:val="24"/>
                <w:szCs w:val="24"/>
                <w:u w:val="none"/>
                <w:lang w:val="en-US" w:bidi="zh-CN"/>
              </w:rPr>
              <w:t>（5）</w:t>
            </w:r>
            <w:r>
              <w:rPr>
                <w:rFonts w:cs="宋体"/>
                <w:b w:val="0"/>
                <w:bCs w:val="0"/>
                <w:color w:val="auto"/>
                <w:sz w:val="24"/>
                <w:szCs w:val="24"/>
                <w:u w:val="none"/>
                <w:lang w:bidi="zh-CN"/>
              </w:rPr>
              <w:t>废油液</w:t>
            </w:r>
          </w:p>
          <w:p>
            <w:pPr>
              <w:autoSpaceDE w:val="0"/>
              <w:autoSpaceDN w:val="0"/>
              <w:spacing w:line="360" w:lineRule="auto"/>
              <w:ind w:firstLine="480" w:firstLineChars="200"/>
              <w:rPr>
                <w:rFonts w:cs="宋体"/>
                <w:b w:val="0"/>
                <w:bCs w:val="0"/>
                <w:color w:val="auto"/>
                <w:sz w:val="24"/>
                <w:szCs w:val="24"/>
                <w:u w:val="none"/>
                <w:lang w:bidi="zh-CN"/>
              </w:rPr>
            </w:pPr>
            <w:r>
              <w:rPr>
                <w:rFonts w:cs="宋体"/>
                <w:b w:val="0"/>
                <w:bCs w:val="0"/>
                <w:color w:val="auto"/>
                <w:sz w:val="24"/>
                <w:szCs w:val="24"/>
                <w:u w:val="none"/>
                <w:lang w:bidi="zh-CN"/>
              </w:rPr>
              <w:t>报废汽车拆解过程中各类废油液，主要为发动机油、刹车油、汽油、柴油、变速箱油等，拟设置容积为</w:t>
            </w:r>
            <w:r>
              <w:rPr>
                <w:rFonts w:hint="eastAsia" w:cs="宋体"/>
                <w:b w:val="0"/>
                <w:bCs w:val="0"/>
                <w:color w:val="auto"/>
                <w:sz w:val="24"/>
                <w:szCs w:val="24"/>
                <w:u w:val="none"/>
                <w:lang w:val="en-US" w:bidi="zh-CN"/>
              </w:rPr>
              <w:t>200</w:t>
            </w:r>
            <w:r>
              <w:rPr>
                <w:rFonts w:cs="宋体"/>
                <w:b w:val="0"/>
                <w:bCs w:val="0"/>
                <w:color w:val="auto"/>
                <w:sz w:val="24"/>
                <w:szCs w:val="24"/>
                <w:u w:val="none"/>
                <w:lang w:bidi="zh-CN"/>
              </w:rPr>
              <w:t>L 密闭储存桶</w:t>
            </w:r>
            <w:r>
              <w:rPr>
                <w:rFonts w:hint="eastAsia" w:cs="宋体"/>
                <w:b w:val="0"/>
                <w:bCs w:val="0"/>
                <w:color w:val="auto"/>
                <w:sz w:val="24"/>
                <w:szCs w:val="24"/>
                <w:u w:val="none"/>
                <w:lang w:val="en-US" w:bidi="zh-CN"/>
              </w:rPr>
              <w:t>储存</w:t>
            </w:r>
            <w:r>
              <w:rPr>
                <w:rFonts w:cs="宋体"/>
                <w:b w:val="0"/>
                <w:bCs w:val="0"/>
                <w:color w:val="auto"/>
                <w:sz w:val="24"/>
                <w:szCs w:val="24"/>
                <w:u w:val="none"/>
                <w:lang w:bidi="zh-CN"/>
              </w:rPr>
              <w:t>，置于危废间内，设置固定装置，分类储存各类油品，定期委托有资质单位进行回收处置。</w:t>
            </w:r>
          </w:p>
          <w:p>
            <w:pPr>
              <w:autoSpaceDE w:val="0"/>
              <w:autoSpaceDN w:val="0"/>
              <w:spacing w:line="360" w:lineRule="auto"/>
              <w:ind w:firstLine="480" w:firstLineChars="200"/>
              <w:rPr>
                <w:rFonts w:cs="宋体"/>
                <w:b w:val="0"/>
                <w:bCs w:val="0"/>
                <w:color w:val="auto"/>
                <w:sz w:val="24"/>
                <w:szCs w:val="24"/>
                <w:u w:val="none"/>
                <w:lang w:bidi="zh-CN"/>
              </w:rPr>
            </w:pPr>
            <w:r>
              <w:rPr>
                <w:rFonts w:hint="eastAsia" w:cs="宋体"/>
                <w:b w:val="0"/>
                <w:bCs w:val="0"/>
                <w:color w:val="auto"/>
                <w:sz w:val="24"/>
                <w:szCs w:val="24"/>
                <w:u w:val="none"/>
                <w:lang w:val="en-US" w:bidi="zh-CN"/>
              </w:rPr>
              <w:t>（6）</w:t>
            </w:r>
            <w:r>
              <w:rPr>
                <w:rFonts w:cs="宋体"/>
                <w:b w:val="0"/>
                <w:bCs w:val="0"/>
                <w:color w:val="auto"/>
                <w:sz w:val="24"/>
                <w:szCs w:val="24"/>
                <w:u w:val="none"/>
                <w:lang w:bidi="zh-CN"/>
              </w:rPr>
              <w:t>废空调制冷剂</w:t>
            </w:r>
          </w:p>
          <w:p>
            <w:pPr>
              <w:autoSpaceDE w:val="0"/>
              <w:autoSpaceDN w:val="0"/>
              <w:spacing w:line="360" w:lineRule="auto"/>
              <w:ind w:firstLine="480" w:firstLineChars="200"/>
              <w:rPr>
                <w:rFonts w:cs="宋体"/>
                <w:b w:val="0"/>
                <w:bCs w:val="0"/>
                <w:color w:val="auto"/>
                <w:sz w:val="24"/>
                <w:szCs w:val="24"/>
                <w:u w:val="none"/>
                <w:lang w:bidi="zh-CN"/>
              </w:rPr>
            </w:pPr>
            <w:r>
              <w:rPr>
                <w:rFonts w:cs="宋体"/>
                <w:b w:val="0"/>
                <w:bCs w:val="0"/>
                <w:color w:val="auto"/>
                <w:sz w:val="24"/>
                <w:szCs w:val="24"/>
                <w:u w:val="none"/>
                <w:lang w:bidi="zh-CN"/>
              </w:rPr>
              <w:t>项目废旧汽车拆解过程中抽取的制冷剂属于《报废机动车拆解环境保护技术规范》(HJ348-2007)中规定的危险废物，拟设置</w:t>
            </w:r>
            <w:r>
              <w:rPr>
                <w:rFonts w:hint="eastAsia" w:cs="宋体"/>
                <w:b w:val="0"/>
                <w:bCs w:val="0"/>
                <w:color w:val="auto"/>
                <w:sz w:val="24"/>
                <w:szCs w:val="24"/>
                <w:u w:val="none"/>
                <w:lang w:bidi="zh-CN"/>
              </w:rPr>
              <w:t>1</w:t>
            </w:r>
            <w:r>
              <w:rPr>
                <w:rFonts w:cs="宋体"/>
                <w:b w:val="0"/>
                <w:bCs w:val="0"/>
                <w:color w:val="auto"/>
                <w:sz w:val="24"/>
                <w:szCs w:val="24"/>
                <w:u w:val="none"/>
                <w:lang w:bidi="zh-CN"/>
              </w:rPr>
              <w:t>个容积为</w:t>
            </w:r>
            <w:r>
              <w:rPr>
                <w:rFonts w:hint="eastAsia" w:cs="宋体"/>
                <w:b w:val="0"/>
                <w:bCs w:val="0"/>
                <w:color w:val="auto"/>
                <w:sz w:val="24"/>
                <w:szCs w:val="24"/>
                <w:u w:val="none"/>
                <w:lang w:val="en-US" w:bidi="zh-CN"/>
              </w:rPr>
              <w:t>200</w:t>
            </w:r>
            <w:r>
              <w:rPr>
                <w:rFonts w:cs="宋体"/>
                <w:b w:val="0"/>
                <w:bCs w:val="0"/>
                <w:color w:val="auto"/>
                <w:sz w:val="24"/>
                <w:szCs w:val="24"/>
                <w:u w:val="none"/>
                <w:lang w:bidi="zh-CN"/>
              </w:rPr>
              <w:t>L 密闭储存桶，暂存于危废车间内，定期委托有资质单位进行回收处置。</w:t>
            </w:r>
          </w:p>
          <w:p>
            <w:pPr>
              <w:autoSpaceDE w:val="0"/>
              <w:autoSpaceDN w:val="0"/>
              <w:spacing w:line="360" w:lineRule="auto"/>
              <w:ind w:firstLine="480" w:firstLineChars="200"/>
              <w:rPr>
                <w:rFonts w:hint="eastAsia" w:cs="宋体"/>
                <w:b w:val="0"/>
                <w:bCs w:val="0"/>
                <w:color w:val="auto"/>
                <w:sz w:val="24"/>
                <w:szCs w:val="24"/>
                <w:u w:val="none"/>
                <w:lang w:val="en-US" w:bidi="zh-CN"/>
              </w:rPr>
            </w:pPr>
            <w:r>
              <w:rPr>
                <w:rFonts w:hint="eastAsia" w:cs="宋体"/>
                <w:b w:val="0"/>
                <w:bCs w:val="0"/>
                <w:color w:val="auto"/>
                <w:sz w:val="24"/>
                <w:szCs w:val="24"/>
                <w:u w:val="none"/>
                <w:lang w:val="en-US" w:bidi="zh-CN"/>
              </w:rPr>
              <w:t>（7）废冷却液</w:t>
            </w:r>
          </w:p>
          <w:p>
            <w:pPr>
              <w:pStyle w:val="48"/>
              <w:rPr>
                <w:rFonts w:hint="default"/>
                <w:sz w:val="24"/>
                <w:szCs w:val="24"/>
                <w:lang w:val="en-US"/>
              </w:rPr>
            </w:pPr>
            <w:r>
              <w:rPr>
                <w:rFonts w:hint="default"/>
                <w:sz w:val="24"/>
                <w:szCs w:val="24"/>
                <w:lang w:val="en-US"/>
              </w:rPr>
              <w:t>本项目冷却液产生量为</w:t>
            </w:r>
            <w:r>
              <w:rPr>
                <w:rFonts w:hint="eastAsia"/>
                <w:sz w:val="24"/>
                <w:szCs w:val="24"/>
                <w:lang w:val="en-US" w:eastAsia="zh-CN"/>
              </w:rPr>
              <w:t>2</w:t>
            </w:r>
            <w:r>
              <w:rPr>
                <w:rFonts w:hint="default"/>
                <w:sz w:val="24"/>
                <w:szCs w:val="24"/>
                <w:lang w:val="en-US"/>
              </w:rPr>
              <w:t>t/a，属于《国家危险废物名录（2021年版）》中的HW09油/水、烃/水混合物或乳化液废物，废物类别代码为900-007-09，分类收集后交由具有相应危险废物处理资质的公司处理。</w:t>
            </w:r>
          </w:p>
          <w:p>
            <w:pPr>
              <w:autoSpaceDE w:val="0"/>
              <w:autoSpaceDN w:val="0"/>
              <w:spacing w:line="360" w:lineRule="auto"/>
              <w:ind w:firstLine="480" w:firstLineChars="200"/>
              <w:rPr>
                <w:rFonts w:cs="宋体"/>
                <w:b w:val="0"/>
                <w:bCs w:val="0"/>
                <w:color w:val="auto"/>
                <w:sz w:val="24"/>
                <w:szCs w:val="24"/>
                <w:u w:val="none"/>
                <w:lang w:bidi="zh-CN"/>
              </w:rPr>
            </w:pPr>
            <w:r>
              <w:rPr>
                <w:rFonts w:hint="eastAsia" w:cs="宋体"/>
                <w:b w:val="0"/>
                <w:bCs w:val="0"/>
                <w:color w:val="auto"/>
                <w:sz w:val="24"/>
                <w:szCs w:val="24"/>
                <w:u w:val="none"/>
                <w:lang w:val="en-US" w:bidi="zh-CN"/>
              </w:rPr>
              <w:t>（8）</w:t>
            </w:r>
            <w:r>
              <w:rPr>
                <w:rFonts w:cs="宋体"/>
                <w:b w:val="0"/>
                <w:bCs w:val="0"/>
                <w:color w:val="auto"/>
                <w:sz w:val="24"/>
                <w:szCs w:val="24"/>
                <w:u w:val="none"/>
                <w:lang w:bidi="zh-CN"/>
              </w:rPr>
              <w:t>废电路板</w:t>
            </w:r>
          </w:p>
          <w:p>
            <w:pPr>
              <w:autoSpaceDE w:val="0"/>
              <w:autoSpaceDN w:val="0"/>
              <w:spacing w:line="360" w:lineRule="auto"/>
              <w:ind w:firstLine="480" w:firstLineChars="200"/>
              <w:rPr>
                <w:rFonts w:cs="宋体"/>
                <w:b w:val="0"/>
                <w:bCs w:val="0"/>
                <w:color w:val="auto"/>
                <w:sz w:val="24"/>
                <w:szCs w:val="24"/>
                <w:u w:val="none"/>
                <w:lang w:bidi="zh-CN"/>
              </w:rPr>
            </w:pPr>
            <w:r>
              <w:rPr>
                <w:rFonts w:cs="宋体"/>
                <w:b w:val="0"/>
                <w:bCs w:val="0"/>
                <w:color w:val="auto"/>
                <w:sz w:val="24"/>
                <w:szCs w:val="24"/>
                <w:u w:val="none"/>
                <w:lang w:bidi="zh-CN"/>
              </w:rPr>
              <w:t>项目废旧汽车仪表盘、音响、车载电台、电子导航设备、电动机和发电机等电路板属于《国家危险废物名录》中的HW49类别，定期委托有资质单位进行回收处置。</w:t>
            </w:r>
          </w:p>
          <w:p>
            <w:pPr>
              <w:autoSpaceDE w:val="0"/>
              <w:autoSpaceDN w:val="0"/>
              <w:spacing w:line="360" w:lineRule="auto"/>
              <w:ind w:firstLine="480" w:firstLineChars="200"/>
              <w:rPr>
                <w:rFonts w:cs="宋体"/>
                <w:b w:val="0"/>
                <w:bCs w:val="0"/>
                <w:color w:val="auto"/>
                <w:sz w:val="24"/>
                <w:szCs w:val="24"/>
                <w:u w:val="none"/>
                <w:lang w:bidi="zh-CN"/>
              </w:rPr>
            </w:pPr>
            <w:r>
              <w:rPr>
                <w:rFonts w:hint="eastAsia" w:cs="宋体"/>
                <w:b w:val="0"/>
                <w:bCs w:val="0"/>
                <w:color w:val="auto"/>
                <w:sz w:val="24"/>
                <w:szCs w:val="24"/>
                <w:u w:val="none"/>
                <w:lang w:val="en-US" w:bidi="zh-CN"/>
              </w:rPr>
              <w:t>（9）</w:t>
            </w:r>
            <w:r>
              <w:rPr>
                <w:rFonts w:cs="宋体"/>
                <w:b w:val="0"/>
                <w:bCs w:val="0"/>
                <w:color w:val="auto"/>
                <w:sz w:val="24"/>
                <w:szCs w:val="24"/>
                <w:u w:val="none"/>
                <w:lang w:bidi="zh-CN"/>
              </w:rPr>
              <w:t>废机油滤清器</w:t>
            </w:r>
          </w:p>
          <w:p>
            <w:pPr>
              <w:autoSpaceDE w:val="0"/>
              <w:autoSpaceDN w:val="0"/>
              <w:spacing w:line="360" w:lineRule="auto"/>
              <w:ind w:firstLine="480" w:firstLineChars="200"/>
              <w:rPr>
                <w:rFonts w:cs="宋体"/>
                <w:b w:val="0"/>
                <w:bCs w:val="0"/>
                <w:color w:val="auto"/>
                <w:sz w:val="24"/>
                <w:szCs w:val="24"/>
                <w:u w:val="none"/>
                <w:lang w:bidi="zh-CN"/>
              </w:rPr>
            </w:pPr>
            <w:r>
              <w:rPr>
                <w:rFonts w:cs="宋体"/>
                <w:b w:val="0"/>
                <w:bCs w:val="0"/>
                <w:color w:val="auto"/>
                <w:sz w:val="24"/>
                <w:szCs w:val="24"/>
                <w:u w:val="none"/>
                <w:lang w:bidi="zh-CN"/>
              </w:rPr>
              <w:t>项目废旧汽车滤清器中含有机油、灰尘、金属颗粒、碳沉淀物和煤烟颗粒，属于《国家危险废物名录》中的</w:t>
            </w:r>
            <w:r>
              <w:rPr>
                <w:rFonts w:hint="eastAsia" w:cs="宋体"/>
                <w:b w:val="0"/>
                <w:bCs w:val="0"/>
                <w:color w:val="auto"/>
                <w:sz w:val="24"/>
                <w:szCs w:val="24"/>
                <w:u w:val="none"/>
                <w:lang w:bidi="zh-CN"/>
              </w:rPr>
              <w:t xml:space="preserve"> </w:t>
            </w:r>
            <w:r>
              <w:rPr>
                <w:rFonts w:cs="宋体"/>
                <w:b w:val="0"/>
                <w:bCs w:val="0"/>
                <w:color w:val="auto"/>
                <w:sz w:val="24"/>
                <w:szCs w:val="24"/>
                <w:u w:val="none"/>
                <w:lang w:bidi="zh-CN"/>
              </w:rPr>
              <w:t>HW08</w:t>
            </w:r>
            <w:r>
              <w:rPr>
                <w:rFonts w:hint="eastAsia" w:cs="宋体"/>
                <w:b w:val="0"/>
                <w:bCs w:val="0"/>
                <w:color w:val="auto"/>
                <w:sz w:val="24"/>
                <w:szCs w:val="24"/>
                <w:u w:val="none"/>
                <w:lang w:bidi="zh-CN"/>
              </w:rPr>
              <w:t xml:space="preserve"> </w:t>
            </w:r>
            <w:r>
              <w:rPr>
                <w:rFonts w:cs="宋体"/>
                <w:b w:val="0"/>
                <w:bCs w:val="0"/>
                <w:color w:val="auto"/>
                <w:sz w:val="24"/>
                <w:szCs w:val="24"/>
                <w:u w:val="none"/>
                <w:lang w:bidi="zh-CN"/>
              </w:rPr>
              <w:t>类别，定期委托有资质单位进行回收处置。</w:t>
            </w:r>
          </w:p>
          <w:p>
            <w:pPr>
              <w:autoSpaceDE w:val="0"/>
              <w:autoSpaceDN w:val="0"/>
              <w:spacing w:line="360" w:lineRule="auto"/>
              <w:ind w:firstLine="480" w:firstLineChars="200"/>
              <w:rPr>
                <w:rFonts w:cs="宋体"/>
                <w:b w:val="0"/>
                <w:bCs w:val="0"/>
                <w:color w:val="auto"/>
                <w:sz w:val="24"/>
                <w:szCs w:val="24"/>
                <w:u w:val="none"/>
                <w:lang w:bidi="zh-CN"/>
              </w:rPr>
            </w:pPr>
            <w:r>
              <w:rPr>
                <w:rFonts w:hint="eastAsia" w:cs="宋体"/>
                <w:b w:val="0"/>
                <w:bCs w:val="0"/>
                <w:color w:val="auto"/>
                <w:sz w:val="24"/>
                <w:szCs w:val="24"/>
                <w:u w:val="none"/>
                <w:lang w:val="en-US" w:bidi="zh-CN"/>
              </w:rPr>
              <w:t>（10）</w:t>
            </w:r>
            <w:r>
              <w:rPr>
                <w:rFonts w:cs="宋体"/>
                <w:b w:val="0"/>
                <w:bCs w:val="0"/>
                <w:color w:val="auto"/>
                <w:sz w:val="24"/>
                <w:szCs w:val="24"/>
                <w:u w:val="none"/>
                <w:lang w:bidi="zh-CN"/>
              </w:rPr>
              <w:t>含有毒有害物质的部件</w:t>
            </w:r>
          </w:p>
          <w:p>
            <w:pPr>
              <w:autoSpaceDE w:val="0"/>
              <w:autoSpaceDN w:val="0"/>
              <w:spacing w:line="360" w:lineRule="auto"/>
              <w:ind w:firstLine="480" w:firstLineChars="200"/>
              <w:rPr>
                <w:rFonts w:cs="宋体"/>
                <w:b w:val="0"/>
                <w:bCs w:val="0"/>
                <w:color w:val="auto"/>
                <w:sz w:val="24"/>
                <w:szCs w:val="24"/>
                <w:u w:val="none"/>
                <w:lang w:bidi="zh-CN"/>
              </w:rPr>
            </w:pPr>
            <w:r>
              <w:rPr>
                <w:rFonts w:cs="宋体"/>
                <w:b w:val="0"/>
                <w:bCs w:val="0"/>
                <w:color w:val="auto"/>
                <w:sz w:val="24"/>
                <w:szCs w:val="24"/>
                <w:u w:val="none"/>
                <w:lang w:bidi="zh-CN"/>
              </w:rPr>
              <w:t>项目废旧汽车拆解产生的含有毒有害物质的部件(含汞开关等)属于《国家危险废物名录》中的 HW49 类别，定期委托有资质单位进行回收处置。</w:t>
            </w:r>
          </w:p>
          <w:p>
            <w:pPr>
              <w:autoSpaceDE w:val="0"/>
              <w:autoSpaceDN w:val="0"/>
              <w:spacing w:line="360" w:lineRule="auto"/>
              <w:ind w:firstLine="480" w:firstLineChars="200"/>
              <w:rPr>
                <w:rFonts w:hint="eastAsia" w:ascii="Times New Roman" w:hAnsi="Times New Roman" w:eastAsia="宋体" w:cs="宋体"/>
                <w:b w:val="0"/>
                <w:bCs w:val="0"/>
                <w:color w:val="auto"/>
                <w:sz w:val="24"/>
                <w:szCs w:val="24"/>
                <w:u w:val="none"/>
                <w:lang w:val="en-US" w:bidi="zh-CN"/>
              </w:rPr>
            </w:pPr>
            <w:r>
              <w:rPr>
                <w:rFonts w:hint="eastAsia" w:cs="宋体"/>
                <w:b w:val="0"/>
                <w:bCs w:val="0"/>
                <w:color w:val="auto"/>
                <w:sz w:val="24"/>
                <w:szCs w:val="24"/>
                <w:u w:val="none"/>
                <w:lang w:val="en-US" w:bidi="zh-CN"/>
              </w:rPr>
              <w:t>（11）</w:t>
            </w:r>
            <w:r>
              <w:rPr>
                <w:rFonts w:hint="eastAsia" w:ascii="Times New Roman" w:hAnsi="Times New Roman" w:eastAsia="宋体" w:cs="宋体"/>
                <w:b w:val="0"/>
                <w:bCs w:val="0"/>
                <w:color w:val="auto"/>
                <w:sz w:val="24"/>
                <w:szCs w:val="24"/>
                <w:u w:val="none"/>
                <w:lang w:val="en-US" w:eastAsia="zh-CN" w:bidi="zh-CN"/>
              </w:rPr>
              <w:t>油水分离器废油</w:t>
            </w:r>
          </w:p>
          <w:p>
            <w:pPr>
              <w:pStyle w:val="25"/>
              <w:bidi w:val="0"/>
              <w:rPr>
                <w:rFonts w:cs="宋体"/>
                <w:b w:val="0"/>
                <w:bCs w:val="0"/>
                <w:color w:val="auto"/>
                <w:sz w:val="24"/>
                <w:szCs w:val="24"/>
                <w:u w:val="none"/>
                <w:lang w:bidi="zh-CN"/>
              </w:rPr>
            </w:pPr>
            <w:r>
              <w:rPr>
                <w:rFonts w:cs="宋体"/>
                <w:b w:val="0"/>
                <w:bCs w:val="0"/>
                <w:color w:val="auto"/>
                <w:sz w:val="24"/>
                <w:szCs w:val="24"/>
                <w:u w:val="none"/>
                <w:lang w:bidi="zh-CN"/>
              </w:rPr>
              <w:t>油水分离器产生的废油脂，采用专用容器进行临时储存，储存容器需防渗临时储存场所达到重点防渗区标准，定期委托有资质单位进行回收处置。</w:t>
            </w:r>
            <w:r>
              <w:rPr>
                <w:rFonts w:hint="eastAsia"/>
                <w:lang w:val="en-US" w:eastAsia="zh-CN"/>
              </w:rPr>
              <w:t>根据建设单位提供资料</w:t>
            </w:r>
            <w:r>
              <w:rPr>
                <w:rFonts w:hint="eastAsia" w:ascii="宋体" w:hAnsi="宋体" w:eastAsia="宋体" w:cs="宋体"/>
                <w:lang w:val="en-US" w:eastAsia="zh-CN"/>
              </w:rPr>
              <w:t>，</w:t>
            </w:r>
            <w:r>
              <w:rPr>
                <w:rFonts w:hint="eastAsia" w:ascii="Times New Roman" w:hAnsi="Times New Roman" w:eastAsia="宋体" w:cs="宋体"/>
                <w:b w:val="0"/>
                <w:bCs w:val="0"/>
                <w:color w:val="auto"/>
                <w:sz w:val="24"/>
                <w:szCs w:val="24"/>
                <w:u w:val="none"/>
                <w:lang w:val="en-US" w:eastAsia="zh-CN" w:bidi="zh-CN"/>
              </w:rPr>
              <w:t>油水分离器废油</w:t>
            </w:r>
            <w:r>
              <w:rPr>
                <w:rFonts w:hint="eastAsia"/>
                <w:lang w:val="en-US" w:eastAsia="zh-CN"/>
              </w:rPr>
              <w:t>产生量为0.20t/a</w:t>
            </w:r>
            <w:r>
              <w:rPr>
                <w:rFonts w:hint="eastAsia" w:ascii="宋体" w:hAnsi="宋体" w:eastAsia="宋体" w:cs="宋体"/>
                <w:lang w:val="en-US" w:eastAsia="zh-CN"/>
              </w:rPr>
              <w:t>。</w:t>
            </w:r>
          </w:p>
          <w:p>
            <w:pPr>
              <w:pStyle w:val="25"/>
              <w:bidi w:val="0"/>
              <w:rPr>
                <w:rFonts w:hint="default"/>
                <w:lang w:val="en-US" w:eastAsia="zh-CN"/>
              </w:rPr>
            </w:pPr>
            <w:r>
              <w:rPr>
                <w:rFonts w:hint="eastAsia" w:cs="宋体"/>
                <w:b w:val="0"/>
                <w:bCs w:val="0"/>
                <w:color w:val="auto"/>
                <w:sz w:val="24"/>
                <w:szCs w:val="24"/>
                <w:u w:val="none"/>
                <w:lang w:val="en-US" w:bidi="zh-CN"/>
              </w:rPr>
              <w:t>（12）</w:t>
            </w:r>
            <w:r>
              <w:rPr>
                <w:rFonts w:hint="eastAsia"/>
                <w:lang w:val="en-US" w:eastAsia="zh-CN"/>
              </w:rPr>
              <w:t xml:space="preserve">含油抹布、手套、拖布 </w:t>
            </w:r>
          </w:p>
          <w:p>
            <w:pPr>
              <w:pStyle w:val="25"/>
              <w:bidi w:val="0"/>
              <w:rPr>
                <w:rFonts w:hint="eastAsia"/>
                <w:lang w:val="en-US" w:eastAsia="zh-CN"/>
              </w:rPr>
            </w:pPr>
            <w:r>
              <w:rPr>
                <w:rFonts w:hint="eastAsia"/>
                <w:lang w:val="en-US" w:eastAsia="zh-CN"/>
              </w:rPr>
              <w:t>拆解预处理过程、拆解过程、油污清理（使用一次性抹布、拖布清理）会产生含油抹布、手套、拖布</w:t>
            </w:r>
            <w:r>
              <w:rPr>
                <w:rFonts w:hint="eastAsia" w:ascii="宋体" w:hAnsi="宋体" w:eastAsia="宋体" w:cs="宋体"/>
                <w:lang w:val="en-US" w:eastAsia="zh-CN"/>
              </w:rPr>
              <w:t>。</w:t>
            </w:r>
            <w:r>
              <w:rPr>
                <w:rFonts w:hint="eastAsia"/>
                <w:lang w:val="en-US" w:eastAsia="zh-CN"/>
              </w:rPr>
              <w:t>根据建设单位提供资料</w:t>
            </w:r>
            <w:r>
              <w:rPr>
                <w:rFonts w:hint="eastAsia" w:ascii="宋体" w:hAnsi="宋体" w:eastAsia="宋体" w:cs="宋体"/>
                <w:lang w:val="en-US" w:eastAsia="zh-CN"/>
              </w:rPr>
              <w:t>，</w:t>
            </w:r>
            <w:r>
              <w:rPr>
                <w:rFonts w:hint="eastAsia"/>
                <w:lang w:val="en-US" w:eastAsia="zh-CN"/>
              </w:rPr>
              <w:t>含油抹布、手套、拖布产生量为0.30t/a</w:t>
            </w:r>
            <w:r>
              <w:rPr>
                <w:rFonts w:hint="eastAsia" w:ascii="宋体" w:hAnsi="宋体" w:eastAsia="宋体" w:cs="宋体"/>
                <w:lang w:val="en-US" w:eastAsia="zh-CN"/>
              </w:rPr>
              <w:t>。</w:t>
            </w:r>
          </w:p>
          <w:p>
            <w:pPr>
              <w:pStyle w:val="25"/>
              <w:bidi w:val="0"/>
              <w:rPr>
                <w:rFonts w:hint="default"/>
                <w:lang w:val="en-US" w:eastAsia="zh-CN"/>
              </w:rPr>
            </w:pPr>
            <w:r>
              <w:rPr>
                <w:rFonts w:hint="eastAsia"/>
                <w:lang w:val="en-US" w:eastAsia="zh-CN"/>
              </w:rPr>
              <w:t>根据《国家危险废物名录》（2021年）可知</w:t>
            </w:r>
            <w:r>
              <w:rPr>
                <w:rFonts w:hint="eastAsia" w:ascii="宋体" w:hAnsi="宋体" w:eastAsia="宋体" w:cs="宋体"/>
                <w:lang w:val="en-US" w:eastAsia="zh-CN"/>
              </w:rPr>
              <w:t>，</w:t>
            </w:r>
            <w:r>
              <w:rPr>
                <w:rFonts w:hint="eastAsia"/>
                <w:lang w:val="en-US" w:eastAsia="zh-CN"/>
              </w:rPr>
              <w:t>含油抹布、手套、拖布为危险废物</w:t>
            </w:r>
            <w:r>
              <w:rPr>
                <w:rFonts w:hint="eastAsia" w:ascii="宋体" w:hAnsi="宋体" w:eastAsia="宋体" w:cs="宋体"/>
                <w:lang w:val="en-US" w:eastAsia="zh-CN"/>
              </w:rPr>
              <w:t>，</w:t>
            </w:r>
            <w:r>
              <w:rPr>
                <w:rFonts w:hint="eastAsia"/>
                <w:lang w:val="en-US" w:eastAsia="zh-CN"/>
              </w:rPr>
              <w:t>其</w:t>
            </w:r>
            <w:r>
              <w:rPr>
                <w:rFonts w:hint="eastAsia"/>
                <w:color w:val="auto"/>
                <w:u w:val="none"/>
                <w:lang w:val="en-US" w:eastAsia="zh-CN"/>
              </w:rPr>
              <w:t>危废类别为HW49-其他废物</w:t>
            </w:r>
            <w:r>
              <w:rPr>
                <w:rFonts w:hint="eastAsia" w:ascii="宋体" w:hAnsi="宋体" w:eastAsia="宋体" w:cs="宋体"/>
                <w:color w:val="auto"/>
                <w:u w:val="none"/>
                <w:lang w:val="en-US" w:eastAsia="zh-CN"/>
              </w:rPr>
              <w:t>，</w:t>
            </w:r>
            <w:r>
              <w:rPr>
                <w:rFonts w:hint="eastAsia"/>
                <w:color w:val="auto"/>
                <w:u w:val="none"/>
                <w:lang w:val="en-US" w:eastAsia="zh-CN"/>
              </w:rPr>
              <w:t>废物代码为900-041-49</w:t>
            </w:r>
            <w:r>
              <w:rPr>
                <w:rFonts w:hint="eastAsia" w:ascii="宋体" w:hAnsi="宋体" w:eastAsia="宋体" w:cs="宋体"/>
                <w:color w:val="auto"/>
                <w:u w:val="none"/>
                <w:lang w:val="en-US" w:eastAsia="zh-CN"/>
              </w:rPr>
              <w:t>，</w:t>
            </w:r>
            <w:r>
              <w:rPr>
                <w:rFonts w:hint="eastAsia"/>
                <w:color w:val="auto"/>
                <w:u w:val="none"/>
                <w:lang w:val="en-US" w:eastAsia="zh-CN"/>
              </w:rPr>
              <w:t>危险特性为T/In</w:t>
            </w:r>
            <w:r>
              <w:rPr>
                <w:rFonts w:hint="eastAsia" w:ascii="宋体" w:hAnsi="宋体" w:eastAsia="宋体" w:cs="宋体"/>
                <w:color w:val="auto"/>
                <w:u w:val="none"/>
                <w:lang w:val="en-US" w:eastAsia="zh-CN"/>
              </w:rPr>
              <w:t>。</w:t>
            </w:r>
            <w:r>
              <w:rPr>
                <w:rFonts w:hint="eastAsia"/>
                <w:color w:val="auto"/>
                <w:u w:val="none"/>
                <w:lang w:eastAsia="zh-CN"/>
              </w:rPr>
              <w:t>由员工收集</w:t>
            </w:r>
            <w:r>
              <w:rPr>
                <w:rFonts w:hint="eastAsia"/>
                <w:color w:val="auto"/>
                <w:u w:val="none"/>
              </w:rPr>
              <w:t>暂存于危废暂存间（</w:t>
            </w:r>
            <w:r>
              <w:rPr>
                <w:rFonts w:hint="eastAsia" w:ascii="Times New Roman" w:hAnsi="Times New Roman" w:cs="Times New Roman"/>
                <w:color w:val="auto"/>
                <w:u w:val="none"/>
                <w:lang w:val="en-US" w:eastAsia="zh-CN"/>
              </w:rPr>
              <w:t>200</w:t>
            </w:r>
            <w:r>
              <w:rPr>
                <w:rFonts w:hint="default" w:ascii="Times New Roman" w:hAnsi="Times New Roman" w:cs="Times New Roman"/>
                <w:color w:val="auto"/>
                <w:u w:val="none"/>
              </w:rPr>
              <w:t>m</w:t>
            </w:r>
            <w:r>
              <w:rPr>
                <w:rFonts w:hint="default" w:ascii="Times New Roman" w:hAnsi="Times New Roman" w:cs="Times New Roman"/>
                <w:color w:val="auto"/>
                <w:u w:val="none"/>
                <w:vertAlign w:val="superscript"/>
              </w:rPr>
              <w:t>2</w:t>
            </w:r>
            <w:r>
              <w:rPr>
                <w:rFonts w:hint="eastAsia"/>
                <w:color w:val="auto"/>
                <w:u w:val="none"/>
              </w:rPr>
              <w:t>）</w:t>
            </w:r>
            <w:r>
              <w:rPr>
                <w:rFonts w:hint="eastAsia" w:ascii="宋体" w:hAnsi="宋体" w:eastAsia="宋体" w:cs="宋体"/>
                <w:color w:val="auto"/>
                <w:u w:val="none"/>
              </w:rPr>
              <w:t>，</w:t>
            </w:r>
            <w:r>
              <w:rPr>
                <w:rFonts w:hint="eastAsia"/>
                <w:color w:val="auto"/>
                <w:u w:val="none"/>
              </w:rPr>
              <w:t>定期交有资质单位处理</w:t>
            </w:r>
            <w:r>
              <w:rPr>
                <w:rFonts w:hint="eastAsia" w:ascii="宋体" w:hAnsi="宋体" w:eastAsia="宋体" w:cs="宋体"/>
                <w:color w:val="auto"/>
                <w:u w:val="none"/>
              </w:rPr>
              <w:t>。</w:t>
            </w:r>
          </w:p>
          <w:p>
            <w:pPr>
              <w:pStyle w:val="25"/>
              <w:numPr>
                <w:ilvl w:val="0"/>
                <w:numId w:val="0"/>
              </w:numPr>
              <w:bidi w:val="0"/>
              <w:ind w:firstLine="480" w:firstLineChars="200"/>
              <w:rPr>
                <w:rFonts w:hint="eastAsia"/>
                <w:lang w:val="en-US" w:eastAsia="zh-CN"/>
              </w:rPr>
            </w:pPr>
            <w:r>
              <w:rPr>
                <w:rFonts w:hint="eastAsia" w:cs="宋体"/>
                <w:b w:val="0"/>
                <w:bCs w:val="0"/>
                <w:color w:val="auto"/>
                <w:sz w:val="24"/>
                <w:szCs w:val="24"/>
                <w:u w:val="none"/>
                <w:lang w:val="en-US" w:bidi="zh-CN"/>
              </w:rPr>
              <w:t>（13）隔油</w:t>
            </w:r>
            <w:r>
              <w:rPr>
                <w:rFonts w:hint="eastAsia"/>
                <w:lang w:val="en-US" w:eastAsia="zh-CN"/>
              </w:rPr>
              <w:t>沉淀池污泥</w:t>
            </w:r>
          </w:p>
          <w:p>
            <w:pPr>
              <w:pStyle w:val="25"/>
              <w:numPr>
                <w:ilvl w:val="0"/>
                <w:numId w:val="0"/>
              </w:numPr>
              <w:bidi w:val="0"/>
              <w:ind w:firstLine="480" w:firstLineChars="200"/>
              <w:rPr>
                <w:rFonts w:hint="default"/>
                <w:lang w:val="en-US" w:eastAsia="zh-CN"/>
              </w:rPr>
            </w:pPr>
            <w:r>
              <w:rPr>
                <w:rFonts w:hint="eastAsia"/>
                <w:lang w:val="en-US" w:eastAsia="zh-CN"/>
              </w:rPr>
              <w:t>本项目隔油沉淀池处理过程会产生含油污泥</w:t>
            </w:r>
            <w:r>
              <w:rPr>
                <w:rFonts w:hint="eastAsia" w:ascii="宋体" w:hAnsi="宋体" w:eastAsia="宋体" w:cs="宋体"/>
                <w:lang w:val="en-US" w:eastAsia="zh-CN"/>
              </w:rPr>
              <w:t>。</w:t>
            </w:r>
            <w:r>
              <w:rPr>
                <w:rFonts w:hint="eastAsia"/>
                <w:lang w:val="en-US" w:eastAsia="zh-CN"/>
              </w:rPr>
              <w:t>隔油沉淀池污泥产生量约1.2t/a</w:t>
            </w:r>
            <w:r>
              <w:rPr>
                <w:rFonts w:hint="eastAsia" w:ascii="宋体" w:hAnsi="宋体" w:eastAsia="宋体" w:cs="宋体"/>
                <w:lang w:val="en-US" w:eastAsia="zh-CN"/>
              </w:rPr>
              <w:t>。</w:t>
            </w:r>
            <w:r>
              <w:rPr>
                <w:rFonts w:hint="eastAsia"/>
                <w:lang w:val="en-US" w:eastAsia="zh-CN"/>
              </w:rPr>
              <w:t>根据《国家危险废物名录》（2021年）可知</w:t>
            </w:r>
            <w:r>
              <w:rPr>
                <w:rFonts w:hint="eastAsia" w:ascii="宋体" w:hAnsi="宋体" w:eastAsia="宋体" w:cs="宋体"/>
                <w:lang w:val="en-US" w:eastAsia="zh-CN"/>
              </w:rPr>
              <w:t>，</w:t>
            </w:r>
            <w:r>
              <w:rPr>
                <w:rFonts w:hint="eastAsia"/>
                <w:lang w:val="en-US" w:eastAsia="zh-CN"/>
              </w:rPr>
              <w:t>沉淀池、</w:t>
            </w:r>
            <w:r>
              <w:rPr>
                <w:rFonts w:hint="default"/>
                <w:lang w:val="en-US" w:eastAsia="zh-CN"/>
              </w:rPr>
              <w:t>油水分离系统</w:t>
            </w:r>
            <w:r>
              <w:rPr>
                <w:rFonts w:hint="eastAsia"/>
                <w:lang w:val="en-US" w:eastAsia="zh-CN"/>
              </w:rPr>
              <w:t>污泥</w:t>
            </w:r>
            <w:r>
              <w:rPr>
                <w:rFonts w:hint="eastAsia"/>
                <w:color w:val="auto"/>
                <w:u w:val="none"/>
                <w:lang w:val="en-US" w:eastAsia="zh-CN"/>
              </w:rPr>
              <w:t>为危险废物</w:t>
            </w:r>
            <w:r>
              <w:rPr>
                <w:rFonts w:hint="eastAsia" w:ascii="宋体" w:hAnsi="宋体" w:eastAsia="宋体" w:cs="宋体"/>
                <w:color w:val="auto"/>
                <w:u w:val="none"/>
                <w:lang w:val="en-US" w:eastAsia="zh-CN"/>
              </w:rPr>
              <w:t>，</w:t>
            </w:r>
            <w:r>
              <w:rPr>
                <w:rFonts w:hint="eastAsia"/>
                <w:color w:val="auto"/>
                <w:u w:val="none"/>
                <w:lang w:val="en-US" w:eastAsia="zh-CN"/>
              </w:rPr>
              <w:t>其</w:t>
            </w:r>
            <w:r>
              <w:rPr>
                <w:rFonts w:hint="eastAsia"/>
                <w:color w:val="auto"/>
                <w:szCs w:val="24"/>
                <w:u w:val="none"/>
              </w:rPr>
              <w:t>危废类别为</w:t>
            </w:r>
            <w:r>
              <w:rPr>
                <w:rFonts w:hint="default" w:ascii="Times New Roman" w:hAnsi="Times New Roman" w:cs="Times New Roman"/>
                <w:color w:val="auto"/>
                <w:szCs w:val="24"/>
                <w:u w:val="none"/>
              </w:rPr>
              <w:t>HW08</w:t>
            </w:r>
            <w:r>
              <w:rPr>
                <w:rFonts w:hint="eastAsia" w:ascii="Times New Roman" w:hAnsi="Times New Roman" w:cs="Times New Roman"/>
                <w:color w:val="auto"/>
                <w:szCs w:val="24"/>
                <w:u w:val="none"/>
                <w:lang w:val="en-US" w:eastAsia="zh-CN"/>
              </w:rPr>
              <w:t>-</w:t>
            </w:r>
            <w:r>
              <w:rPr>
                <w:rFonts w:hint="default" w:ascii="Times New Roman" w:hAnsi="Times New Roman" w:cs="Times New Roman"/>
                <w:color w:val="auto"/>
                <w:szCs w:val="24"/>
                <w:u w:val="none"/>
              </w:rPr>
              <w:t>废矿物油与含矿物油废物</w:t>
            </w:r>
            <w:r>
              <w:rPr>
                <w:rFonts w:hint="eastAsia" w:ascii="宋体" w:hAnsi="宋体" w:eastAsia="宋体" w:cs="宋体"/>
                <w:color w:val="auto"/>
                <w:szCs w:val="24"/>
                <w:u w:val="none"/>
              </w:rPr>
              <w:t>，</w:t>
            </w:r>
            <w:r>
              <w:rPr>
                <w:rFonts w:hint="eastAsia"/>
                <w:color w:val="auto"/>
                <w:szCs w:val="24"/>
                <w:u w:val="none"/>
              </w:rPr>
              <w:t>废物代码为</w:t>
            </w:r>
            <w:r>
              <w:rPr>
                <w:rFonts w:hint="default" w:ascii="Times New Roman" w:hAnsi="Times New Roman" w:cs="Times New Roman"/>
                <w:color w:val="auto"/>
                <w:szCs w:val="24"/>
                <w:u w:val="none"/>
              </w:rPr>
              <w:t>900-210-08</w:t>
            </w:r>
            <w:r>
              <w:rPr>
                <w:rFonts w:hint="eastAsia" w:ascii="宋体" w:hAnsi="宋体" w:eastAsia="宋体" w:cs="宋体"/>
                <w:color w:val="auto"/>
                <w:szCs w:val="24"/>
                <w:u w:val="none"/>
              </w:rPr>
              <w:t>，</w:t>
            </w:r>
            <w:r>
              <w:rPr>
                <w:rFonts w:hint="eastAsia" w:ascii="Times New Roman" w:hAnsi="Times New Roman" w:cs="Times New Roman"/>
                <w:color w:val="auto"/>
                <w:szCs w:val="24"/>
                <w:u w:val="none"/>
              </w:rPr>
              <w:t>危险特性为</w:t>
            </w:r>
            <w:r>
              <w:rPr>
                <w:rFonts w:hint="default" w:ascii="Times New Roman" w:hAnsi="Times New Roman" w:cs="Times New Roman"/>
                <w:color w:val="auto"/>
                <w:szCs w:val="24"/>
                <w:u w:val="none"/>
              </w:rPr>
              <w:t>T</w:t>
            </w:r>
            <w:r>
              <w:rPr>
                <w:rFonts w:hint="eastAsia" w:ascii="宋体" w:hAnsi="宋体" w:eastAsia="宋体" w:cs="宋体"/>
                <w:color w:val="auto"/>
                <w:szCs w:val="24"/>
                <w:u w:val="none"/>
              </w:rPr>
              <w:t>，</w:t>
            </w:r>
            <w:r>
              <w:rPr>
                <w:rFonts w:hint="default" w:ascii="Times New Roman" w:hAnsi="Times New Roman" w:cs="Times New Roman"/>
                <w:color w:val="auto"/>
                <w:szCs w:val="24"/>
                <w:u w:val="none"/>
              </w:rPr>
              <w:t>I</w:t>
            </w:r>
            <w:r>
              <w:rPr>
                <w:rFonts w:hint="eastAsia" w:ascii="宋体" w:hAnsi="宋体" w:eastAsia="宋体" w:cs="宋体"/>
                <w:color w:val="auto"/>
                <w:szCs w:val="24"/>
                <w:u w:val="none"/>
              </w:rPr>
              <w:t>。</w:t>
            </w:r>
            <w:r>
              <w:rPr>
                <w:rFonts w:hint="eastAsia"/>
                <w:color w:val="auto"/>
                <w:u w:val="none"/>
                <w:lang w:eastAsia="zh-CN"/>
              </w:rPr>
              <w:t>由员工收集</w:t>
            </w:r>
            <w:r>
              <w:rPr>
                <w:rFonts w:hint="eastAsia"/>
                <w:color w:val="auto"/>
                <w:u w:val="none"/>
              </w:rPr>
              <w:t>暂存于危废暂存间（</w:t>
            </w:r>
            <w:r>
              <w:rPr>
                <w:rFonts w:hint="eastAsia" w:ascii="Times New Roman" w:hAnsi="Times New Roman" w:cs="Times New Roman"/>
                <w:color w:val="auto"/>
                <w:u w:val="none"/>
                <w:lang w:val="en-US" w:eastAsia="zh-CN"/>
              </w:rPr>
              <w:t>200</w:t>
            </w:r>
            <w:r>
              <w:rPr>
                <w:rFonts w:hint="default" w:ascii="Times New Roman" w:hAnsi="Times New Roman" w:cs="Times New Roman"/>
                <w:color w:val="auto"/>
                <w:u w:val="none"/>
              </w:rPr>
              <w:t>m</w:t>
            </w:r>
            <w:r>
              <w:rPr>
                <w:rFonts w:hint="default" w:ascii="Times New Roman" w:hAnsi="Times New Roman" w:cs="Times New Roman"/>
                <w:color w:val="auto"/>
                <w:u w:val="none"/>
                <w:vertAlign w:val="superscript"/>
              </w:rPr>
              <w:t>2</w:t>
            </w:r>
            <w:r>
              <w:rPr>
                <w:rFonts w:hint="eastAsia"/>
                <w:color w:val="auto"/>
                <w:u w:val="none"/>
              </w:rPr>
              <w:t>）</w:t>
            </w:r>
            <w:r>
              <w:rPr>
                <w:rFonts w:hint="eastAsia" w:ascii="宋体" w:hAnsi="宋体" w:eastAsia="宋体" w:cs="宋体"/>
                <w:color w:val="auto"/>
                <w:u w:val="none"/>
              </w:rPr>
              <w:t>，</w:t>
            </w:r>
            <w:r>
              <w:rPr>
                <w:rFonts w:hint="eastAsia"/>
                <w:color w:val="auto"/>
                <w:u w:val="none"/>
              </w:rPr>
              <w:t>定期交有资质单位处理</w:t>
            </w:r>
            <w:r>
              <w:rPr>
                <w:rFonts w:hint="eastAsia" w:ascii="宋体" w:hAnsi="宋体" w:eastAsia="宋体" w:cs="宋体"/>
                <w:color w:val="auto"/>
                <w:u w:val="none"/>
              </w:rPr>
              <w:t>。</w:t>
            </w:r>
          </w:p>
          <w:p>
            <w:pPr>
              <w:pageBreakBefore w:val="0"/>
              <w:kinsoku/>
              <w:overflowPunct/>
              <w:bidi w:val="0"/>
              <w:spacing w:line="360" w:lineRule="auto"/>
              <w:ind w:firstLine="480" w:firstLineChars="200"/>
              <w:rPr>
                <w:rFonts w:hint="default" w:ascii="Times New Roman" w:hAnsi="Times New Roman" w:eastAsia="宋体" w:cs="Times New Roman"/>
                <w:color w:val="auto"/>
                <w:sz w:val="24"/>
                <w:szCs w:val="24"/>
                <w:u w:val="none" w:color="auto"/>
              </w:rPr>
            </w:pPr>
            <w:r>
              <w:rPr>
                <w:rFonts w:cs="宋体"/>
                <w:b w:val="0"/>
                <w:bCs w:val="0"/>
                <w:color w:val="auto"/>
                <w:sz w:val="24"/>
                <w:szCs w:val="24"/>
                <w:u w:val="none"/>
                <w:lang w:bidi="zh-CN"/>
              </w:rPr>
              <w:t>综上所述，本项目产生的固体废物均得到合理处置，对环境影响较小。</w:t>
            </w:r>
          </w:p>
          <w:p>
            <w:pPr>
              <w:pStyle w:val="25"/>
              <w:bidi w:val="0"/>
              <w:rPr>
                <w:rFonts w:hint="default"/>
                <w:lang w:val="en-US" w:eastAsia="zh-CN"/>
              </w:rPr>
            </w:pPr>
            <w:r>
              <w:rPr>
                <w:rFonts w:hint="eastAsia"/>
                <w:b/>
                <w:bCs/>
                <w:lang w:val="en-US" w:eastAsia="zh-CN"/>
              </w:rPr>
              <w:t xml:space="preserve">2、环境管理要求 </w:t>
            </w:r>
          </w:p>
          <w:p>
            <w:pPr>
              <w:pStyle w:val="25"/>
              <w:bidi w:val="0"/>
              <w:rPr>
                <w:rFonts w:hint="eastAsia"/>
                <w:lang w:val="en-US" w:eastAsia="zh-CN"/>
              </w:rPr>
            </w:pPr>
            <w:r>
              <w:rPr>
                <w:rFonts w:hint="eastAsia"/>
                <w:b/>
                <w:bCs/>
                <w:lang w:val="en-US" w:eastAsia="zh-CN"/>
              </w:rPr>
              <w:t>（一） 一般工业固废管理</w:t>
            </w:r>
          </w:p>
          <w:p>
            <w:pPr>
              <w:pStyle w:val="25"/>
              <w:bidi w:val="0"/>
              <w:rPr>
                <w:rFonts w:hint="eastAsia"/>
                <w:lang w:val="en-US" w:eastAsia="zh-CN"/>
              </w:rPr>
            </w:pPr>
            <w:r>
              <w:rPr>
                <w:rFonts w:hint="eastAsia"/>
                <w:lang w:val="en-US" w:eastAsia="zh-CN"/>
              </w:rPr>
              <w:t>（1）</w:t>
            </w:r>
            <w:r>
              <w:rPr>
                <w:rFonts w:hint="default"/>
                <w:lang w:val="en-US" w:eastAsia="zh-CN"/>
              </w:rPr>
              <w:t>本环评建议建设单位严格按照《一般工业固体废物贮存和填埋污染控制标准》（GB18599-2020）、《中华人民共和国固体废物污染环境防治法》的有关规定</w:t>
            </w:r>
            <w:r>
              <w:rPr>
                <w:rFonts w:hint="eastAsia" w:ascii="宋体" w:hAnsi="宋体" w:eastAsia="宋体" w:cs="宋体"/>
                <w:lang w:val="en-US" w:eastAsia="zh-CN"/>
              </w:rPr>
              <w:t>，</w:t>
            </w:r>
            <w:r>
              <w:rPr>
                <w:rFonts w:hint="default"/>
                <w:lang w:val="en-US" w:eastAsia="zh-CN"/>
              </w:rPr>
              <w:t>建设必要的固体废物分类收集和临时贮存设施</w:t>
            </w:r>
            <w:r>
              <w:rPr>
                <w:rFonts w:hint="eastAsia" w:ascii="宋体" w:hAnsi="宋体" w:eastAsia="宋体" w:cs="宋体"/>
                <w:lang w:val="en-US" w:eastAsia="zh-CN"/>
              </w:rPr>
              <w:t>；</w:t>
            </w:r>
          </w:p>
          <w:p>
            <w:pPr>
              <w:pStyle w:val="25"/>
              <w:bidi w:val="0"/>
              <w:rPr>
                <w:rFonts w:hint="eastAsia"/>
                <w:color w:val="auto"/>
                <w:sz w:val="24"/>
                <w:u w:val="none"/>
                <w:lang w:eastAsia="zh-CN"/>
              </w:rPr>
            </w:pPr>
            <w:r>
              <w:rPr>
                <w:rFonts w:hint="eastAsia"/>
                <w:lang w:val="en-US" w:eastAsia="zh-CN"/>
              </w:rPr>
              <w:t>（2）</w:t>
            </w:r>
            <w:r>
              <w:rPr>
                <w:rFonts w:hint="eastAsia"/>
                <w:color w:val="auto"/>
                <w:sz w:val="24"/>
                <w:u w:val="none"/>
              </w:rPr>
              <w:t>一般工业固体废物应分类收集、储存</w:t>
            </w:r>
            <w:r>
              <w:rPr>
                <w:rFonts w:hint="eastAsia" w:ascii="宋体" w:hAnsi="宋体" w:eastAsia="宋体" w:cs="宋体"/>
                <w:color w:val="auto"/>
                <w:sz w:val="24"/>
                <w:u w:val="none"/>
              </w:rPr>
              <w:t>，</w:t>
            </w:r>
            <w:r>
              <w:rPr>
                <w:rFonts w:hint="eastAsia"/>
                <w:color w:val="auto"/>
                <w:sz w:val="24"/>
                <w:u w:val="none"/>
              </w:rPr>
              <w:t>不能混存</w:t>
            </w:r>
            <w:r>
              <w:rPr>
                <w:rFonts w:hint="eastAsia" w:ascii="宋体" w:hAnsi="宋体" w:eastAsia="宋体" w:cs="宋体"/>
                <w:color w:val="auto"/>
                <w:sz w:val="24"/>
                <w:u w:val="none"/>
                <w:lang w:eastAsia="zh-CN"/>
              </w:rPr>
              <w:t>；</w:t>
            </w:r>
          </w:p>
          <w:p>
            <w:pPr>
              <w:pStyle w:val="25"/>
              <w:bidi w:val="0"/>
              <w:rPr>
                <w:rFonts w:hint="eastAsia"/>
                <w:color w:val="auto"/>
                <w:sz w:val="24"/>
                <w:u w:val="none"/>
                <w:lang w:eastAsia="zh-CN"/>
              </w:rPr>
            </w:pPr>
            <w:r>
              <w:rPr>
                <w:rFonts w:hint="eastAsia"/>
                <w:color w:val="auto"/>
                <w:sz w:val="24"/>
                <w:u w:val="none"/>
                <w:lang w:eastAsia="zh-CN"/>
              </w:rPr>
              <w:t>（</w:t>
            </w:r>
            <w:r>
              <w:rPr>
                <w:rFonts w:hint="eastAsia"/>
                <w:color w:val="auto"/>
                <w:sz w:val="24"/>
                <w:u w:val="none"/>
                <w:lang w:val="en-US" w:eastAsia="zh-CN"/>
              </w:rPr>
              <w:t>3</w:t>
            </w:r>
            <w:r>
              <w:rPr>
                <w:rFonts w:hint="eastAsia"/>
                <w:color w:val="auto"/>
                <w:sz w:val="24"/>
                <w:u w:val="none"/>
                <w:lang w:eastAsia="zh-CN"/>
              </w:rPr>
              <w:t>）一般工业固体废物贮存设施及包装物应按《环境保护图形标志固体废物贮存（处置）场》（GB15562.2-1995）进行标识</w:t>
            </w:r>
            <w:r>
              <w:rPr>
                <w:rFonts w:hint="eastAsia" w:ascii="宋体" w:hAnsi="宋体" w:eastAsia="宋体" w:cs="宋体"/>
                <w:color w:val="auto"/>
                <w:sz w:val="24"/>
                <w:u w:val="none"/>
                <w:lang w:eastAsia="zh-CN"/>
              </w:rPr>
              <w:t>；</w:t>
            </w:r>
          </w:p>
          <w:p>
            <w:pPr>
              <w:pStyle w:val="25"/>
              <w:bidi w:val="0"/>
              <w:rPr>
                <w:rFonts w:hint="eastAsia"/>
                <w:color w:val="auto"/>
                <w:sz w:val="24"/>
                <w:szCs w:val="24"/>
                <w:u w:val="none"/>
                <w:lang w:val="en-US" w:eastAsia="zh-CN"/>
              </w:rPr>
            </w:pPr>
            <w:r>
              <w:rPr>
                <w:rFonts w:hint="eastAsia"/>
                <w:color w:val="auto"/>
                <w:sz w:val="24"/>
                <w:u w:val="none"/>
                <w:lang w:eastAsia="zh-CN"/>
              </w:rPr>
              <w:t>（</w:t>
            </w:r>
            <w:r>
              <w:rPr>
                <w:rFonts w:hint="eastAsia"/>
                <w:color w:val="auto"/>
                <w:sz w:val="24"/>
                <w:u w:val="none"/>
                <w:lang w:val="en-US" w:eastAsia="zh-CN"/>
              </w:rPr>
              <w:t>4</w:t>
            </w:r>
            <w:r>
              <w:rPr>
                <w:rFonts w:hint="eastAsia"/>
                <w:color w:val="auto"/>
                <w:sz w:val="24"/>
                <w:u w:val="none"/>
                <w:lang w:eastAsia="zh-CN"/>
              </w:rPr>
              <w:t>）</w:t>
            </w:r>
            <w:r>
              <w:rPr>
                <w:rFonts w:hint="eastAsia"/>
                <w:color w:val="auto"/>
                <w:sz w:val="24"/>
                <w:szCs w:val="24"/>
                <w:u w:val="none"/>
                <w:lang w:val="en-US" w:eastAsia="zh-CN"/>
              </w:rPr>
              <w:t>建立档案制度</w:t>
            </w:r>
            <w:r>
              <w:rPr>
                <w:rFonts w:hint="eastAsia" w:ascii="宋体" w:hAnsi="宋体" w:eastAsia="宋体" w:cs="宋体"/>
                <w:color w:val="auto"/>
                <w:sz w:val="24"/>
                <w:szCs w:val="24"/>
                <w:u w:val="none"/>
                <w:lang w:val="en-US" w:eastAsia="zh-CN"/>
              </w:rPr>
              <w:t>，</w:t>
            </w:r>
            <w:r>
              <w:rPr>
                <w:rFonts w:hint="eastAsia"/>
                <w:color w:val="auto"/>
                <w:sz w:val="24"/>
                <w:szCs w:val="24"/>
                <w:u w:val="none"/>
                <w:lang w:val="en-US" w:eastAsia="zh-CN"/>
              </w:rPr>
              <w:t>将临时储存的一般工业固体废物的种类、数量和外运的一般工业固体废物的种类、数量详细记录在案</w:t>
            </w:r>
            <w:r>
              <w:rPr>
                <w:rFonts w:hint="eastAsia" w:ascii="宋体" w:hAnsi="宋体" w:eastAsia="宋体" w:cs="宋体"/>
                <w:color w:val="auto"/>
                <w:sz w:val="24"/>
                <w:szCs w:val="24"/>
                <w:u w:val="none"/>
                <w:lang w:val="en-US" w:eastAsia="zh-CN"/>
              </w:rPr>
              <w:t>，</w:t>
            </w:r>
            <w:r>
              <w:rPr>
                <w:rFonts w:hint="eastAsia"/>
                <w:color w:val="auto"/>
                <w:sz w:val="24"/>
                <w:szCs w:val="24"/>
                <w:u w:val="none"/>
                <w:lang w:val="en-US" w:eastAsia="zh-CN"/>
              </w:rPr>
              <w:t>长期保存</w:t>
            </w:r>
            <w:r>
              <w:rPr>
                <w:rFonts w:hint="eastAsia" w:ascii="宋体" w:hAnsi="宋体" w:eastAsia="宋体" w:cs="宋体"/>
                <w:color w:val="auto"/>
                <w:sz w:val="24"/>
                <w:szCs w:val="24"/>
                <w:u w:val="none"/>
                <w:lang w:val="en-US" w:eastAsia="zh-CN"/>
              </w:rPr>
              <w:t>，</w:t>
            </w:r>
            <w:r>
              <w:rPr>
                <w:rFonts w:hint="eastAsia"/>
                <w:color w:val="auto"/>
                <w:sz w:val="24"/>
                <w:szCs w:val="24"/>
                <w:u w:val="none"/>
                <w:lang w:val="en-US" w:eastAsia="zh-CN"/>
              </w:rPr>
              <w:t>供随时查阅</w:t>
            </w:r>
            <w:r>
              <w:rPr>
                <w:rFonts w:hint="eastAsia" w:ascii="宋体" w:hAnsi="宋体" w:eastAsia="宋体" w:cs="宋体"/>
                <w:color w:val="auto"/>
                <w:sz w:val="24"/>
                <w:szCs w:val="24"/>
                <w:u w:val="none"/>
                <w:lang w:val="en-US" w:eastAsia="zh-CN"/>
              </w:rPr>
              <w:t>。</w:t>
            </w:r>
          </w:p>
          <w:p>
            <w:pPr>
              <w:pStyle w:val="25"/>
              <w:bidi w:val="0"/>
              <w:rPr>
                <w:rFonts w:hint="default"/>
                <w:color w:val="auto"/>
                <w:sz w:val="24"/>
                <w:szCs w:val="24"/>
                <w:u w:val="none"/>
                <w:lang w:val="en-US" w:eastAsia="zh-CN"/>
              </w:rPr>
            </w:pPr>
            <w:r>
              <w:rPr>
                <w:rFonts w:hint="eastAsia"/>
                <w:b/>
                <w:bCs/>
                <w:lang w:val="en-US" w:eastAsia="zh-CN"/>
              </w:rPr>
              <w:t xml:space="preserve">（二） </w:t>
            </w:r>
            <w:r>
              <w:rPr>
                <w:rFonts w:hint="eastAsia"/>
                <w:b/>
                <w:bCs/>
                <w:color w:val="auto"/>
                <w:sz w:val="24"/>
                <w:szCs w:val="24"/>
                <w:u w:val="none"/>
                <w:lang w:val="en-US" w:eastAsia="zh-CN"/>
              </w:rPr>
              <w:t xml:space="preserve"> 危险废物管理</w:t>
            </w:r>
          </w:p>
          <w:p>
            <w:pPr>
              <w:keepNext w:val="0"/>
              <w:keepLines w:val="0"/>
              <w:pageBreakBefore w:val="0"/>
              <w:widowControl w:val="0"/>
              <w:kinsoku/>
              <w:wordWrap/>
              <w:overflowPunct/>
              <w:topLinePunct w:val="0"/>
              <w:autoSpaceDE/>
              <w:autoSpaceDN/>
              <w:bidi w:val="0"/>
              <w:adjustRightInd/>
              <w:snapToGrid/>
              <w:ind w:firstLine="480" w:firstLineChars="200"/>
              <w:jc w:val="both"/>
              <w:textAlignment w:val="auto"/>
              <w:rPr>
                <w:rFonts w:hint="default" w:ascii="Times New Roman" w:hAnsi="Times New Roman" w:eastAsia="宋体" w:cs="Times New Roman"/>
                <w:color w:val="auto"/>
                <w:sz w:val="24"/>
                <w:szCs w:val="24"/>
                <w:u w:val="none" w:color="auto"/>
                <w:lang w:val="en-US" w:eastAsia="zh-CN"/>
              </w:rPr>
            </w:pPr>
            <w:r>
              <w:rPr>
                <w:rFonts w:hint="default" w:ascii="Times New Roman" w:hAnsi="Times New Roman" w:eastAsia="宋体" w:cs="Times New Roman"/>
                <w:color w:val="auto"/>
                <w:sz w:val="24"/>
                <w:szCs w:val="24"/>
                <w:u w:val="none" w:color="auto"/>
              </w:rPr>
              <w:t>按照《报废机动车拆解环境保护技术规范》（HJ348-2007）要求，项目</w:t>
            </w:r>
            <w:r>
              <w:rPr>
                <w:rFonts w:hint="default" w:ascii="Times New Roman" w:hAnsi="Times New Roman" w:eastAsia="宋体" w:cs="Times New Roman"/>
                <w:color w:val="auto"/>
                <w:sz w:val="24"/>
                <w:szCs w:val="24"/>
                <w:u w:val="none" w:color="auto"/>
                <w:lang w:val="en-US" w:eastAsia="zh-CN"/>
              </w:rPr>
              <w:t>危险</w:t>
            </w:r>
            <w:r>
              <w:rPr>
                <w:rFonts w:hint="default" w:ascii="Times New Roman" w:hAnsi="Times New Roman" w:eastAsia="宋体" w:cs="Times New Roman"/>
                <w:color w:val="auto"/>
                <w:sz w:val="24"/>
                <w:szCs w:val="24"/>
                <w:u w:val="none" w:color="auto"/>
              </w:rPr>
              <w:t>废物（除废蓄电池）存储期不得超过一年；按照《废铅酸蓄电池处理污染控制技术规范》（HJ519-2009）要求，本项目产生的废蓄电池贮存期最大不超过30d。项目危废最大储存量应严格落实本次评价提出的要求，详见表4-1</w:t>
            </w:r>
            <w:r>
              <w:rPr>
                <w:rFonts w:hint="eastAsia" w:cs="Times New Roman"/>
                <w:color w:val="auto"/>
                <w:sz w:val="24"/>
                <w:szCs w:val="24"/>
                <w:u w:val="none" w:color="auto"/>
                <w:lang w:val="en-US" w:eastAsia="zh-CN"/>
              </w:rPr>
              <w:t>7</w:t>
            </w:r>
            <w:r>
              <w:rPr>
                <w:rFonts w:hint="default" w:ascii="Times New Roman" w:hAnsi="Times New Roman" w:eastAsia="宋体" w:cs="Times New Roman"/>
                <w:color w:val="auto"/>
                <w:sz w:val="24"/>
                <w:szCs w:val="24"/>
                <w:u w:val="none" w:color="auto"/>
                <w:lang w:val="en-US" w:eastAsia="zh-CN"/>
              </w:rPr>
              <w:t>。</w:t>
            </w:r>
          </w:p>
          <w:p>
            <w:pPr>
              <w:pStyle w:val="15"/>
              <w:keepNext w:val="0"/>
              <w:keepLines w:val="0"/>
              <w:pageBreakBefore w:val="0"/>
              <w:widowControl/>
              <w:kinsoku/>
              <w:wordWrap/>
              <w:overflowPunct/>
              <w:topLinePunct w:val="0"/>
              <w:autoSpaceDE/>
              <w:autoSpaceDN/>
              <w:bidi w:val="0"/>
              <w:adjustRightInd/>
              <w:snapToGrid/>
              <w:spacing w:before="0" w:beforeAutospacing="0" w:after="0" w:afterAutospacing="0" w:line="240" w:lineRule="auto"/>
              <w:jc w:val="center"/>
              <w:textAlignment w:val="auto"/>
              <w:outlineLvl w:val="0"/>
              <w:rPr>
                <w:rFonts w:hint="default" w:ascii="Times New Roman" w:hAnsi="Times New Roman" w:eastAsia="宋体" w:cs="Times New Roman"/>
                <w:b/>
                <w:bCs/>
                <w:color w:val="auto"/>
                <w:kern w:val="2"/>
                <w:sz w:val="21"/>
                <w:szCs w:val="21"/>
                <w:lang w:val="en-US" w:eastAsia="zh-CN" w:bidi="ar-SA"/>
              </w:rPr>
            </w:pPr>
            <w:r>
              <w:rPr>
                <w:rFonts w:hint="default" w:ascii="Times New Roman" w:hAnsi="Times New Roman" w:eastAsia="宋体" w:cs="Times New Roman"/>
                <w:b/>
                <w:bCs/>
                <w:color w:val="auto"/>
                <w:kern w:val="2"/>
                <w:sz w:val="21"/>
                <w:szCs w:val="21"/>
                <w:lang w:val="en-US" w:eastAsia="zh-CN" w:bidi="ar-SA"/>
              </w:rPr>
              <w:t>表4-1</w:t>
            </w:r>
            <w:r>
              <w:rPr>
                <w:rFonts w:hint="eastAsia" w:ascii="Times New Roman" w:hAnsi="Times New Roman" w:eastAsia="宋体" w:cs="Times New Roman"/>
                <w:b/>
                <w:bCs/>
                <w:color w:val="auto"/>
                <w:kern w:val="2"/>
                <w:sz w:val="21"/>
                <w:szCs w:val="21"/>
                <w:lang w:val="en-US" w:eastAsia="zh-CN" w:bidi="ar-SA"/>
              </w:rPr>
              <w:t xml:space="preserve">7 </w:t>
            </w:r>
            <w:r>
              <w:rPr>
                <w:rFonts w:hint="default" w:ascii="Times New Roman" w:hAnsi="Times New Roman" w:eastAsia="宋体" w:cs="Times New Roman"/>
                <w:b/>
                <w:bCs/>
                <w:color w:val="auto"/>
                <w:kern w:val="2"/>
                <w:sz w:val="21"/>
                <w:szCs w:val="21"/>
                <w:lang w:val="en-US" w:eastAsia="zh-CN" w:bidi="ar-SA"/>
              </w:rPr>
              <w:t xml:space="preserve"> 危险废物最大储存量一览表</w:t>
            </w:r>
          </w:p>
          <w:tbl>
            <w:tblPr>
              <w:tblStyle w:val="18"/>
              <w:tblW w:w="4998" w:type="pct"/>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0" w:type="dxa"/>
                <w:bottom w:w="0" w:type="dxa"/>
                <w:right w:w="0" w:type="dxa"/>
              </w:tblCellMar>
            </w:tblPr>
            <w:tblGrid>
              <w:gridCol w:w="2631"/>
              <w:gridCol w:w="1333"/>
              <w:gridCol w:w="1352"/>
              <w:gridCol w:w="1585"/>
              <w:gridCol w:w="1132"/>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1637"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360" w:lineRule="exact"/>
                    <w:jc w:val="center"/>
                    <w:textAlignment w:val="auto"/>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危险废物名称</w:t>
                  </w:r>
                </w:p>
              </w:tc>
              <w:tc>
                <w:tcPr>
                  <w:tcW w:w="829"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360" w:lineRule="exact"/>
                    <w:jc w:val="center"/>
                    <w:textAlignment w:val="auto"/>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年产生量（t/a)</w:t>
                  </w:r>
                </w:p>
              </w:tc>
              <w:tc>
                <w:tcPr>
                  <w:tcW w:w="841"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360" w:lineRule="exact"/>
                    <w:jc w:val="center"/>
                    <w:textAlignment w:val="auto"/>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最大储存量（t)</w:t>
                  </w:r>
                </w:p>
              </w:tc>
              <w:tc>
                <w:tcPr>
                  <w:tcW w:w="986"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360" w:lineRule="exact"/>
                    <w:jc w:val="center"/>
                    <w:textAlignment w:val="auto"/>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贮存区域面积(m</w:t>
                  </w:r>
                  <w:r>
                    <w:rPr>
                      <w:rFonts w:hint="eastAsia" w:ascii="Times New Roman" w:hAnsi="Times New Roman" w:eastAsia="宋体" w:cs="Times New Roman"/>
                      <w:b w:val="0"/>
                      <w:bCs w:val="0"/>
                      <w:color w:val="auto"/>
                      <w:sz w:val="21"/>
                      <w:szCs w:val="21"/>
                      <w:u w:val="none" w:color="auto"/>
                      <w:vertAlign w:val="superscript"/>
                      <w:lang w:val="en-US" w:eastAsia="zh-CN"/>
                    </w:rPr>
                    <w:t>2</w:t>
                  </w:r>
                  <w:r>
                    <w:rPr>
                      <w:rFonts w:hint="default" w:ascii="Times New Roman" w:hAnsi="Times New Roman" w:eastAsia="宋体" w:cs="Times New Roman"/>
                      <w:b w:val="0"/>
                      <w:bCs w:val="0"/>
                      <w:color w:val="auto"/>
                      <w:sz w:val="21"/>
                      <w:szCs w:val="21"/>
                      <w:u w:val="none" w:color="auto"/>
                    </w:rPr>
                    <w:t>)</w:t>
                  </w:r>
                </w:p>
              </w:tc>
              <w:tc>
                <w:tcPr>
                  <w:tcW w:w="704"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360" w:lineRule="exact"/>
                    <w:jc w:val="center"/>
                    <w:textAlignment w:val="auto"/>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储存时间</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90" w:hRule="atLeast"/>
                <w:jc w:val="center"/>
              </w:trPr>
              <w:tc>
                <w:tcPr>
                  <w:tcW w:w="1637"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废蓄电池</w:t>
                  </w:r>
                </w:p>
              </w:tc>
              <w:tc>
                <w:tcPr>
                  <w:tcW w:w="829" w:type="pc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b w:val="0"/>
                      <w:bCs w:val="0"/>
                      <w:color w:val="auto"/>
                      <w:sz w:val="21"/>
                      <w:szCs w:val="21"/>
                      <w:u w:val="none" w:color="auto"/>
                    </w:rPr>
                  </w:pPr>
                  <w:r>
                    <w:rPr>
                      <w:rFonts w:hint="eastAsia" w:ascii="Times New Roman" w:hAnsi="Times New Roman" w:eastAsia="宋体" w:cs="Times New Roman"/>
                      <w:b w:val="0"/>
                      <w:bCs w:val="0"/>
                      <w:sz w:val="21"/>
                      <w:szCs w:val="21"/>
                      <w:lang w:val="en-US" w:eastAsia="zh-CN"/>
                    </w:rPr>
                    <w:t>162</w:t>
                  </w:r>
                </w:p>
              </w:tc>
              <w:tc>
                <w:tcPr>
                  <w:tcW w:w="841"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360" w:lineRule="exact"/>
                    <w:jc w:val="center"/>
                    <w:textAlignment w:val="auto"/>
                    <w:rPr>
                      <w:rFonts w:hint="default" w:ascii="Times New Roman" w:hAnsi="Times New Roman" w:eastAsia="宋体" w:cs="Times New Roman"/>
                      <w:b w:val="0"/>
                      <w:bCs w:val="0"/>
                      <w:color w:val="auto"/>
                      <w:sz w:val="21"/>
                      <w:szCs w:val="21"/>
                      <w:u w:val="none" w:color="auto"/>
                      <w:lang w:val="en-US" w:eastAsia="zh-CN"/>
                    </w:rPr>
                  </w:pPr>
                  <w:r>
                    <w:rPr>
                      <w:rFonts w:hint="default" w:ascii="Times New Roman" w:hAnsi="Times New Roman" w:eastAsia="宋体" w:cs="Times New Roman"/>
                      <w:b w:val="0"/>
                      <w:bCs w:val="0"/>
                      <w:color w:val="auto"/>
                      <w:sz w:val="21"/>
                      <w:szCs w:val="21"/>
                      <w:u w:val="none" w:color="auto"/>
                      <w:lang w:val="en-US" w:eastAsia="zh-CN"/>
                    </w:rPr>
                    <w:t>1</w:t>
                  </w:r>
                  <w:r>
                    <w:rPr>
                      <w:rFonts w:hint="eastAsia" w:cs="Times New Roman"/>
                      <w:b w:val="0"/>
                      <w:bCs w:val="0"/>
                      <w:color w:val="auto"/>
                      <w:sz w:val="21"/>
                      <w:szCs w:val="21"/>
                      <w:u w:val="none" w:color="auto"/>
                      <w:lang w:val="en-US" w:eastAsia="zh-CN"/>
                    </w:rPr>
                    <w:t>5</w:t>
                  </w:r>
                </w:p>
              </w:tc>
              <w:tc>
                <w:tcPr>
                  <w:tcW w:w="986"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360" w:lineRule="exact"/>
                    <w:jc w:val="center"/>
                    <w:textAlignment w:val="auto"/>
                    <w:rPr>
                      <w:rFonts w:hint="default" w:ascii="Times New Roman" w:hAnsi="Times New Roman" w:eastAsia="宋体" w:cs="Times New Roman"/>
                      <w:b w:val="0"/>
                      <w:bCs w:val="0"/>
                      <w:color w:val="auto"/>
                      <w:sz w:val="21"/>
                      <w:szCs w:val="21"/>
                      <w:u w:val="none" w:color="auto"/>
                      <w:lang w:val="en-US" w:eastAsia="zh-CN"/>
                    </w:rPr>
                  </w:pPr>
                  <w:r>
                    <w:rPr>
                      <w:rFonts w:hint="eastAsia" w:cs="Times New Roman"/>
                      <w:b w:val="0"/>
                      <w:bCs w:val="0"/>
                      <w:color w:val="auto"/>
                      <w:sz w:val="21"/>
                      <w:szCs w:val="21"/>
                      <w:u w:val="none" w:color="auto"/>
                      <w:lang w:val="en-US" w:eastAsia="zh-CN"/>
                    </w:rPr>
                    <w:t>3</w:t>
                  </w:r>
                  <w:r>
                    <w:rPr>
                      <w:rFonts w:hint="default" w:ascii="Times New Roman" w:hAnsi="Times New Roman" w:eastAsia="宋体" w:cs="Times New Roman"/>
                      <w:b w:val="0"/>
                      <w:bCs w:val="0"/>
                      <w:color w:val="auto"/>
                      <w:sz w:val="21"/>
                      <w:szCs w:val="21"/>
                      <w:u w:val="none" w:color="auto"/>
                      <w:lang w:val="en-US" w:eastAsia="zh-CN"/>
                    </w:rPr>
                    <w:t>0</w:t>
                  </w:r>
                </w:p>
              </w:tc>
              <w:tc>
                <w:tcPr>
                  <w:tcW w:w="704"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360" w:lineRule="exact"/>
                    <w:jc w:val="center"/>
                    <w:textAlignment w:val="auto"/>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不超过</w:t>
                  </w:r>
                  <w:r>
                    <w:rPr>
                      <w:rFonts w:hint="eastAsia" w:cs="Times New Roman"/>
                      <w:b w:val="0"/>
                      <w:bCs w:val="0"/>
                      <w:color w:val="auto"/>
                      <w:sz w:val="21"/>
                      <w:szCs w:val="21"/>
                      <w:u w:val="none" w:color="auto"/>
                      <w:lang w:val="en-US" w:eastAsia="zh-CN"/>
                    </w:rPr>
                    <w:t>3</w:t>
                  </w:r>
                  <w:r>
                    <w:rPr>
                      <w:rFonts w:hint="default" w:ascii="Times New Roman" w:hAnsi="Times New Roman" w:eastAsia="宋体" w:cs="Times New Roman"/>
                      <w:b w:val="0"/>
                      <w:bCs w:val="0"/>
                      <w:color w:val="auto"/>
                      <w:sz w:val="21"/>
                      <w:szCs w:val="21"/>
                      <w:u w:val="none" w:color="auto"/>
                    </w:rPr>
                    <w:t>个月</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77" w:hRule="atLeast"/>
                <w:jc w:val="center"/>
              </w:trPr>
              <w:tc>
                <w:tcPr>
                  <w:tcW w:w="1637"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eastAsia" w:ascii="Times New Roman" w:hAnsi="Times New Roman" w:eastAsia="宋体" w:cs="Times New Roman"/>
                      <w:b w:val="0"/>
                      <w:bCs w:val="0"/>
                      <w:color w:val="auto"/>
                      <w:sz w:val="21"/>
                      <w:szCs w:val="21"/>
                      <w:u w:val="none" w:color="auto"/>
                      <w:lang w:val="en-US" w:eastAsia="zh-CN"/>
                    </w:rPr>
                    <w:t>废电容器</w:t>
                  </w:r>
                </w:p>
              </w:tc>
              <w:tc>
                <w:tcPr>
                  <w:tcW w:w="829" w:type="pc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b w:val="0"/>
                      <w:bCs w:val="0"/>
                      <w:color w:val="auto"/>
                      <w:sz w:val="21"/>
                      <w:szCs w:val="21"/>
                      <w:u w:val="none" w:color="auto"/>
                    </w:rPr>
                  </w:pPr>
                  <w:r>
                    <w:rPr>
                      <w:rFonts w:hint="eastAsia" w:ascii="Times New Roman" w:hAnsi="Times New Roman" w:eastAsia="宋体" w:cs="Times New Roman"/>
                      <w:b w:val="0"/>
                      <w:bCs w:val="0"/>
                      <w:sz w:val="21"/>
                      <w:szCs w:val="21"/>
                      <w:lang w:val="en-US" w:eastAsia="zh-CN"/>
                    </w:rPr>
                    <w:t>110</w:t>
                  </w:r>
                </w:p>
              </w:tc>
              <w:tc>
                <w:tcPr>
                  <w:tcW w:w="841"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360" w:lineRule="exact"/>
                    <w:jc w:val="center"/>
                    <w:textAlignment w:val="auto"/>
                    <w:rPr>
                      <w:rFonts w:hint="default" w:ascii="Times New Roman" w:hAnsi="Times New Roman" w:eastAsia="宋体" w:cs="Times New Roman"/>
                      <w:b w:val="0"/>
                      <w:bCs w:val="0"/>
                      <w:color w:val="auto"/>
                      <w:sz w:val="21"/>
                      <w:szCs w:val="21"/>
                      <w:u w:val="none" w:color="auto"/>
                      <w:lang w:val="en-US" w:eastAsia="zh-CN"/>
                    </w:rPr>
                  </w:pPr>
                  <w:r>
                    <w:rPr>
                      <w:rFonts w:hint="eastAsia" w:cs="Times New Roman"/>
                      <w:b w:val="0"/>
                      <w:bCs w:val="0"/>
                      <w:color w:val="auto"/>
                      <w:sz w:val="21"/>
                      <w:szCs w:val="21"/>
                      <w:u w:val="none" w:color="auto"/>
                      <w:lang w:val="en-US" w:eastAsia="zh-CN"/>
                    </w:rPr>
                    <w:t>10</w:t>
                  </w:r>
                </w:p>
              </w:tc>
              <w:tc>
                <w:tcPr>
                  <w:tcW w:w="986"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360" w:lineRule="exact"/>
                    <w:jc w:val="center"/>
                    <w:textAlignment w:val="auto"/>
                    <w:rPr>
                      <w:rFonts w:hint="default" w:ascii="Times New Roman" w:hAnsi="Times New Roman" w:eastAsia="宋体" w:cs="Times New Roman"/>
                      <w:b w:val="0"/>
                      <w:bCs w:val="0"/>
                      <w:color w:val="auto"/>
                      <w:sz w:val="21"/>
                      <w:szCs w:val="21"/>
                      <w:u w:val="none" w:color="auto"/>
                      <w:lang w:val="en-US" w:eastAsia="zh-CN"/>
                    </w:rPr>
                  </w:pPr>
                  <w:r>
                    <w:rPr>
                      <w:rFonts w:hint="eastAsia" w:cs="Times New Roman"/>
                      <w:b w:val="0"/>
                      <w:bCs w:val="0"/>
                      <w:color w:val="auto"/>
                      <w:sz w:val="21"/>
                      <w:szCs w:val="21"/>
                      <w:u w:val="none" w:color="auto"/>
                      <w:lang w:val="en-US" w:eastAsia="zh-CN"/>
                    </w:rPr>
                    <w:t>25</w:t>
                  </w:r>
                </w:p>
              </w:tc>
              <w:tc>
                <w:tcPr>
                  <w:tcW w:w="704"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360" w:lineRule="exact"/>
                    <w:jc w:val="center"/>
                    <w:textAlignment w:val="auto"/>
                    <w:rPr>
                      <w:rFonts w:hint="eastAsia" w:ascii="Times New Roman" w:hAnsi="Times New Roman" w:eastAsia="宋体" w:cs="Times New Roman"/>
                      <w:b w:val="0"/>
                      <w:bCs w:val="0"/>
                      <w:color w:val="auto"/>
                      <w:sz w:val="21"/>
                      <w:szCs w:val="21"/>
                      <w:u w:val="none" w:color="auto"/>
                      <w:lang w:eastAsia="zh-CN"/>
                    </w:rPr>
                  </w:pPr>
                  <w:r>
                    <w:rPr>
                      <w:rFonts w:hint="default" w:ascii="Times New Roman" w:hAnsi="Times New Roman" w:eastAsia="宋体" w:cs="Times New Roman"/>
                      <w:b w:val="0"/>
                      <w:bCs w:val="0"/>
                      <w:color w:val="auto"/>
                      <w:sz w:val="21"/>
                      <w:szCs w:val="21"/>
                      <w:u w:val="none" w:color="auto"/>
                    </w:rPr>
                    <w:t>不超过</w:t>
                  </w:r>
                  <w:r>
                    <w:rPr>
                      <w:rFonts w:hint="eastAsia" w:cs="Times New Roman"/>
                      <w:b w:val="0"/>
                      <w:bCs w:val="0"/>
                      <w:color w:val="auto"/>
                      <w:sz w:val="21"/>
                      <w:szCs w:val="21"/>
                      <w:u w:val="none" w:color="auto"/>
                      <w:lang w:val="en-US" w:eastAsia="zh-CN"/>
                    </w:rPr>
                    <w:t>半年</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1637"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废尾气净化装置（含催化剂）</w:t>
                  </w:r>
                </w:p>
              </w:tc>
              <w:tc>
                <w:tcPr>
                  <w:tcW w:w="829" w:type="pc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b w:val="0"/>
                      <w:bCs w:val="0"/>
                      <w:color w:val="auto"/>
                      <w:sz w:val="21"/>
                      <w:szCs w:val="21"/>
                      <w:u w:val="none" w:color="auto"/>
                    </w:rPr>
                  </w:pPr>
                  <w:r>
                    <w:rPr>
                      <w:rFonts w:hint="eastAsia" w:ascii="Times New Roman" w:hAnsi="Times New Roman" w:eastAsia="宋体" w:cs="Times New Roman"/>
                      <w:b w:val="0"/>
                      <w:bCs w:val="0"/>
                      <w:sz w:val="21"/>
                      <w:szCs w:val="21"/>
                      <w:lang w:val="en-US" w:eastAsia="zh-CN"/>
                    </w:rPr>
                    <w:t>13.2</w:t>
                  </w:r>
                </w:p>
              </w:tc>
              <w:tc>
                <w:tcPr>
                  <w:tcW w:w="841"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360" w:lineRule="exact"/>
                    <w:jc w:val="center"/>
                    <w:textAlignment w:val="auto"/>
                    <w:rPr>
                      <w:rFonts w:hint="default" w:ascii="Times New Roman" w:hAnsi="Times New Roman" w:eastAsia="宋体" w:cs="Times New Roman"/>
                      <w:b w:val="0"/>
                      <w:bCs w:val="0"/>
                      <w:color w:val="auto"/>
                      <w:sz w:val="21"/>
                      <w:szCs w:val="21"/>
                      <w:u w:val="none" w:color="auto"/>
                      <w:lang w:val="en-US" w:eastAsia="zh-CN"/>
                    </w:rPr>
                  </w:pPr>
                  <w:r>
                    <w:rPr>
                      <w:rFonts w:hint="eastAsia" w:cs="Times New Roman"/>
                      <w:b w:val="0"/>
                      <w:bCs w:val="0"/>
                      <w:color w:val="auto"/>
                      <w:sz w:val="21"/>
                      <w:szCs w:val="21"/>
                      <w:u w:val="none" w:color="auto"/>
                      <w:lang w:val="en-US" w:eastAsia="zh-CN"/>
                    </w:rPr>
                    <w:t>6.5</w:t>
                  </w:r>
                </w:p>
              </w:tc>
              <w:tc>
                <w:tcPr>
                  <w:tcW w:w="986"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360" w:lineRule="exact"/>
                    <w:jc w:val="center"/>
                    <w:textAlignment w:val="auto"/>
                    <w:rPr>
                      <w:rFonts w:hint="default" w:ascii="Times New Roman" w:hAnsi="Times New Roman" w:eastAsia="宋体" w:cs="Times New Roman"/>
                      <w:b w:val="0"/>
                      <w:bCs w:val="0"/>
                      <w:color w:val="auto"/>
                      <w:sz w:val="21"/>
                      <w:szCs w:val="21"/>
                      <w:u w:val="none" w:color="auto"/>
                      <w:lang w:val="en-US" w:eastAsia="zh-CN"/>
                    </w:rPr>
                  </w:pPr>
                  <w:r>
                    <w:rPr>
                      <w:rFonts w:hint="eastAsia" w:cs="Times New Roman"/>
                      <w:b w:val="0"/>
                      <w:bCs w:val="0"/>
                      <w:color w:val="auto"/>
                      <w:sz w:val="21"/>
                      <w:szCs w:val="21"/>
                      <w:u w:val="none" w:color="auto"/>
                      <w:lang w:val="en-US" w:eastAsia="zh-CN"/>
                    </w:rPr>
                    <w:t>10</w:t>
                  </w:r>
                </w:p>
              </w:tc>
              <w:tc>
                <w:tcPr>
                  <w:tcW w:w="704"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360" w:lineRule="exact"/>
                    <w:jc w:val="center"/>
                    <w:textAlignment w:val="auto"/>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不超过</w:t>
                  </w:r>
                  <w:r>
                    <w:rPr>
                      <w:rFonts w:hint="eastAsia" w:ascii="Times New Roman" w:hAnsi="Times New Roman" w:eastAsia="宋体" w:cs="Times New Roman"/>
                      <w:b w:val="0"/>
                      <w:bCs w:val="0"/>
                      <w:color w:val="auto"/>
                      <w:sz w:val="21"/>
                      <w:szCs w:val="21"/>
                      <w:u w:val="none" w:color="auto"/>
                      <w:lang w:val="en-US" w:eastAsia="zh-CN"/>
                    </w:rPr>
                    <w:t>半</w:t>
                  </w:r>
                  <w:r>
                    <w:rPr>
                      <w:rFonts w:hint="eastAsia" w:cs="Times New Roman"/>
                      <w:b w:val="0"/>
                      <w:bCs w:val="0"/>
                      <w:color w:val="auto"/>
                      <w:sz w:val="21"/>
                      <w:szCs w:val="21"/>
                      <w:u w:val="none" w:color="auto"/>
                      <w:lang w:val="en-US" w:eastAsia="zh-CN"/>
                    </w:rPr>
                    <w:t>年</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1637"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燃料油废油液</w:t>
                  </w:r>
                </w:p>
              </w:tc>
              <w:tc>
                <w:tcPr>
                  <w:tcW w:w="829" w:type="pc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b w:val="0"/>
                      <w:bCs w:val="0"/>
                      <w:color w:val="auto"/>
                      <w:sz w:val="21"/>
                      <w:szCs w:val="21"/>
                      <w:u w:val="none" w:color="auto"/>
                    </w:rPr>
                  </w:pPr>
                  <w:r>
                    <w:rPr>
                      <w:rFonts w:hint="eastAsia" w:ascii="Times New Roman" w:hAnsi="Times New Roman" w:eastAsia="宋体" w:cs="Times New Roman"/>
                      <w:b w:val="0"/>
                      <w:bCs w:val="0"/>
                      <w:sz w:val="21"/>
                      <w:szCs w:val="21"/>
                      <w:lang w:val="en-US" w:eastAsia="zh-CN"/>
                    </w:rPr>
                    <w:t>21</w:t>
                  </w:r>
                </w:p>
              </w:tc>
              <w:tc>
                <w:tcPr>
                  <w:tcW w:w="841"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360" w:lineRule="exact"/>
                    <w:jc w:val="center"/>
                    <w:textAlignment w:val="auto"/>
                    <w:rPr>
                      <w:rFonts w:hint="default" w:ascii="Times New Roman" w:hAnsi="Times New Roman" w:eastAsia="宋体" w:cs="Times New Roman"/>
                      <w:b w:val="0"/>
                      <w:bCs w:val="0"/>
                      <w:color w:val="auto"/>
                      <w:sz w:val="21"/>
                      <w:szCs w:val="21"/>
                      <w:u w:val="none" w:color="auto"/>
                      <w:lang w:val="en-US" w:eastAsia="zh-CN"/>
                    </w:rPr>
                  </w:pPr>
                  <w:r>
                    <w:rPr>
                      <w:rFonts w:hint="eastAsia" w:cs="Times New Roman"/>
                      <w:b w:val="0"/>
                      <w:bCs w:val="0"/>
                      <w:color w:val="auto"/>
                      <w:sz w:val="21"/>
                      <w:szCs w:val="21"/>
                      <w:u w:val="none" w:color="auto"/>
                      <w:lang w:val="en-US" w:eastAsia="zh-CN"/>
                    </w:rPr>
                    <w:t>11</w:t>
                  </w:r>
                </w:p>
              </w:tc>
              <w:tc>
                <w:tcPr>
                  <w:tcW w:w="986"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360" w:lineRule="exact"/>
                    <w:jc w:val="center"/>
                    <w:textAlignment w:val="auto"/>
                    <w:rPr>
                      <w:rFonts w:hint="default" w:ascii="Times New Roman" w:hAnsi="Times New Roman" w:eastAsia="宋体" w:cs="Times New Roman"/>
                      <w:b w:val="0"/>
                      <w:bCs w:val="0"/>
                      <w:color w:val="auto"/>
                      <w:sz w:val="21"/>
                      <w:szCs w:val="21"/>
                      <w:u w:val="none" w:color="auto"/>
                      <w:lang w:val="en-US" w:eastAsia="zh-CN"/>
                    </w:rPr>
                  </w:pPr>
                  <w:r>
                    <w:rPr>
                      <w:rFonts w:hint="eastAsia" w:cs="Times New Roman"/>
                      <w:b w:val="0"/>
                      <w:bCs w:val="0"/>
                      <w:color w:val="auto"/>
                      <w:sz w:val="21"/>
                      <w:szCs w:val="21"/>
                      <w:u w:val="none" w:color="auto"/>
                      <w:lang w:val="en-US" w:eastAsia="zh-CN"/>
                    </w:rPr>
                    <w:t>40</w:t>
                  </w:r>
                </w:p>
              </w:tc>
              <w:tc>
                <w:tcPr>
                  <w:tcW w:w="704"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360" w:lineRule="exact"/>
                    <w:jc w:val="center"/>
                    <w:textAlignment w:val="auto"/>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不超过</w:t>
                  </w:r>
                  <w:r>
                    <w:rPr>
                      <w:rFonts w:hint="eastAsia" w:ascii="Times New Roman" w:hAnsi="Times New Roman" w:eastAsia="宋体" w:cs="Times New Roman"/>
                      <w:b w:val="0"/>
                      <w:bCs w:val="0"/>
                      <w:color w:val="auto"/>
                      <w:sz w:val="21"/>
                      <w:szCs w:val="21"/>
                      <w:u w:val="none" w:color="auto"/>
                      <w:lang w:val="en-US" w:eastAsia="zh-CN"/>
                    </w:rPr>
                    <w:t>半</w:t>
                  </w:r>
                  <w:r>
                    <w:rPr>
                      <w:rFonts w:hint="eastAsia" w:cs="Times New Roman"/>
                      <w:b w:val="0"/>
                      <w:bCs w:val="0"/>
                      <w:color w:val="auto"/>
                      <w:sz w:val="21"/>
                      <w:szCs w:val="21"/>
                      <w:u w:val="none" w:color="auto"/>
                      <w:lang w:val="en-US" w:eastAsia="zh-CN"/>
                    </w:rPr>
                    <w:t>年</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1637"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燃油类废油液</w:t>
                  </w:r>
                </w:p>
              </w:tc>
              <w:tc>
                <w:tcPr>
                  <w:tcW w:w="829" w:type="pc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b w:val="0"/>
                      <w:bCs w:val="0"/>
                      <w:color w:val="auto"/>
                      <w:sz w:val="21"/>
                      <w:szCs w:val="21"/>
                      <w:u w:val="none" w:color="auto"/>
                    </w:rPr>
                  </w:pPr>
                  <w:r>
                    <w:rPr>
                      <w:rFonts w:hint="eastAsia" w:ascii="Times New Roman" w:hAnsi="Times New Roman" w:eastAsia="宋体" w:cs="Times New Roman"/>
                      <w:b w:val="0"/>
                      <w:bCs w:val="0"/>
                      <w:sz w:val="21"/>
                      <w:szCs w:val="21"/>
                      <w:lang w:val="en-US" w:eastAsia="zh-CN"/>
                    </w:rPr>
                    <w:t>50</w:t>
                  </w:r>
                </w:p>
              </w:tc>
              <w:tc>
                <w:tcPr>
                  <w:tcW w:w="841"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360" w:lineRule="exact"/>
                    <w:jc w:val="center"/>
                    <w:textAlignment w:val="auto"/>
                    <w:rPr>
                      <w:rFonts w:hint="default" w:ascii="Times New Roman" w:hAnsi="Times New Roman" w:eastAsia="宋体" w:cs="Times New Roman"/>
                      <w:b w:val="0"/>
                      <w:bCs w:val="0"/>
                      <w:color w:val="auto"/>
                      <w:sz w:val="21"/>
                      <w:szCs w:val="21"/>
                      <w:u w:val="none" w:color="auto"/>
                      <w:lang w:val="en-US" w:eastAsia="zh-CN"/>
                    </w:rPr>
                  </w:pPr>
                  <w:r>
                    <w:rPr>
                      <w:rFonts w:hint="eastAsia" w:cs="Times New Roman"/>
                      <w:b w:val="0"/>
                      <w:bCs w:val="0"/>
                      <w:color w:val="auto"/>
                      <w:sz w:val="21"/>
                      <w:szCs w:val="21"/>
                      <w:u w:val="none" w:color="auto"/>
                      <w:lang w:val="en-US" w:eastAsia="zh-CN"/>
                    </w:rPr>
                    <w:t>25</w:t>
                  </w:r>
                </w:p>
              </w:tc>
              <w:tc>
                <w:tcPr>
                  <w:tcW w:w="986"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360" w:lineRule="exact"/>
                    <w:jc w:val="center"/>
                    <w:textAlignment w:val="auto"/>
                    <w:rPr>
                      <w:rFonts w:hint="default" w:ascii="Times New Roman" w:hAnsi="Times New Roman" w:eastAsia="宋体" w:cs="Times New Roman"/>
                      <w:b w:val="0"/>
                      <w:bCs w:val="0"/>
                      <w:color w:val="auto"/>
                      <w:sz w:val="21"/>
                      <w:szCs w:val="21"/>
                      <w:u w:val="none" w:color="auto"/>
                      <w:lang w:val="en-US" w:eastAsia="zh-CN"/>
                    </w:rPr>
                  </w:pPr>
                  <w:r>
                    <w:rPr>
                      <w:rFonts w:hint="eastAsia" w:cs="Times New Roman"/>
                      <w:b w:val="0"/>
                      <w:bCs w:val="0"/>
                      <w:color w:val="auto"/>
                      <w:sz w:val="21"/>
                      <w:szCs w:val="21"/>
                      <w:u w:val="none" w:color="auto"/>
                      <w:lang w:val="en-US" w:eastAsia="zh-CN"/>
                    </w:rPr>
                    <w:t>20</w:t>
                  </w:r>
                </w:p>
              </w:tc>
              <w:tc>
                <w:tcPr>
                  <w:tcW w:w="704"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360" w:lineRule="exact"/>
                    <w:jc w:val="center"/>
                    <w:textAlignment w:val="auto"/>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不超过</w:t>
                  </w:r>
                  <w:r>
                    <w:rPr>
                      <w:rFonts w:hint="eastAsia" w:ascii="Times New Roman" w:hAnsi="Times New Roman" w:eastAsia="宋体" w:cs="Times New Roman"/>
                      <w:b w:val="0"/>
                      <w:bCs w:val="0"/>
                      <w:color w:val="auto"/>
                      <w:sz w:val="21"/>
                      <w:szCs w:val="21"/>
                      <w:u w:val="none" w:color="auto"/>
                      <w:lang w:val="en-US" w:eastAsia="zh-CN"/>
                    </w:rPr>
                    <w:t>半</w:t>
                  </w:r>
                  <w:r>
                    <w:rPr>
                      <w:rFonts w:hint="eastAsia" w:cs="Times New Roman"/>
                      <w:b w:val="0"/>
                      <w:bCs w:val="0"/>
                      <w:color w:val="auto"/>
                      <w:sz w:val="21"/>
                      <w:szCs w:val="21"/>
                      <w:u w:val="none" w:color="auto"/>
                      <w:lang w:val="en-US" w:eastAsia="zh-CN"/>
                    </w:rPr>
                    <w:t>年</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1637"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eastAsia" w:ascii="Times New Roman" w:hAnsi="Times New Roman" w:eastAsia="宋体" w:cs="Times New Roman"/>
                      <w:b w:val="0"/>
                      <w:bCs w:val="0"/>
                      <w:color w:val="auto"/>
                      <w:sz w:val="21"/>
                      <w:szCs w:val="21"/>
                      <w:u w:val="none" w:color="auto"/>
                      <w:lang w:val="en-US" w:eastAsia="zh-CN"/>
                    </w:rPr>
                    <w:t>废空调制冷剂</w:t>
                  </w:r>
                </w:p>
              </w:tc>
              <w:tc>
                <w:tcPr>
                  <w:tcW w:w="829" w:type="pc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b w:val="0"/>
                      <w:bCs w:val="0"/>
                      <w:color w:val="auto"/>
                      <w:sz w:val="21"/>
                      <w:szCs w:val="21"/>
                      <w:u w:val="none" w:color="auto"/>
                      <w:lang w:val="en-US" w:eastAsia="zh-CN"/>
                    </w:rPr>
                  </w:pPr>
                  <w:r>
                    <w:rPr>
                      <w:rFonts w:hint="eastAsia" w:ascii="Times New Roman" w:hAnsi="Times New Roman" w:eastAsia="宋体" w:cs="Times New Roman"/>
                      <w:b w:val="0"/>
                      <w:bCs w:val="0"/>
                      <w:sz w:val="21"/>
                      <w:szCs w:val="21"/>
                      <w:lang w:val="en-US" w:eastAsia="zh-CN"/>
                    </w:rPr>
                    <w:t>10</w:t>
                  </w:r>
                </w:p>
              </w:tc>
              <w:tc>
                <w:tcPr>
                  <w:tcW w:w="841"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360" w:lineRule="exact"/>
                    <w:jc w:val="center"/>
                    <w:textAlignment w:val="auto"/>
                    <w:rPr>
                      <w:rFonts w:hint="default" w:ascii="Times New Roman" w:hAnsi="Times New Roman" w:eastAsia="宋体" w:cs="Times New Roman"/>
                      <w:b w:val="0"/>
                      <w:bCs w:val="0"/>
                      <w:color w:val="auto"/>
                      <w:sz w:val="21"/>
                      <w:szCs w:val="21"/>
                      <w:u w:val="none" w:color="auto"/>
                      <w:lang w:val="en-US" w:eastAsia="zh-CN"/>
                    </w:rPr>
                  </w:pPr>
                  <w:r>
                    <w:rPr>
                      <w:rFonts w:hint="eastAsia" w:cs="Times New Roman"/>
                      <w:b w:val="0"/>
                      <w:bCs w:val="0"/>
                      <w:color w:val="auto"/>
                      <w:sz w:val="21"/>
                      <w:szCs w:val="21"/>
                      <w:u w:val="none" w:color="auto"/>
                      <w:lang w:val="en-US" w:eastAsia="zh-CN"/>
                    </w:rPr>
                    <w:t>5</w:t>
                  </w:r>
                </w:p>
              </w:tc>
              <w:tc>
                <w:tcPr>
                  <w:tcW w:w="986"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360" w:lineRule="exact"/>
                    <w:jc w:val="center"/>
                    <w:textAlignment w:val="auto"/>
                    <w:rPr>
                      <w:rFonts w:hint="default" w:ascii="Times New Roman" w:hAnsi="Times New Roman" w:eastAsia="宋体" w:cs="Times New Roman"/>
                      <w:b w:val="0"/>
                      <w:bCs w:val="0"/>
                      <w:color w:val="auto"/>
                      <w:sz w:val="21"/>
                      <w:szCs w:val="21"/>
                      <w:u w:val="none" w:color="auto"/>
                      <w:lang w:val="en-US" w:eastAsia="zh-CN"/>
                    </w:rPr>
                  </w:pPr>
                  <w:r>
                    <w:rPr>
                      <w:rFonts w:hint="eastAsia" w:cs="Times New Roman"/>
                      <w:b w:val="0"/>
                      <w:bCs w:val="0"/>
                      <w:color w:val="auto"/>
                      <w:sz w:val="21"/>
                      <w:szCs w:val="21"/>
                      <w:u w:val="none" w:color="auto"/>
                      <w:lang w:val="en-US" w:eastAsia="zh-CN"/>
                    </w:rPr>
                    <w:t>15</w:t>
                  </w:r>
                </w:p>
              </w:tc>
              <w:tc>
                <w:tcPr>
                  <w:tcW w:w="704"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360" w:lineRule="exact"/>
                    <w:jc w:val="center"/>
                    <w:textAlignment w:val="auto"/>
                    <w:rPr>
                      <w:rFonts w:hint="default" w:ascii="Times New Roman" w:hAnsi="Times New Roman" w:eastAsia="宋体" w:cs="Times New Roman"/>
                      <w:b w:val="0"/>
                      <w:bCs w:val="0"/>
                      <w:color w:val="auto"/>
                      <w:kern w:val="2"/>
                      <w:sz w:val="21"/>
                      <w:szCs w:val="21"/>
                      <w:u w:val="none" w:color="auto"/>
                      <w:lang w:val="en-US" w:eastAsia="zh-CN" w:bidi="ar-SA"/>
                    </w:rPr>
                  </w:pPr>
                  <w:r>
                    <w:rPr>
                      <w:rFonts w:hint="default" w:ascii="Times New Roman" w:hAnsi="Times New Roman" w:eastAsia="宋体" w:cs="Times New Roman"/>
                      <w:b w:val="0"/>
                      <w:bCs w:val="0"/>
                      <w:color w:val="auto"/>
                      <w:sz w:val="21"/>
                      <w:szCs w:val="21"/>
                      <w:u w:val="none" w:color="auto"/>
                    </w:rPr>
                    <w:t>不超过</w:t>
                  </w:r>
                  <w:r>
                    <w:rPr>
                      <w:rFonts w:hint="eastAsia" w:ascii="Times New Roman" w:hAnsi="Times New Roman" w:eastAsia="宋体" w:cs="Times New Roman"/>
                      <w:b w:val="0"/>
                      <w:bCs w:val="0"/>
                      <w:color w:val="auto"/>
                      <w:sz w:val="21"/>
                      <w:szCs w:val="21"/>
                      <w:u w:val="none" w:color="auto"/>
                      <w:lang w:val="en-US" w:eastAsia="zh-CN"/>
                    </w:rPr>
                    <w:t>半</w:t>
                  </w:r>
                  <w:r>
                    <w:rPr>
                      <w:rFonts w:hint="eastAsia" w:cs="Times New Roman"/>
                      <w:b w:val="0"/>
                      <w:bCs w:val="0"/>
                      <w:color w:val="auto"/>
                      <w:sz w:val="21"/>
                      <w:szCs w:val="21"/>
                      <w:u w:val="none" w:color="auto"/>
                      <w:lang w:val="en-US" w:eastAsia="zh-CN"/>
                    </w:rPr>
                    <w:t>年</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1637"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eastAsia" w:ascii="Times New Roman" w:hAnsi="Times New Roman" w:eastAsia="宋体" w:cs="Times New Roman"/>
                      <w:b w:val="0"/>
                      <w:bCs w:val="0"/>
                      <w:color w:val="auto"/>
                      <w:sz w:val="21"/>
                      <w:szCs w:val="21"/>
                      <w:u w:val="none" w:color="auto"/>
                      <w:lang w:val="en-US" w:eastAsia="zh-CN"/>
                    </w:rPr>
                    <w:t>废冷却液</w:t>
                  </w:r>
                </w:p>
              </w:tc>
              <w:tc>
                <w:tcPr>
                  <w:tcW w:w="829" w:type="pc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b w:val="0"/>
                      <w:bCs w:val="0"/>
                      <w:color w:val="auto"/>
                      <w:sz w:val="21"/>
                      <w:szCs w:val="21"/>
                      <w:u w:val="none" w:color="auto"/>
                      <w:lang w:eastAsia="zh-CN"/>
                    </w:rPr>
                  </w:pPr>
                  <w:r>
                    <w:rPr>
                      <w:rFonts w:hint="eastAsia" w:ascii="Times New Roman" w:hAnsi="Times New Roman" w:eastAsia="宋体" w:cs="Times New Roman"/>
                      <w:b w:val="0"/>
                      <w:bCs w:val="0"/>
                      <w:sz w:val="21"/>
                      <w:szCs w:val="21"/>
                      <w:lang w:val="en-US" w:eastAsia="zh-CN"/>
                    </w:rPr>
                    <w:t>2</w:t>
                  </w:r>
                </w:p>
              </w:tc>
              <w:tc>
                <w:tcPr>
                  <w:tcW w:w="841"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360" w:lineRule="exact"/>
                    <w:jc w:val="center"/>
                    <w:textAlignment w:val="auto"/>
                    <w:rPr>
                      <w:rFonts w:hint="default" w:ascii="Times New Roman" w:hAnsi="Times New Roman" w:eastAsia="宋体" w:cs="Times New Roman"/>
                      <w:b w:val="0"/>
                      <w:bCs w:val="0"/>
                      <w:color w:val="auto"/>
                      <w:sz w:val="21"/>
                      <w:szCs w:val="21"/>
                      <w:u w:val="none" w:color="auto"/>
                      <w:lang w:val="en-US" w:eastAsia="zh-CN"/>
                    </w:rPr>
                  </w:pPr>
                  <w:r>
                    <w:rPr>
                      <w:rFonts w:hint="eastAsia" w:cs="Times New Roman"/>
                      <w:b w:val="0"/>
                      <w:bCs w:val="0"/>
                      <w:color w:val="auto"/>
                      <w:sz w:val="21"/>
                      <w:szCs w:val="21"/>
                      <w:u w:val="none" w:color="auto"/>
                      <w:lang w:val="en-US" w:eastAsia="zh-CN"/>
                    </w:rPr>
                    <w:t>1</w:t>
                  </w:r>
                </w:p>
              </w:tc>
              <w:tc>
                <w:tcPr>
                  <w:tcW w:w="986"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360" w:lineRule="exact"/>
                    <w:jc w:val="center"/>
                    <w:textAlignment w:val="auto"/>
                    <w:rPr>
                      <w:rFonts w:hint="default" w:ascii="Times New Roman" w:hAnsi="Times New Roman" w:eastAsia="宋体" w:cs="Times New Roman"/>
                      <w:b w:val="0"/>
                      <w:bCs w:val="0"/>
                      <w:color w:val="auto"/>
                      <w:sz w:val="21"/>
                      <w:szCs w:val="21"/>
                      <w:u w:val="none" w:color="auto"/>
                      <w:lang w:val="en-US" w:eastAsia="zh-CN"/>
                    </w:rPr>
                  </w:pPr>
                  <w:r>
                    <w:rPr>
                      <w:rFonts w:hint="eastAsia" w:cs="Times New Roman"/>
                      <w:b w:val="0"/>
                      <w:bCs w:val="0"/>
                      <w:color w:val="auto"/>
                      <w:sz w:val="21"/>
                      <w:szCs w:val="21"/>
                      <w:u w:val="none" w:color="auto"/>
                      <w:lang w:val="en-US" w:eastAsia="zh-CN"/>
                    </w:rPr>
                    <w:t>5</w:t>
                  </w:r>
                </w:p>
              </w:tc>
              <w:tc>
                <w:tcPr>
                  <w:tcW w:w="704"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360" w:lineRule="exact"/>
                    <w:jc w:val="center"/>
                    <w:textAlignment w:val="auto"/>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不超过</w:t>
                  </w:r>
                  <w:r>
                    <w:rPr>
                      <w:rFonts w:hint="eastAsia" w:ascii="Times New Roman" w:hAnsi="Times New Roman" w:eastAsia="宋体" w:cs="Times New Roman"/>
                      <w:b w:val="0"/>
                      <w:bCs w:val="0"/>
                      <w:color w:val="auto"/>
                      <w:sz w:val="21"/>
                      <w:szCs w:val="21"/>
                      <w:u w:val="none" w:color="auto"/>
                      <w:lang w:val="en-US" w:eastAsia="zh-CN"/>
                    </w:rPr>
                    <w:t>半</w:t>
                  </w:r>
                  <w:r>
                    <w:rPr>
                      <w:rFonts w:hint="eastAsia" w:cs="Times New Roman"/>
                      <w:b w:val="0"/>
                      <w:bCs w:val="0"/>
                      <w:color w:val="auto"/>
                      <w:sz w:val="21"/>
                      <w:szCs w:val="21"/>
                      <w:u w:val="none" w:color="auto"/>
                      <w:lang w:val="en-US" w:eastAsia="zh-CN"/>
                    </w:rPr>
                    <w:t>年</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1637"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eastAsia" w:ascii="Times New Roman" w:hAnsi="Times New Roman" w:eastAsia="宋体" w:cs="Times New Roman"/>
                      <w:b w:val="0"/>
                      <w:bCs w:val="0"/>
                      <w:color w:val="auto"/>
                      <w:sz w:val="21"/>
                      <w:szCs w:val="21"/>
                      <w:u w:val="none" w:color="auto"/>
                      <w:lang w:val="en-US" w:eastAsia="zh-CN"/>
                    </w:rPr>
                    <w:t>废电路板</w:t>
                  </w:r>
                </w:p>
              </w:tc>
              <w:tc>
                <w:tcPr>
                  <w:tcW w:w="829" w:type="pc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b w:val="0"/>
                      <w:bCs w:val="0"/>
                      <w:color w:val="auto"/>
                      <w:sz w:val="21"/>
                      <w:szCs w:val="21"/>
                      <w:u w:val="none" w:color="auto"/>
                      <w:lang w:val="en-US" w:eastAsia="zh-CN"/>
                    </w:rPr>
                  </w:pPr>
                  <w:r>
                    <w:rPr>
                      <w:rFonts w:hint="eastAsia" w:ascii="Times New Roman" w:hAnsi="Times New Roman" w:eastAsia="宋体" w:cs="Times New Roman"/>
                      <w:b w:val="0"/>
                      <w:bCs w:val="0"/>
                      <w:sz w:val="21"/>
                      <w:szCs w:val="21"/>
                      <w:lang w:val="en-US" w:eastAsia="zh-CN"/>
                    </w:rPr>
                    <w:t>21.6</w:t>
                  </w:r>
                </w:p>
              </w:tc>
              <w:tc>
                <w:tcPr>
                  <w:tcW w:w="841"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360" w:lineRule="exact"/>
                    <w:jc w:val="center"/>
                    <w:textAlignment w:val="auto"/>
                    <w:rPr>
                      <w:rFonts w:hint="default" w:ascii="Times New Roman" w:hAnsi="Times New Roman" w:eastAsia="宋体" w:cs="Times New Roman"/>
                      <w:b w:val="0"/>
                      <w:bCs w:val="0"/>
                      <w:color w:val="auto"/>
                      <w:sz w:val="21"/>
                      <w:szCs w:val="21"/>
                      <w:u w:val="none" w:color="auto"/>
                      <w:lang w:val="en-US" w:eastAsia="zh-CN"/>
                    </w:rPr>
                  </w:pPr>
                  <w:r>
                    <w:rPr>
                      <w:rFonts w:hint="eastAsia" w:cs="Times New Roman"/>
                      <w:b w:val="0"/>
                      <w:bCs w:val="0"/>
                      <w:color w:val="auto"/>
                      <w:sz w:val="21"/>
                      <w:szCs w:val="21"/>
                      <w:u w:val="none" w:color="auto"/>
                      <w:lang w:val="en-US" w:eastAsia="zh-CN"/>
                    </w:rPr>
                    <w:t>11</w:t>
                  </w:r>
                </w:p>
              </w:tc>
              <w:tc>
                <w:tcPr>
                  <w:tcW w:w="986"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360" w:lineRule="exact"/>
                    <w:jc w:val="center"/>
                    <w:textAlignment w:val="auto"/>
                    <w:rPr>
                      <w:rFonts w:hint="default" w:ascii="Times New Roman" w:hAnsi="Times New Roman" w:eastAsia="宋体" w:cs="Times New Roman"/>
                      <w:b w:val="0"/>
                      <w:bCs w:val="0"/>
                      <w:color w:val="auto"/>
                      <w:sz w:val="21"/>
                      <w:szCs w:val="21"/>
                      <w:u w:val="none" w:color="auto"/>
                      <w:lang w:val="en-US" w:eastAsia="zh-CN"/>
                    </w:rPr>
                  </w:pPr>
                  <w:r>
                    <w:rPr>
                      <w:rFonts w:hint="eastAsia" w:cs="Times New Roman"/>
                      <w:b w:val="0"/>
                      <w:bCs w:val="0"/>
                      <w:color w:val="auto"/>
                      <w:sz w:val="21"/>
                      <w:szCs w:val="21"/>
                      <w:u w:val="none" w:color="auto"/>
                      <w:lang w:val="en-US" w:eastAsia="zh-CN"/>
                    </w:rPr>
                    <w:t>20</w:t>
                  </w:r>
                </w:p>
              </w:tc>
              <w:tc>
                <w:tcPr>
                  <w:tcW w:w="704"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360" w:lineRule="exact"/>
                    <w:jc w:val="center"/>
                    <w:textAlignment w:val="auto"/>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不超过</w:t>
                  </w:r>
                  <w:r>
                    <w:rPr>
                      <w:rFonts w:hint="eastAsia" w:ascii="Times New Roman" w:hAnsi="Times New Roman" w:eastAsia="宋体" w:cs="Times New Roman"/>
                      <w:b w:val="0"/>
                      <w:bCs w:val="0"/>
                      <w:color w:val="auto"/>
                      <w:sz w:val="21"/>
                      <w:szCs w:val="21"/>
                      <w:u w:val="none" w:color="auto"/>
                      <w:lang w:val="en-US" w:eastAsia="zh-CN"/>
                    </w:rPr>
                    <w:t>半</w:t>
                  </w:r>
                  <w:r>
                    <w:rPr>
                      <w:rFonts w:hint="eastAsia" w:cs="Times New Roman"/>
                      <w:b w:val="0"/>
                      <w:bCs w:val="0"/>
                      <w:color w:val="auto"/>
                      <w:sz w:val="21"/>
                      <w:szCs w:val="21"/>
                      <w:u w:val="none" w:color="auto"/>
                      <w:lang w:val="en-US" w:eastAsia="zh-CN"/>
                    </w:rPr>
                    <w:t>年</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1637"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lang w:val="en-US"/>
                    </w:rPr>
                    <w:t>废机油滤清器</w:t>
                  </w:r>
                </w:p>
              </w:tc>
              <w:tc>
                <w:tcPr>
                  <w:tcW w:w="829" w:type="pc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b w:val="0"/>
                      <w:bCs w:val="0"/>
                      <w:color w:val="auto"/>
                      <w:sz w:val="21"/>
                      <w:szCs w:val="21"/>
                      <w:u w:val="none" w:color="auto"/>
                    </w:rPr>
                  </w:pPr>
                  <w:r>
                    <w:rPr>
                      <w:rFonts w:hint="eastAsia" w:ascii="Times New Roman" w:hAnsi="Times New Roman" w:eastAsia="宋体" w:cs="Times New Roman"/>
                      <w:b w:val="0"/>
                      <w:bCs w:val="0"/>
                      <w:sz w:val="21"/>
                      <w:szCs w:val="21"/>
                      <w:lang w:val="en-US" w:eastAsia="zh-CN"/>
                    </w:rPr>
                    <w:t>2.7</w:t>
                  </w:r>
                </w:p>
              </w:tc>
              <w:tc>
                <w:tcPr>
                  <w:tcW w:w="841"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360" w:lineRule="exact"/>
                    <w:jc w:val="center"/>
                    <w:textAlignment w:val="auto"/>
                    <w:rPr>
                      <w:rFonts w:hint="default" w:ascii="Times New Roman" w:hAnsi="Times New Roman" w:eastAsia="宋体" w:cs="Times New Roman"/>
                      <w:b w:val="0"/>
                      <w:bCs w:val="0"/>
                      <w:color w:val="auto"/>
                      <w:sz w:val="21"/>
                      <w:szCs w:val="21"/>
                      <w:u w:val="none" w:color="auto"/>
                      <w:lang w:val="en-US" w:eastAsia="zh-CN"/>
                    </w:rPr>
                  </w:pPr>
                  <w:r>
                    <w:rPr>
                      <w:rFonts w:hint="eastAsia" w:cs="Times New Roman"/>
                      <w:b w:val="0"/>
                      <w:bCs w:val="0"/>
                      <w:color w:val="auto"/>
                      <w:sz w:val="21"/>
                      <w:szCs w:val="21"/>
                      <w:u w:val="none" w:color="auto"/>
                      <w:lang w:val="en-US" w:eastAsia="zh-CN"/>
                    </w:rPr>
                    <w:t>1.5</w:t>
                  </w:r>
                </w:p>
              </w:tc>
              <w:tc>
                <w:tcPr>
                  <w:tcW w:w="986"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360" w:lineRule="exact"/>
                    <w:jc w:val="center"/>
                    <w:textAlignment w:val="auto"/>
                    <w:rPr>
                      <w:rFonts w:hint="default" w:ascii="Times New Roman" w:hAnsi="Times New Roman" w:eastAsia="宋体" w:cs="Times New Roman"/>
                      <w:b w:val="0"/>
                      <w:bCs w:val="0"/>
                      <w:color w:val="auto"/>
                      <w:sz w:val="21"/>
                      <w:szCs w:val="21"/>
                      <w:u w:val="none" w:color="auto"/>
                      <w:lang w:val="en-US" w:eastAsia="zh-CN"/>
                    </w:rPr>
                  </w:pPr>
                  <w:r>
                    <w:rPr>
                      <w:rFonts w:hint="eastAsia" w:cs="Times New Roman"/>
                      <w:b w:val="0"/>
                      <w:bCs w:val="0"/>
                      <w:color w:val="auto"/>
                      <w:sz w:val="21"/>
                      <w:szCs w:val="21"/>
                      <w:u w:val="none" w:color="auto"/>
                      <w:lang w:val="en-US" w:eastAsia="zh-CN"/>
                    </w:rPr>
                    <w:t>10</w:t>
                  </w:r>
                </w:p>
              </w:tc>
              <w:tc>
                <w:tcPr>
                  <w:tcW w:w="704"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360" w:lineRule="exact"/>
                    <w:jc w:val="center"/>
                    <w:textAlignment w:val="auto"/>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不超过</w:t>
                  </w:r>
                  <w:r>
                    <w:rPr>
                      <w:rFonts w:hint="eastAsia" w:ascii="Times New Roman" w:hAnsi="Times New Roman" w:eastAsia="宋体" w:cs="Times New Roman"/>
                      <w:b w:val="0"/>
                      <w:bCs w:val="0"/>
                      <w:color w:val="auto"/>
                      <w:sz w:val="21"/>
                      <w:szCs w:val="21"/>
                      <w:u w:val="none" w:color="auto"/>
                      <w:lang w:val="en-US" w:eastAsia="zh-CN"/>
                    </w:rPr>
                    <w:t>半</w:t>
                  </w:r>
                  <w:r>
                    <w:rPr>
                      <w:rFonts w:hint="eastAsia" w:cs="Times New Roman"/>
                      <w:b w:val="0"/>
                      <w:bCs w:val="0"/>
                      <w:color w:val="auto"/>
                      <w:sz w:val="21"/>
                      <w:szCs w:val="21"/>
                      <w:u w:val="none" w:color="auto"/>
                      <w:lang w:val="en-US" w:eastAsia="zh-CN"/>
                    </w:rPr>
                    <w:t>年</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1637"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lang w:val="en-US"/>
                    </w:rPr>
                    <w:t>含有毒有害物质的部件（含汞开关、含铅部件）</w:t>
                  </w:r>
                </w:p>
              </w:tc>
              <w:tc>
                <w:tcPr>
                  <w:tcW w:w="829" w:type="pc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b w:val="0"/>
                      <w:bCs w:val="0"/>
                      <w:color w:val="auto"/>
                      <w:sz w:val="21"/>
                      <w:szCs w:val="21"/>
                      <w:u w:val="none" w:color="auto"/>
                    </w:rPr>
                  </w:pPr>
                  <w:r>
                    <w:rPr>
                      <w:rFonts w:hint="eastAsia" w:ascii="Times New Roman" w:hAnsi="Times New Roman" w:eastAsia="宋体" w:cs="Times New Roman"/>
                      <w:b w:val="0"/>
                      <w:bCs w:val="0"/>
                      <w:sz w:val="21"/>
                      <w:szCs w:val="21"/>
                      <w:lang w:val="en-US" w:eastAsia="zh-CN"/>
                    </w:rPr>
                    <w:t>5</w:t>
                  </w:r>
                </w:p>
              </w:tc>
              <w:tc>
                <w:tcPr>
                  <w:tcW w:w="841"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360" w:lineRule="exact"/>
                    <w:jc w:val="center"/>
                    <w:textAlignment w:val="auto"/>
                    <w:rPr>
                      <w:rFonts w:hint="default" w:ascii="Times New Roman" w:hAnsi="Times New Roman" w:eastAsia="宋体" w:cs="Times New Roman"/>
                      <w:b w:val="0"/>
                      <w:bCs w:val="0"/>
                      <w:color w:val="auto"/>
                      <w:sz w:val="21"/>
                      <w:szCs w:val="21"/>
                      <w:u w:val="none" w:color="auto"/>
                      <w:lang w:val="en-US" w:eastAsia="zh-CN"/>
                    </w:rPr>
                  </w:pPr>
                  <w:r>
                    <w:rPr>
                      <w:rFonts w:hint="eastAsia" w:cs="Times New Roman"/>
                      <w:b w:val="0"/>
                      <w:bCs w:val="0"/>
                      <w:color w:val="auto"/>
                      <w:sz w:val="21"/>
                      <w:szCs w:val="21"/>
                      <w:u w:val="none" w:color="auto"/>
                      <w:lang w:val="en-US" w:eastAsia="zh-CN"/>
                    </w:rPr>
                    <w:t>2.5</w:t>
                  </w:r>
                </w:p>
              </w:tc>
              <w:tc>
                <w:tcPr>
                  <w:tcW w:w="986"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360" w:lineRule="exact"/>
                    <w:jc w:val="center"/>
                    <w:textAlignment w:val="auto"/>
                    <w:rPr>
                      <w:rFonts w:hint="default" w:ascii="Times New Roman" w:hAnsi="Times New Roman" w:eastAsia="宋体" w:cs="Times New Roman"/>
                      <w:b w:val="0"/>
                      <w:bCs w:val="0"/>
                      <w:color w:val="auto"/>
                      <w:sz w:val="21"/>
                      <w:szCs w:val="21"/>
                      <w:u w:val="none" w:color="auto"/>
                      <w:lang w:val="en-US" w:eastAsia="zh-CN"/>
                    </w:rPr>
                  </w:pPr>
                  <w:r>
                    <w:rPr>
                      <w:rFonts w:hint="eastAsia" w:cs="Times New Roman"/>
                      <w:b w:val="0"/>
                      <w:bCs w:val="0"/>
                      <w:color w:val="auto"/>
                      <w:sz w:val="21"/>
                      <w:szCs w:val="21"/>
                      <w:u w:val="none" w:color="auto"/>
                      <w:lang w:val="en-US" w:eastAsia="zh-CN"/>
                    </w:rPr>
                    <w:t>20</w:t>
                  </w:r>
                </w:p>
              </w:tc>
              <w:tc>
                <w:tcPr>
                  <w:tcW w:w="704"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360" w:lineRule="exact"/>
                    <w:jc w:val="center"/>
                    <w:textAlignment w:val="auto"/>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不超过</w:t>
                  </w:r>
                  <w:r>
                    <w:rPr>
                      <w:rFonts w:hint="eastAsia" w:ascii="Times New Roman" w:hAnsi="Times New Roman" w:eastAsia="宋体" w:cs="Times New Roman"/>
                      <w:b w:val="0"/>
                      <w:bCs w:val="0"/>
                      <w:color w:val="auto"/>
                      <w:sz w:val="21"/>
                      <w:szCs w:val="21"/>
                      <w:u w:val="none" w:color="auto"/>
                      <w:lang w:val="en-US" w:eastAsia="zh-CN"/>
                    </w:rPr>
                    <w:t>半</w:t>
                  </w:r>
                  <w:r>
                    <w:rPr>
                      <w:rFonts w:hint="eastAsia" w:cs="Times New Roman"/>
                      <w:b w:val="0"/>
                      <w:bCs w:val="0"/>
                      <w:color w:val="auto"/>
                      <w:sz w:val="21"/>
                      <w:szCs w:val="21"/>
                      <w:u w:val="none" w:color="auto"/>
                      <w:lang w:val="en-US" w:eastAsia="zh-CN"/>
                    </w:rPr>
                    <w:t>年</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1637"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eastAsia" w:ascii="Times New Roman" w:hAnsi="Times New Roman" w:eastAsia="宋体" w:cs="Times New Roman"/>
                      <w:b w:val="0"/>
                      <w:bCs w:val="0"/>
                      <w:color w:val="auto"/>
                      <w:sz w:val="21"/>
                      <w:szCs w:val="21"/>
                      <w:u w:val="none" w:color="auto"/>
                      <w:lang w:eastAsia="zh-CN"/>
                    </w:rPr>
                  </w:pPr>
                  <w:r>
                    <w:rPr>
                      <w:rFonts w:hint="eastAsia" w:ascii="Times New Roman" w:hAnsi="Times New Roman" w:eastAsia="宋体" w:cs="Times New Roman"/>
                      <w:b w:val="0"/>
                      <w:bCs w:val="0"/>
                      <w:color w:val="auto"/>
                      <w:sz w:val="21"/>
                      <w:szCs w:val="21"/>
                      <w:u w:val="none" w:color="auto"/>
                      <w:lang w:eastAsia="zh-CN"/>
                    </w:rPr>
                    <w:t>油水分离器废油</w:t>
                  </w:r>
                </w:p>
              </w:tc>
              <w:tc>
                <w:tcPr>
                  <w:tcW w:w="829" w:type="pc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b w:val="0"/>
                      <w:bCs w:val="0"/>
                      <w:color w:val="auto"/>
                      <w:sz w:val="21"/>
                      <w:szCs w:val="21"/>
                      <w:u w:val="none" w:color="auto"/>
                    </w:rPr>
                  </w:pPr>
                  <w:r>
                    <w:rPr>
                      <w:rFonts w:hint="eastAsia" w:ascii="Times New Roman" w:hAnsi="Times New Roman" w:eastAsia="宋体" w:cs="Times New Roman"/>
                      <w:b w:val="0"/>
                      <w:bCs w:val="0"/>
                      <w:sz w:val="21"/>
                      <w:szCs w:val="21"/>
                      <w:lang w:val="en-US" w:eastAsia="zh-CN"/>
                    </w:rPr>
                    <w:t>0.2</w:t>
                  </w:r>
                </w:p>
              </w:tc>
              <w:tc>
                <w:tcPr>
                  <w:tcW w:w="841"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360" w:lineRule="exact"/>
                    <w:jc w:val="center"/>
                    <w:textAlignment w:val="auto"/>
                    <w:rPr>
                      <w:rFonts w:hint="eastAsia" w:ascii="Times New Roman" w:hAnsi="Times New Roman" w:eastAsia="宋体" w:cs="Times New Roman"/>
                      <w:b w:val="0"/>
                      <w:bCs w:val="0"/>
                      <w:color w:val="auto"/>
                      <w:sz w:val="21"/>
                      <w:szCs w:val="21"/>
                      <w:u w:val="none" w:color="auto"/>
                      <w:lang w:val="en-US" w:eastAsia="zh-CN"/>
                    </w:rPr>
                  </w:pPr>
                  <w:r>
                    <w:rPr>
                      <w:rFonts w:hint="default" w:ascii="Times New Roman" w:hAnsi="Times New Roman" w:eastAsia="宋体" w:cs="Times New Roman"/>
                      <w:b w:val="0"/>
                      <w:bCs w:val="0"/>
                      <w:color w:val="auto"/>
                      <w:sz w:val="21"/>
                      <w:szCs w:val="21"/>
                      <w:u w:val="none" w:color="auto"/>
                    </w:rPr>
                    <w:t>0.</w:t>
                  </w:r>
                  <w:r>
                    <w:rPr>
                      <w:rFonts w:hint="eastAsia" w:cs="Times New Roman"/>
                      <w:b w:val="0"/>
                      <w:bCs w:val="0"/>
                      <w:color w:val="auto"/>
                      <w:sz w:val="21"/>
                      <w:szCs w:val="21"/>
                      <w:u w:val="none" w:color="auto"/>
                      <w:lang w:val="en-US" w:eastAsia="zh-CN"/>
                    </w:rPr>
                    <w:t>2</w:t>
                  </w:r>
                </w:p>
              </w:tc>
              <w:tc>
                <w:tcPr>
                  <w:tcW w:w="986" w:type="pct"/>
                  <w:vMerge w:val="restar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360" w:lineRule="exact"/>
                    <w:jc w:val="center"/>
                    <w:textAlignment w:val="auto"/>
                    <w:rPr>
                      <w:rFonts w:hint="eastAsia" w:ascii="Times New Roman" w:hAnsi="Times New Roman" w:eastAsia="宋体" w:cs="Times New Roman"/>
                      <w:b w:val="0"/>
                      <w:bCs w:val="0"/>
                      <w:color w:val="auto"/>
                      <w:sz w:val="21"/>
                      <w:szCs w:val="21"/>
                      <w:u w:val="none" w:color="auto"/>
                      <w:lang w:eastAsia="zh-CN"/>
                    </w:rPr>
                  </w:pPr>
                  <w:r>
                    <w:rPr>
                      <w:rFonts w:hint="eastAsia" w:cs="Times New Roman"/>
                      <w:b w:val="0"/>
                      <w:bCs w:val="0"/>
                      <w:color w:val="auto"/>
                      <w:sz w:val="21"/>
                      <w:szCs w:val="21"/>
                      <w:u w:val="none" w:color="auto"/>
                      <w:lang w:val="en-US" w:eastAsia="zh-CN"/>
                    </w:rPr>
                    <w:t>5</w:t>
                  </w:r>
                </w:p>
              </w:tc>
              <w:tc>
                <w:tcPr>
                  <w:tcW w:w="704"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360" w:lineRule="exact"/>
                    <w:jc w:val="center"/>
                    <w:textAlignment w:val="auto"/>
                    <w:rPr>
                      <w:rFonts w:hint="eastAsia" w:ascii="Times New Roman" w:hAnsi="Times New Roman" w:eastAsia="宋体" w:cs="Times New Roman"/>
                      <w:b w:val="0"/>
                      <w:bCs w:val="0"/>
                      <w:color w:val="auto"/>
                      <w:sz w:val="21"/>
                      <w:szCs w:val="21"/>
                      <w:u w:val="none" w:color="auto"/>
                      <w:lang w:eastAsia="zh-CN"/>
                    </w:rPr>
                  </w:pPr>
                  <w:r>
                    <w:rPr>
                      <w:rFonts w:hint="default" w:ascii="Times New Roman" w:hAnsi="Times New Roman" w:eastAsia="宋体" w:cs="Times New Roman"/>
                      <w:b w:val="0"/>
                      <w:bCs w:val="0"/>
                      <w:color w:val="auto"/>
                      <w:sz w:val="21"/>
                      <w:szCs w:val="21"/>
                      <w:u w:val="none" w:color="auto"/>
                    </w:rPr>
                    <w:t>不超过一</w:t>
                  </w:r>
                  <w:r>
                    <w:rPr>
                      <w:rFonts w:hint="eastAsia" w:cs="Times New Roman"/>
                      <w:b w:val="0"/>
                      <w:bCs w:val="0"/>
                      <w:color w:val="auto"/>
                      <w:sz w:val="21"/>
                      <w:szCs w:val="21"/>
                      <w:u w:val="none" w:color="auto"/>
                      <w:lang w:val="en-US" w:eastAsia="zh-CN"/>
                    </w:rPr>
                    <w:t>年</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1637"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废含油手套抹布</w:t>
                  </w:r>
                </w:p>
              </w:tc>
              <w:tc>
                <w:tcPr>
                  <w:tcW w:w="829" w:type="pct"/>
                  <w:tcBorders>
                    <w:tl2br w:val="nil"/>
                    <w:tr2bl w:val="nil"/>
                  </w:tcBorders>
                  <w:vAlign w:val="center"/>
                </w:tcPr>
                <w:p>
                  <w:pPr>
                    <w:adjustRightInd w:val="0"/>
                    <w:snapToGrid w:val="0"/>
                    <w:spacing w:line="240" w:lineRule="auto"/>
                    <w:jc w:val="center"/>
                    <w:rPr>
                      <w:rFonts w:hint="default" w:ascii="Times New Roman" w:hAnsi="Times New Roman" w:eastAsia="宋体" w:cs="Times New Roman"/>
                      <w:b w:val="0"/>
                      <w:bCs w:val="0"/>
                      <w:color w:val="auto"/>
                      <w:sz w:val="21"/>
                      <w:szCs w:val="21"/>
                      <w:u w:val="none" w:color="auto"/>
                      <w:lang w:eastAsia="zh-CN"/>
                    </w:rPr>
                  </w:pPr>
                  <w:r>
                    <w:rPr>
                      <w:rFonts w:hint="eastAsia" w:ascii="Times New Roman" w:hAnsi="Times New Roman" w:eastAsia="宋体" w:cs="Times New Roman"/>
                      <w:b w:val="0"/>
                      <w:bCs w:val="0"/>
                      <w:sz w:val="21"/>
                      <w:szCs w:val="21"/>
                      <w:lang w:val="en-US" w:eastAsia="zh-CN"/>
                    </w:rPr>
                    <w:t>0.3</w:t>
                  </w:r>
                </w:p>
              </w:tc>
              <w:tc>
                <w:tcPr>
                  <w:tcW w:w="841"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360" w:lineRule="exact"/>
                    <w:jc w:val="center"/>
                    <w:textAlignment w:val="auto"/>
                    <w:rPr>
                      <w:rFonts w:hint="default" w:ascii="Times New Roman" w:hAnsi="Times New Roman" w:eastAsia="宋体" w:cs="Times New Roman"/>
                      <w:b w:val="0"/>
                      <w:bCs w:val="0"/>
                      <w:color w:val="auto"/>
                      <w:sz w:val="21"/>
                      <w:szCs w:val="21"/>
                      <w:u w:val="none" w:color="auto"/>
                      <w:lang w:eastAsia="zh-CN"/>
                    </w:rPr>
                  </w:pPr>
                  <w:r>
                    <w:rPr>
                      <w:rFonts w:hint="default" w:ascii="Times New Roman" w:hAnsi="Times New Roman" w:eastAsia="宋体" w:cs="Times New Roman"/>
                      <w:b w:val="0"/>
                      <w:bCs w:val="0"/>
                      <w:color w:val="auto"/>
                      <w:sz w:val="21"/>
                      <w:szCs w:val="21"/>
                      <w:u w:val="none" w:color="auto"/>
                    </w:rPr>
                    <w:t>0.</w:t>
                  </w:r>
                  <w:r>
                    <w:rPr>
                      <w:rFonts w:hint="eastAsia" w:cs="Times New Roman"/>
                      <w:b w:val="0"/>
                      <w:bCs w:val="0"/>
                      <w:color w:val="auto"/>
                      <w:sz w:val="21"/>
                      <w:szCs w:val="21"/>
                      <w:u w:val="none" w:color="auto"/>
                      <w:lang w:val="en-US" w:eastAsia="zh-CN"/>
                    </w:rPr>
                    <w:t>2</w:t>
                  </w:r>
                </w:p>
              </w:tc>
              <w:tc>
                <w:tcPr>
                  <w:tcW w:w="986" w:type="pct"/>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360" w:lineRule="exact"/>
                    <w:jc w:val="center"/>
                    <w:textAlignment w:val="auto"/>
                    <w:rPr>
                      <w:rFonts w:hint="default" w:ascii="Times New Roman" w:hAnsi="Times New Roman" w:eastAsia="宋体" w:cs="Times New Roman"/>
                      <w:b w:val="0"/>
                      <w:bCs w:val="0"/>
                      <w:color w:val="auto"/>
                      <w:sz w:val="21"/>
                      <w:szCs w:val="21"/>
                      <w:u w:val="none" w:color="auto"/>
                    </w:rPr>
                  </w:pPr>
                </w:p>
              </w:tc>
              <w:tc>
                <w:tcPr>
                  <w:tcW w:w="704"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360" w:lineRule="exact"/>
                    <w:jc w:val="center"/>
                    <w:textAlignment w:val="auto"/>
                    <w:rPr>
                      <w:rFonts w:hint="eastAsia" w:ascii="Times New Roman" w:hAnsi="Times New Roman" w:eastAsia="宋体" w:cs="Times New Roman"/>
                      <w:b w:val="0"/>
                      <w:bCs w:val="0"/>
                      <w:color w:val="auto"/>
                      <w:sz w:val="21"/>
                      <w:szCs w:val="21"/>
                      <w:u w:val="none" w:color="auto"/>
                      <w:lang w:val="en-US" w:eastAsia="zh-CN"/>
                    </w:rPr>
                  </w:pPr>
                  <w:r>
                    <w:rPr>
                      <w:rFonts w:hint="default" w:ascii="Times New Roman" w:hAnsi="Times New Roman" w:eastAsia="宋体" w:cs="Times New Roman"/>
                      <w:b w:val="0"/>
                      <w:bCs w:val="0"/>
                      <w:color w:val="auto"/>
                      <w:sz w:val="21"/>
                      <w:szCs w:val="21"/>
                      <w:u w:val="none" w:color="auto"/>
                    </w:rPr>
                    <w:t>不超过一</w:t>
                  </w:r>
                  <w:r>
                    <w:rPr>
                      <w:rFonts w:hint="eastAsia" w:cs="Times New Roman"/>
                      <w:b w:val="0"/>
                      <w:bCs w:val="0"/>
                      <w:color w:val="auto"/>
                      <w:sz w:val="21"/>
                      <w:szCs w:val="21"/>
                      <w:u w:val="none" w:color="auto"/>
                      <w:lang w:val="en-US" w:eastAsia="zh-CN"/>
                    </w:rPr>
                    <w:t>年</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1637"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lang w:val="en-US" w:eastAsia="zh-CN"/>
                    </w:rPr>
                  </w:pPr>
                  <w:r>
                    <w:rPr>
                      <w:rFonts w:hint="eastAsia" w:cs="Times New Roman"/>
                      <w:b w:val="0"/>
                      <w:bCs w:val="0"/>
                      <w:color w:val="auto"/>
                      <w:sz w:val="21"/>
                      <w:szCs w:val="21"/>
                      <w:u w:val="none" w:color="auto"/>
                      <w:lang w:val="en-US" w:eastAsia="zh-CN"/>
                    </w:rPr>
                    <w:t>隔油沉淀池含油污泥</w:t>
                  </w:r>
                </w:p>
              </w:tc>
              <w:tc>
                <w:tcPr>
                  <w:tcW w:w="829"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 w:val="0"/>
                      <w:bCs w:val="0"/>
                      <w:color w:val="auto"/>
                      <w:sz w:val="21"/>
                      <w:szCs w:val="21"/>
                      <w:u w:val="none" w:color="auto"/>
                    </w:rPr>
                  </w:pPr>
                  <w:r>
                    <w:rPr>
                      <w:rFonts w:hint="eastAsia" w:ascii="Times New Roman" w:hAnsi="Times New Roman" w:eastAsia="宋体" w:cs="Times New Roman"/>
                      <w:b w:val="0"/>
                      <w:bCs w:val="0"/>
                      <w:color w:val="auto"/>
                      <w:sz w:val="21"/>
                      <w:szCs w:val="21"/>
                      <w:u w:val="none" w:color="auto"/>
                      <w:lang w:val="en-US" w:eastAsia="zh-CN"/>
                    </w:rPr>
                    <w:t>1.2</w:t>
                  </w:r>
                </w:p>
              </w:tc>
              <w:tc>
                <w:tcPr>
                  <w:tcW w:w="841"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360" w:lineRule="exact"/>
                    <w:jc w:val="center"/>
                    <w:textAlignment w:val="auto"/>
                    <w:rPr>
                      <w:rFonts w:hint="default" w:ascii="Times New Roman" w:hAnsi="Times New Roman" w:eastAsia="宋体" w:cs="Times New Roman"/>
                      <w:b w:val="0"/>
                      <w:bCs w:val="0"/>
                      <w:color w:val="auto"/>
                      <w:sz w:val="21"/>
                      <w:szCs w:val="21"/>
                      <w:u w:val="none" w:color="auto"/>
                    </w:rPr>
                  </w:pPr>
                  <w:r>
                    <w:rPr>
                      <w:rFonts w:hint="eastAsia" w:ascii="Times New Roman" w:hAnsi="Times New Roman" w:eastAsia="宋体" w:cs="Times New Roman"/>
                      <w:b w:val="0"/>
                      <w:bCs w:val="0"/>
                      <w:color w:val="auto"/>
                      <w:sz w:val="21"/>
                      <w:szCs w:val="21"/>
                      <w:u w:val="none" w:color="auto"/>
                      <w:lang w:val="en-US" w:eastAsia="zh-CN"/>
                    </w:rPr>
                    <w:t>1.2</w:t>
                  </w:r>
                </w:p>
              </w:tc>
              <w:tc>
                <w:tcPr>
                  <w:tcW w:w="986" w:type="pct"/>
                  <w:vMerge w:val="continue"/>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360" w:lineRule="exact"/>
                    <w:jc w:val="center"/>
                    <w:textAlignment w:val="auto"/>
                    <w:rPr>
                      <w:rFonts w:hint="default" w:ascii="Times New Roman" w:hAnsi="Times New Roman" w:eastAsia="宋体" w:cs="Times New Roman"/>
                      <w:b w:val="0"/>
                      <w:bCs w:val="0"/>
                      <w:color w:val="auto"/>
                      <w:sz w:val="21"/>
                      <w:szCs w:val="21"/>
                      <w:u w:val="none" w:color="auto"/>
                    </w:rPr>
                  </w:pPr>
                </w:p>
              </w:tc>
              <w:tc>
                <w:tcPr>
                  <w:tcW w:w="704"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360" w:lineRule="exact"/>
                    <w:jc w:val="center"/>
                    <w:textAlignment w:val="auto"/>
                    <w:rPr>
                      <w:rFonts w:hint="default" w:ascii="Times New Roman" w:hAnsi="Times New Roman" w:eastAsia="宋体" w:cs="Times New Roman"/>
                      <w:b w:val="0"/>
                      <w:bCs w:val="0"/>
                      <w:color w:val="auto"/>
                      <w:sz w:val="21"/>
                      <w:szCs w:val="21"/>
                      <w:u w:val="none" w:color="auto"/>
                    </w:rPr>
                  </w:pPr>
                  <w:r>
                    <w:rPr>
                      <w:rFonts w:hint="default" w:ascii="Times New Roman" w:hAnsi="Times New Roman" w:eastAsia="宋体" w:cs="Times New Roman"/>
                      <w:b w:val="0"/>
                      <w:bCs w:val="0"/>
                      <w:color w:val="auto"/>
                      <w:sz w:val="21"/>
                      <w:szCs w:val="21"/>
                      <w:u w:val="none" w:color="auto"/>
                    </w:rPr>
                    <w:t>不超过一</w:t>
                  </w:r>
                  <w:r>
                    <w:rPr>
                      <w:rFonts w:hint="eastAsia" w:cs="Times New Roman"/>
                      <w:b w:val="0"/>
                      <w:bCs w:val="0"/>
                      <w:color w:val="auto"/>
                      <w:sz w:val="21"/>
                      <w:szCs w:val="21"/>
                      <w:u w:val="none" w:color="auto"/>
                      <w:lang w:val="en-US" w:eastAsia="zh-CN"/>
                    </w:rPr>
                    <w:t>年</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1637"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360" w:lineRule="exact"/>
                    <w:jc w:val="center"/>
                    <w:textAlignment w:val="auto"/>
                    <w:rPr>
                      <w:rFonts w:hint="default" w:cs="Times New Roman"/>
                      <w:b w:val="0"/>
                      <w:bCs w:val="0"/>
                      <w:color w:val="auto"/>
                      <w:sz w:val="21"/>
                      <w:szCs w:val="21"/>
                      <w:u w:val="none" w:color="auto"/>
                      <w:lang w:val="en-US" w:eastAsia="zh-CN"/>
                    </w:rPr>
                  </w:pPr>
                  <w:r>
                    <w:rPr>
                      <w:rFonts w:hint="eastAsia" w:cs="Times New Roman"/>
                      <w:b w:val="0"/>
                      <w:bCs w:val="0"/>
                      <w:color w:val="auto"/>
                      <w:sz w:val="21"/>
                      <w:szCs w:val="21"/>
                      <w:u w:val="none" w:color="auto"/>
                      <w:lang w:val="en-US" w:eastAsia="zh-CN"/>
                    </w:rPr>
                    <w:t>合计</w:t>
                  </w:r>
                </w:p>
              </w:tc>
              <w:tc>
                <w:tcPr>
                  <w:tcW w:w="829"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360" w:lineRule="exact"/>
                    <w:jc w:val="center"/>
                    <w:textAlignment w:val="auto"/>
                    <w:rPr>
                      <w:rFonts w:hint="default" w:cs="Times New Roman"/>
                      <w:b w:val="0"/>
                      <w:bCs w:val="0"/>
                      <w:color w:val="auto"/>
                      <w:sz w:val="21"/>
                      <w:szCs w:val="21"/>
                      <w:u w:val="none" w:color="auto"/>
                      <w:lang w:val="en-US" w:eastAsia="zh-CN"/>
                    </w:rPr>
                  </w:pPr>
                  <w:r>
                    <w:rPr>
                      <w:rFonts w:hint="eastAsia" w:cs="Times New Roman"/>
                      <w:b w:val="0"/>
                      <w:bCs w:val="0"/>
                      <w:color w:val="auto"/>
                      <w:sz w:val="21"/>
                      <w:szCs w:val="21"/>
                      <w:u w:val="none" w:color="auto"/>
                      <w:lang w:val="en-US" w:eastAsia="zh-CN"/>
                    </w:rPr>
                    <w:t>/</w:t>
                  </w:r>
                </w:p>
              </w:tc>
              <w:tc>
                <w:tcPr>
                  <w:tcW w:w="841"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360" w:lineRule="exact"/>
                    <w:jc w:val="center"/>
                    <w:textAlignment w:val="auto"/>
                    <w:rPr>
                      <w:rFonts w:hint="default" w:cs="Times New Roman"/>
                      <w:b w:val="0"/>
                      <w:bCs w:val="0"/>
                      <w:color w:val="auto"/>
                      <w:sz w:val="21"/>
                      <w:szCs w:val="21"/>
                      <w:u w:val="none" w:color="auto"/>
                      <w:lang w:val="en-US" w:eastAsia="zh-CN"/>
                    </w:rPr>
                  </w:pPr>
                  <w:r>
                    <w:rPr>
                      <w:rFonts w:hint="eastAsia" w:cs="Times New Roman"/>
                      <w:b w:val="0"/>
                      <w:bCs w:val="0"/>
                      <w:color w:val="auto"/>
                      <w:sz w:val="21"/>
                      <w:szCs w:val="21"/>
                      <w:u w:val="none" w:color="auto"/>
                      <w:lang w:val="en-US" w:eastAsia="zh-CN"/>
                    </w:rPr>
                    <w:t>/</w:t>
                  </w:r>
                </w:p>
              </w:tc>
              <w:tc>
                <w:tcPr>
                  <w:tcW w:w="986"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360" w:lineRule="exact"/>
                    <w:jc w:val="center"/>
                    <w:textAlignment w:val="auto"/>
                    <w:rPr>
                      <w:rFonts w:hint="default" w:cs="Times New Roman"/>
                      <w:b w:val="0"/>
                      <w:bCs w:val="0"/>
                      <w:color w:val="auto"/>
                      <w:sz w:val="21"/>
                      <w:szCs w:val="21"/>
                      <w:u w:val="none" w:color="auto"/>
                      <w:lang w:val="en-US" w:eastAsia="zh-CN"/>
                    </w:rPr>
                  </w:pPr>
                  <w:r>
                    <w:rPr>
                      <w:rFonts w:hint="eastAsia" w:cs="Times New Roman"/>
                      <w:b w:val="0"/>
                      <w:bCs w:val="0"/>
                      <w:color w:val="auto"/>
                      <w:sz w:val="21"/>
                      <w:szCs w:val="21"/>
                      <w:u w:val="none" w:color="auto"/>
                      <w:lang w:val="en-US" w:eastAsia="zh-CN"/>
                    </w:rPr>
                    <w:t>200</w:t>
                  </w:r>
                </w:p>
              </w:tc>
              <w:tc>
                <w:tcPr>
                  <w:tcW w:w="704" w:type="pct"/>
                  <w:tcBorders>
                    <w:tl2br w:val="nil"/>
                    <w:tr2bl w:val="nil"/>
                  </w:tcBorders>
                  <w:vAlign w:val="center"/>
                </w:tcPr>
                <w:p>
                  <w:pPr>
                    <w:keepNext w:val="0"/>
                    <w:keepLines w:val="0"/>
                    <w:pageBreakBefore w:val="0"/>
                    <w:widowControl w:val="0"/>
                    <w:kinsoku/>
                    <w:wordWrap/>
                    <w:overflowPunct/>
                    <w:topLinePunct w:val="0"/>
                    <w:autoSpaceDE w:val="0"/>
                    <w:autoSpaceDN w:val="0"/>
                    <w:bidi w:val="0"/>
                    <w:adjustRightInd/>
                    <w:snapToGrid w:val="0"/>
                    <w:spacing w:line="360" w:lineRule="exact"/>
                    <w:jc w:val="center"/>
                    <w:textAlignment w:val="auto"/>
                    <w:rPr>
                      <w:rFonts w:hint="eastAsia" w:ascii="Times New Roman" w:hAnsi="Times New Roman" w:eastAsia="宋体" w:cs="Times New Roman"/>
                      <w:b w:val="0"/>
                      <w:bCs w:val="0"/>
                      <w:color w:val="auto"/>
                      <w:sz w:val="21"/>
                      <w:szCs w:val="21"/>
                      <w:u w:val="none" w:color="auto"/>
                      <w:lang w:val="en-US" w:eastAsia="zh-CN"/>
                    </w:rPr>
                  </w:pPr>
                  <w:r>
                    <w:rPr>
                      <w:rFonts w:hint="eastAsia" w:ascii="Times New Roman" w:hAnsi="Times New Roman" w:eastAsia="宋体" w:cs="Times New Roman"/>
                      <w:b w:val="0"/>
                      <w:bCs w:val="0"/>
                      <w:color w:val="auto"/>
                      <w:sz w:val="21"/>
                      <w:szCs w:val="21"/>
                      <w:u w:val="none" w:color="auto"/>
                      <w:lang w:val="en-US" w:eastAsia="zh-CN"/>
                    </w:rPr>
                    <w:t>/</w:t>
                  </w:r>
                </w:p>
              </w:tc>
            </w:tr>
          </w:tbl>
          <w:p>
            <w:pPr>
              <w:keepNext w:val="0"/>
              <w:keepLines w:val="0"/>
              <w:pageBreakBefore w:val="0"/>
              <w:widowControl/>
              <w:suppressLineNumbers w:val="0"/>
              <w:kinsoku/>
              <w:overflowPunct/>
              <w:bidi w:val="0"/>
              <w:spacing w:line="360" w:lineRule="auto"/>
              <w:ind w:firstLine="482" w:firstLineChars="200"/>
              <w:jc w:val="left"/>
              <w:rPr>
                <w:rFonts w:hint="eastAsia" w:ascii="Times New Roman" w:hAnsi="Times New Roman" w:eastAsia="宋体" w:cs="Times New Roman"/>
                <w:b/>
                <w:bCs/>
                <w:color w:val="auto"/>
                <w:kern w:val="0"/>
                <w:sz w:val="24"/>
                <w:szCs w:val="24"/>
                <w:u w:val="none" w:color="auto"/>
                <w:lang w:val="en-US" w:eastAsia="zh-CN" w:bidi="ar"/>
              </w:rPr>
            </w:pPr>
            <w:r>
              <w:rPr>
                <w:rFonts w:hint="eastAsia" w:ascii="Times New Roman" w:hAnsi="Times New Roman" w:eastAsia="宋体" w:cs="Times New Roman"/>
                <w:b/>
                <w:bCs/>
                <w:color w:val="auto"/>
                <w:kern w:val="0"/>
                <w:sz w:val="24"/>
                <w:szCs w:val="24"/>
                <w:u w:val="none" w:color="auto"/>
                <w:lang w:val="en-US" w:eastAsia="zh-CN" w:bidi="ar"/>
              </w:rPr>
              <w:t>①危险废物的收集包装</w:t>
            </w:r>
          </w:p>
          <w:p>
            <w:pPr>
              <w:keepNext w:val="0"/>
              <w:keepLines w:val="0"/>
              <w:pageBreakBefore w:val="0"/>
              <w:widowControl/>
              <w:suppressLineNumbers w:val="0"/>
              <w:kinsoku/>
              <w:overflowPunct/>
              <w:bidi w:val="0"/>
              <w:spacing w:line="360" w:lineRule="auto"/>
              <w:ind w:firstLine="480" w:firstLineChars="200"/>
              <w:jc w:val="left"/>
              <w:rPr>
                <w:rFonts w:hint="eastAsia" w:ascii="Times New Roman" w:hAnsi="Times New Roman" w:eastAsia="宋体" w:cs="Times New Roman"/>
                <w:b w:val="0"/>
                <w:bCs w:val="0"/>
                <w:color w:val="auto"/>
                <w:kern w:val="0"/>
                <w:sz w:val="24"/>
                <w:szCs w:val="24"/>
                <w:u w:val="none" w:color="auto"/>
                <w:lang w:val="en-US" w:eastAsia="zh-CN" w:bidi="ar"/>
              </w:rPr>
            </w:pPr>
            <w:r>
              <w:rPr>
                <w:rFonts w:hint="eastAsia" w:ascii="Times New Roman" w:hAnsi="Times New Roman" w:eastAsia="宋体" w:cs="Times New Roman"/>
                <w:b w:val="0"/>
                <w:bCs w:val="0"/>
                <w:color w:val="auto"/>
                <w:kern w:val="0"/>
                <w:sz w:val="24"/>
                <w:szCs w:val="24"/>
                <w:u w:val="none" w:color="auto"/>
                <w:lang w:val="en-US" w:eastAsia="zh-CN" w:bidi="ar"/>
              </w:rPr>
              <w:t>1）应使用符合国家标准的容器盛装危险废物；项目收集空调制冷剂采用专用制冷剂储藏罐暂存危废暂存间；废机油、汽油、柴油分别采用加仑桶装盛并密闭暂存危废暂存间；电容器、废电子部件用塑料桶盛装；催化剂、油水分离器废油、污泥、废吸油毡分别采用小型加仑油桶盛装暂存。空调制冷剂、废机油、汽油/柴油等危废均需分类、分区暂存t。</w:t>
            </w:r>
          </w:p>
          <w:p>
            <w:pPr>
              <w:keepNext w:val="0"/>
              <w:keepLines w:val="0"/>
              <w:pageBreakBefore w:val="0"/>
              <w:widowControl/>
              <w:suppressLineNumbers w:val="0"/>
              <w:kinsoku/>
              <w:overflowPunct/>
              <w:bidi w:val="0"/>
              <w:spacing w:line="360" w:lineRule="auto"/>
              <w:ind w:firstLine="480" w:firstLineChars="200"/>
              <w:jc w:val="left"/>
              <w:rPr>
                <w:rFonts w:hint="eastAsia" w:ascii="Times New Roman" w:hAnsi="Times New Roman" w:eastAsia="宋体" w:cs="Times New Roman"/>
                <w:b w:val="0"/>
                <w:bCs w:val="0"/>
                <w:color w:val="auto"/>
                <w:kern w:val="0"/>
                <w:sz w:val="24"/>
                <w:szCs w:val="24"/>
                <w:u w:val="none" w:color="auto"/>
                <w:lang w:val="en-US" w:eastAsia="zh-CN" w:bidi="ar"/>
              </w:rPr>
            </w:pPr>
            <w:r>
              <w:rPr>
                <w:rFonts w:hint="eastAsia" w:ascii="Times New Roman" w:hAnsi="Times New Roman" w:eastAsia="宋体" w:cs="Times New Roman"/>
                <w:b w:val="0"/>
                <w:bCs w:val="0"/>
                <w:color w:val="auto"/>
                <w:kern w:val="0"/>
                <w:sz w:val="24"/>
                <w:szCs w:val="24"/>
                <w:u w:val="none" w:color="auto"/>
                <w:lang w:val="en-US" w:eastAsia="zh-CN" w:bidi="ar"/>
              </w:rPr>
              <w:t>2）危险废物的收集容器应在醒目位置贴有危险废物标签，在收集场所醒目的地方设置危险废物警告标识。所有收集容器必须密闭。</w:t>
            </w:r>
          </w:p>
          <w:p>
            <w:pPr>
              <w:keepNext w:val="0"/>
              <w:keepLines w:val="0"/>
              <w:pageBreakBefore w:val="0"/>
              <w:widowControl/>
              <w:suppressLineNumbers w:val="0"/>
              <w:kinsoku/>
              <w:overflowPunct/>
              <w:bidi w:val="0"/>
              <w:spacing w:line="360" w:lineRule="auto"/>
              <w:ind w:firstLine="480" w:firstLineChars="200"/>
              <w:jc w:val="left"/>
              <w:rPr>
                <w:rFonts w:hint="eastAsia" w:ascii="Times New Roman" w:hAnsi="Times New Roman" w:eastAsia="宋体" w:cs="Times New Roman"/>
                <w:b w:val="0"/>
                <w:bCs w:val="0"/>
                <w:color w:val="auto"/>
                <w:kern w:val="0"/>
                <w:sz w:val="24"/>
                <w:szCs w:val="24"/>
                <w:u w:val="none" w:color="auto"/>
                <w:lang w:val="en-US" w:eastAsia="zh-CN" w:bidi="ar"/>
              </w:rPr>
            </w:pPr>
            <w:r>
              <w:rPr>
                <w:rFonts w:hint="eastAsia" w:ascii="Times New Roman" w:hAnsi="Times New Roman" w:eastAsia="宋体" w:cs="Times New Roman"/>
                <w:b w:val="0"/>
                <w:bCs w:val="0"/>
                <w:color w:val="auto"/>
                <w:kern w:val="0"/>
                <w:sz w:val="24"/>
                <w:szCs w:val="24"/>
                <w:u w:val="none" w:color="auto"/>
                <w:lang w:val="en-US" w:eastAsia="zh-CN" w:bidi="ar"/>
              </w:rPr>
              <w:t>3）危险废物标签应标明以下信息：主要化学成分或危险废物名称、数量、物理形态、危险类别、安全措施以及危险废物产生单位名称、地址、联系人及电话。</w:t>
            </w:r>
          </w:p>
          <w:p>
            <w:pPr>
              <w:keepNext w:val="0"/>
              <w:keepLines w:val="0"/>
              <w:pageBreakBefore w:val="0"/>
              <w:widowControl/>
              <w:suppressLineNumbers w:val="0"/>
              <w:kinsoku/>
              <w:overflowPunct/>
              <w:bidi w:val="0"/>
              <w:spacing w:line="360" w:lineRule="auto"/>
              <w:ind w:firstLine="482" w:firstLineChars="200"/>
              <w:jc w:val="left"/>
              <w:rPr>
                <w:rFonts w:hint="eastAsia" w:ascii="Times New Roman" w:hAnsi="Times New Roman" w:eastAsia="宋体" w:cs="Times New Roman"/>
                <w:b/>
                <w:bCs/>
                <w:color w:val="auto"/>
                <w:kern w:val="0"/>
                <w:sz w:val="24"/>
                <w:szCs w:val="24"/>
                <w:u w:val="none" w:color="auto"/>
                <w:lang w:val="en-US" w:eastAsia="zh-CN" w:bidi="ar"/>
              </w:rPr>
            </w:pPr>
            <w:r>
              <w:rPr>
                <w:rFonts w:hint="eastAsia" w:ascii="Times New Roman" w:hAnsi="Times New Roman" w:eastAsia="宋体" w:cs="Times New Roman"/>
                <w:b/>
                <w:bCs/>
                <w:color w:val="auto"/>
                <w:kern w:val="0"/>
                <w:sz w:val="24"/>
                <w:szCs w:val="24"/>
                <w:u w:val="none" w:color="auto"/>
                <w:lang w:val="en-US" w:eastAsia="zh-CN" w:bidi="ar"/>
              </w:rPr>
              <w:t>②新增危险废物的暂存要求</w:t>
            </w:r>
          </w:p>
          <w:p>
            <w:pPr>
              <w:keepNext w:val="0"/>
              <w:keepLines w:val="0"/>
              <w:pageBreakBefore w:val="0"/>
              <w:widowControl/>
              <w:suppressLineNumbers w:val="0"/>
              <w:kinsoku/>
              <w:overflowPunct/>
              <w:bidi w:val="0"/>
              <w:spacing w:line="360" w:lineRule="auto"/>
              <w:ind w:firstLine="480" w:firstLineChars="200"/>
              <w:jc w:val="left"/>
              <w:rPr>
                <w:rFonts w:hint="eastAsia" w:ascii="Times New Roman" w:hAnsi="Times New Roman" w:eastAsia="宋体" w:cs="Times New Roman"/>
                <w:b w:val="0"/>
                <w:bCs w:val="0"/>
                <w:color w:val="auto"/>
                <w:kern w:val="0"/>
                <w:sz w:val="24"/>
                <w:szCs w:val="24"/>
                <w:u w:val="none" w:color="auto"/>
                <w:lang w:val="en-US" w:eastAsia="zh-CN" w:bidi="ar"/>
              </w:rPr>
            </w:pPr>
            <w:r>
              <w:rPr>
                <w:rFonts w:hint="eastAsia" w:ascii="Times New Roman" w:hAnsi="Times New Roman" w:eastAsia="宋体" w:cs="Times New Roman"/>
                <w:b w:val="0"/>
                <w:bCs w:val="0"/>
                <w:color w:val="auto"/>
                <w:kern w:val="0"/>
                <w:sz w:val="24"/>
                <w:szCs w:val="24"/>
                <w:u w:val="none" w:color="auto"/>
                <w:lang w:val="en-US" w:eastAsia="zh-CN" w:bidi="ar"/>
              </w:rPr>
              <w:t>1）按 GB15562.2《环境保护图形标识－－固体废物贮存（处置）场》设置警示标志。</w:t>
            </w:r>
          </w:p>
          <w:p>
            <w:pPr>
              <w:keepNext w:val="0"/>
              <w:keepLines w:val="0"/>
              <w:pageBreakBefore w:val="0"/>
              <w:widowControl/>
              <w:suppressLineNumbers w:val="0"/>
              <w:kinsoku/>
              <w:overflowPunct/>
              <w:bidi w:val="0"/>
              <w:spacing w:line="360" w:lineRule="auto"/>
              <w:ind w:firstLine="480" w:firstLineChars="200"/>
              <w:jc w:val="left"/>
              <w:rPr>
                <w:rFonts w:hint="eastAsia" w:ascii="Times New Roman" w:hAnsi="Times New Roman" w:eastAsia="宋体" w:cs="Times New Roman"/>
                <w:b w:val="0"/>
                <w:bCs w:val="0"/>
                <w:color w:val="auto"/>
                <w:kern w:val="0"/>
                <w:sz w:val="24"/>
                <w:szCs w:val="24"/>
                <w:u w:val="none" w:color="auto"/>
                <w:lang w:val="en-US" w:eastAsia="zh-CN" w:bidi="ar"/>
              </w:rPr>
            </w:pPr>
            <w:r>
              <w:rPr>
                <w:rFonts w:hint="eastAsia" w:ascii="Times New Roman" w:hAnsi="Times New Roman" w:eastAsia="宋体" w:cs="Times New Roman"/>
                <w:b w:val="0"/>
                <w:bCs w:val="0"/>
                <w:color w:val="auto"/>
                <w:kern w:val="0"/>
                <w:sz w:val="24"/>
                <w:szCs w:val="24"/>
                <w:u w:val="none" w:color="auto"/>
                <w:lang w:val="en-US" w:eastAsia="zh-CN" w:bidi="ar"/>
              </w:rPr>
              <w:t>2）必须有耐腐蚀的硬化地面和基础防渗层，地面无裂隙；设施底部必须高于地下水最高水位，项目危废暂存间拟采用20cm厚混凝砼硬化层+2.0mm环氧树脂漆防腐、防渗层，保证渗透系数K≤1×10</w:t>
            </w:r>
            <w:r>
              <w:rPr>
                <w:rFonts w:hint="eastAsia" w:ascii="Times New Roman" w:hAnsi="Times New Roman" w:eastAsia="宋体" w:cs="Times New Roman"/>
                <w:b w:val="0"/>
                <w:bCs w:val="0"/>
                <w:color w:val="auto"/>
                <w:kern w:val="0"/>
                <w:sz w:val="24"/>
                <w:szCs w:val="24"/>
                <w:u w:val="none" w:color="auto"/>
                <w:vertAlign w:val="superscript"/>
                <w:lang w:val="en-US" w:eastAsia="zh-CN" w:bidi="ar"/>
              </w:rPr>
              <w:t>-10</w:t>
            </w:r>
            <w:r>
              <w:rPr>
                <w:rFonts w:hint="eastAsia" w:ascii="Times New Roman" w:hAnsi="Times New Roman" w:eastAsia="宋体" w:cs="Times New Roman"/>
                <w:b w:val="0"/>
                <w:bCs w:val="0"/>
                <w:color w:val="auto"/>
                <w:kern w:val="0"/>
                <w:sz w:val="24"/>
                <w:szCs w:val="24"/>
                <w:u w:val="none" w:color="auto"/>
                <w:lang w:val="en-US" w:eastAsia="zh-CN" w:bidi="ar"/>
              </w:rPr>
              <w:t>cm/s。</w:t>
            </w:r>
          </w:p>
          <w:p>
            <w:pPr>
              <w:keepNext w:val="0"/>
              <w:keepLines w:val="0"/>
              <w:pageBreakBefore w:val="0"/>
              <w:widowControl/>
              <w:suppressLineNumbers w:val="0"/>
              <w:kinsoku/>
              <w:overflowPunct/>
              <w:bidi w:val="0"/>
              <w:spacing w:line="360" w:lineRule="auto"/>
              <w:ind w:firstLine="480" w:firstLineChars="200"/>
              <w:jc w:val="left"/>
              <w:rPr>
                <w:rFonts w:hint="eastAsia" w:ascii="Times New Roman" w:hAnsi="Times New Roman" w:eastAsia="宋体" w:cs="Times New Roman"/>
                <w:b w:val="0"/>
                <w:bCs w:val="0"/>
                <w:color w:val="auto"/>
                <w:kern w:val="0"/>
                <w:sz w:val="24"/>
                <w:szCs w:val="24"/>
                <w:u w:val="none" w:color="auto"/>
                <w:lang w:val="en-US" w:eastAsia="zh-CN" w:bidi="ar"/>
              </w:rPr>
            </w:pPr>
            <w:r>
              <w:rPr>
                <w:rFonts w:hint="eastAsia" w:ascii="Times New Roman" w:hAnsi="Times New Roman" w:eastAsia="宋体" w:cs="Times New Roman"/>
                <w:b w:val="0"/>
                <w:bCs w:val="0"/>
                <w:color w:val="auto"/>
                <w:kern w:val="0"/>
                <w:sz w:val="24"/>
                <w:szCs w:val="24"/>
                <w:u w:val="none" w:color="auto"/>
                <w:lang w:val="en-US" w:eastAsia="zh-CN" w:bidi="ar"/>
              </w:rPr>
              <w:t>3）要求必要的防风、防雨、防晒措施。</w:t>
            </w:r>
          </w:p>
          <w:p>
            <w:pPr>
              <w:keepNext w:val="0"/>
              <w:keepLines w:val="0"/>
              <w:pageBreakBefore w:val="0"/>
              <w:widowControl/>
              <w:suppressLineNumbers w:val="0"/>
              <w:kinsoku/>
              <w:overflowPunct/>
              <w:bidi w:val="0"/>
              <w:spacing w:line="360" w:lineRule="auto"/>
              <w:ind w:firstLine="480" w:firstLineChars="200"/>
              <w:jc w:val="left"/>
              <w:rPr>
                <w:rFonts w:hint="eastAsia" w:ascii="Times New Roman" w:hAnsi="Times New Roman" w:eastAsia="宋体" w:cs="Times New Roman"/>
                <w:b w:val="0"/>
                <w:bCs w:val="0"/>
                <w:color w:val="auto"/>
                <w:kern w:val="0"/>
                <w:sz w:val="24"/>
                <w:szCs w:val="24"/>
                <w:u w:val="none" w:color="auto"/>
                <w:lang w:val="en-US" w:eastAsia="zh-CN" w:bidi="ar"/>
              </w:rPr>
            </w:pPr>
            <w:r>
              <w:rPr>
                <w:rFonts w:hint="eastAsia" w:ascii="Times New Roman" w:hAnsi="Times New Roman" w:eastAsia="宋体" w:cs="Times New Roman"/>
                <w:b w:val="0"/>
                <w:bCs w:val="0"/>
                <w:color w:val="auto"/>
                <w:kern w:val="0"/>
                <w:sz w:val="24"/>
                <w:szCs w:val="24"/>
                <w:u w:val="none" w:color="auto"/>
                <w:lang w:val="en-US" w:eastAsia="zh-CN" w:bidi="ar"/>
              </w:rPr>
              <w:t>4）</w:t>
            </w:r>
            <w:r>
              <w:rPr>
                <w:rFonts w:hint="eastAsia" w:cs="Times New Roman"/>
                <w:b w:val="0"/>
                <w:bCs w:val="0"/>
                <w:color w:val="auto"/>
                <w:kern w:val="0"/>
                <w:sz w:val="24"/>
                <w:szCs w:val="24"/>
                <w:u w:val="none" w:color="auto"/>
                <w:lang w:val="en-US" w:eastAsia="zh-CN" w:bidi="ar"/>
              </w:rPr>
              <w:t>废油、废液和蓄电池危废间须设置环形沟（150mm×150mm）和集液井（500mm×500mm×500mm）</w:t>
            </w:r>
            <w:r>
              <w:rPr>
                <w:rFonts w:hint="eastAsia" w:ascii="Times New Roman" w:hAnsi="Times New Roman" w:eastAsia="宋体" w:cs="Times New Roman"/>
                <w:b w:val="0"/>
                <w:bCs w:val="0"/>
                <w:color w:val="auto"/>
                <w:kern w:val="0"/>
                <w:sz w:val="24"/>
                <w:szCs w:val="24"/>
                <w:u w:val="none" w:color="auto"/>
                <w:lang w:val="en-US" w:eastAsia="zh-CN" w:bidi="ar"/>
              </w:rPr>
              <w:t>。</w:t>
            </w:r>
          </w:p>
          <w:p>
            <w:pPr>
              <w:keepNext w:val="0"/>
              <w:keepLines w:val="0"/>
              <w:pageBreakBefore w:val="0"/>
              <w:widowControl/>
              <w:suppressLineNumbers w:val="0"/>
              <w:kinsoku/>
              <w:overflowPunct/>
              <w:bidi w:val="0"/>
              <w:spacing w:line="360" w:lineRule="auto"/>
              <w:ind w:firstLine="480" w:firstLineChars="200"/>
              <w:jc w:val="left"/>
              <w:rPr>
                <w:rFonts w:hint="eastAsia" w:ascii="Times New Roman" w:hAnsi="Times New Roman" w:eastAsia="宋体" w:cs="Times New Roman"/>
                <w:b w:val="0"/>
                <w:bCs w:val="0"/>
                <w:color w:val="auto"/>
                <w:kern w:val="0"/>
                <w:sz w:val="24"/>
                <w:szCs w:val="24"/>
                <w:u w:val="none" w:color="auto"/>
                <w:lang w:val="en-US" w:eastAsia="zh-CN" w:bidi="ar"/>
              </w:rPr>
            </w:pPr>
            <w:r>
              <w:rPr>
                <w:rFonts w:hint="eastAsia" w:ascii="Times New Roman" w:hAnsi="Times New Roman" w:eastAsia="宋体" w:cs="Times New Roman"/>
                <w:b w:val="0"/>
                <w:bCs w:val="0"/>
                <w:color w:val="auto"/>
                <w:kern w:val="0"/>
                <w:sz w:val="24"/>
                <w:szCs w:val="24"/>
                <w:u w:val="none" w:color="auto"/>
                <w:lang w:val="en-US" w:eastAsia="zh-CN" w:bidi="ar"/>
              </w:rPr>
              <w:t>5）应配备通讯设备、照明设施、安全防护服装</w:t>
            </w:r>
            <w:r>
              <w:rPr>
                <w:rFonts w:hint="eastAsia" w:cs="Times New Roman"/>
                <w:b w:val="0"/>
                <w:bCs w:val="0"/>
                <w:color w:val="auto"/>
                <w:kern w:val="0"/>
                <w:sz w:val="24"/>
                <w:szCs w:val="24"/>
                <w:u w:val="none" w:color="auto"/>
                <w:lang w:val="en-US" w:eastAsia="zh-CN" w:bidi="ar"/>
              </w:rPr>
              <w:t>及工具</w:t>
            </w:r>
            <w:r>
              <w:rPr>
                <w:rFonts w:hint="eastAsia" w:ascii="Times New Roman" w:hAnsi="Times New Roman" w:eastAsia="宋体" w:cs="Times New Roman"/>
                <w:b w:val="0"/>
                <w:bCs w:val="0"/>
                <w:color w:val="auto"/>
                <w:kern w:val="0"/>
                <w:sz w:val="24"/>
                <w:szCs w:val="24"/>
                <w:u w:val="none" w:color="auto"/>
                <w:lang w:val="en-US" w:eastAsia="zh-CN" w:bidi="ar"/>
              </w:rPr>
              <w:t>，并设有报警装置和应急防护设施。</w:t>
            </w:r>
          </w:p>
          <w:p>
            <w:pPr>
              <w:keepNext w:val="0"/>
              <w:keepLines w:val="0"/>
              <w:pageBreakBefore w:val="0"/>
              <w:widowControl w:val="0"/>
              <w:kinsoku/>
              <w:wordWrap/>
              <w:overflowPunct/>
              <w:topLinePunct w:val="0"/>
              <w:autoSpaceDE w:val="0"/>
              <w:autoSpaceDN w:val="0"/>
              <w:bidi w:val="0"/>
              <w:adjustRightInd/>
              <w:snapToGrid/>
              <w:spacing w:line="360" w:lineRule="auto"/>
              <w:ind w:firstLine="482" w:firstLineChars="200"/>
              <w:textAlignment w:val="auto"/>
              <w:rPr>
                <w:rFonts w:cs="宋体"/>
                <w:b/>
                <w:bCs/>
                <w:color w:val="auto"/>
                <w:sz w:val="24"/>
                <w:szCs w:val="24"/>
                <w:lang w:bidi="zh-CN"/>
              </w:rPr>
            </w:pPr>
            <w:r>
              <w:rPr>
                <w:rFonts w:hint="eastAsia" w:cs="宋体"/>
                <w:b/>
                <w:bCs/>
                <w:color w:val="auto"/>
                <w:sz w:val="24"/>
                <w:szCs w:val="24"/>
                <w:lang w:bidi="zh-CN"/>
              </w:rPr>
              <w:t>（3）</w:t>
            </w:r>
            <w:r>
              <w:rPr>
                <w:rFonts w:cs="宋体"/>
                <w:b/>
                <w:bCs/>
                <w:color w:val="auto"/>
                <w:sz w:val="24"/>
                <w:szCs w:val="24"/>
                <w:lang w:bidi="zh-CN"/>
              </w:rPr>
              <w:t>运输过程环境影响分析</w:t>
            </w:r>
          </w:p>
          <w:p>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auto"/>
              <w:rPr>
                <w:rFonts w:cs="宋体"/>
                <w:color w:val="auto"/>
                <w:sz w:val="24"/>
                <w:szCs w:val="24"/>
                <w:lang w:bidi="zh-CN"/>
              </w:rPr>
            </w:pPr>
            <w:r>
              <w:rPr>
                <w:rFonts w:cs="宋体"/>
                <w:color w:val="auto"/>
                <w:sz w:val="24"/>
                <w:szCs w:val="24"/>
                <w:lang w:bidi="zh-CN"/>
              </w:rPr>
              <w:t>本项目危险固废全部委托有资质单位进行清运，由有资质单位在本项目场地进行收取，因此本项目不涉及危险固体废物运输过程环境影响分析。</w:t>
            </w:r>
          </w:p>
          <w:p>
            <w:pPr>
              <w:keepNext w:val="0"/>
              <w:keepLines w:val="0"/>
              <w:pageBreakBefore w:val="0"/>
              <w:widowControl/>
              <w:suppressLineNumbers w:val="0"/>
              <w:kinsoku/>
              <w:overflowPunct/>
              <w:bidi w:val="0"/>
              <w:spacing w:line="360" w:lineRule="auto"/>
              <w:ind w:firstLine="480" w:firstLineChars="200"/>
              <w:jc w:val="left"/>
              <w:rPr>
                <w:rFonts w:hint="eastAsia" w:cs="Times New Roman"/>
                <w:b w:val="0"/>
                <w:bCs w:val="0"/>
                <w:color w:val="auto"/>
                <w:kern w:val="0"/>
                <w:sz w:val="24"/>
                <w:szCs w:val="24"/>
                <w:u w:val="none" w:color="auto"/>
                <w:lang w:val="en-US" w:eastAsia="zh-CN" w:bidi="ar"/>
              </w:rPr>
            </w:pPr>
            <w:r>
              <w:rPr>
                <w:rFonts w:hint="eastAsia" w:cs="Times New Roman"/>
                <w:b w:val="0"/>
                <w:bCs w:val="0"/>
                <w:color w:val="auto"/>
                <w:kern w:val="0"/>
                <w:sz w:val="24"/>
                <w:szCs w:val="24"/>
                <w:u w:val="none" w:color="auto"/>
                <w:lang w:val="en-US" w:eastAsia="zh-CN" w:bidi="ar"/>
              </w:rPr>
              <w:t xml:space="preserve"> </w:t>
            </w:r>
            <w:r>
              <w:rPr>
                <w:rFonts w:hint="eastAsia" w:ascii="Times New Roman" w:hAnsi="Times New Roman" w:eastAsia="宋体" w:cs="Times New Roman"/>
                <w:b w:val="0"/>
                <w:bCs w:val="0"/>
                <w:color w:val="auto"/>
                <w:kern w:val="0"/>
                <w:sz w:val="24"/>
                <w:szCs w:val="24"/>
                <w:u w:val="none" w:color="auto"/>
                <w:lang w:val="en-US" w:eastAsia="zh-CN" w:bidi="ar"/>
              </w:rPr>
              <w:t>综上分析，本项目产生的各类固体废物均得到妥善的处理处置，只要做好厂区暂存设施的防治工作，严格按《危险废物转移联单制度》转移产生的危险废物，由有资质单位的运输车辆运输，固废对周边环境和运输沿途影响较小</w:t>
            </w:r>
            <w:r>
              <w:rPr>
                <w:rFonts w:hint="eastAsia" w:cs="Times New Roman"/>
                <w:b w:val="0"/>
                <w:bCs w:val="0"/>
                <w:color w:val="auto"/>
                <w:kern w:val="0"/>
                <w:sz w:val="24"/>
                <w:szCs w:val="24"/>
                <w:u w:val="none" w:color="auto"/>
                <w:lang w:val="en-US" w:eastAsia="zh-CN" w:bidi="ar"/>
              </w:rPr>
              <w:t>。</w:t>
            </w:r>
          </w:p>
          <w:p>
            <w:pPr>
              <w:keepNext w:val="0"/>
              <w:keepLines w:val="0"/>
              <w:pageBreakBefore w:val="0"/>
              <w:widowControl/>
              <w:suppressLineNumbers w:val="0"/>
              <w:kinsoku/>
              <w:overflowPunct/>
              <w:bidi w:val="0"/>
              <w:spacing w:line="360" w:lineRule="auto"/>
              <w:ind w:firstLine="482" w:firstLineChars="200"/>
              <w:jc w:val="left"/>
              <w:rPr>
                <w:rFonts w:hint="default" w:ascii="Times New Roman" w:hAnsi="Times New Roman" w:eastAsia="宋体" w:cs="Times New Roman"/>
                <w:color w:val="auto"/>
                <w:sz w:val="24"/>
                <w:szCs w:val="24"/>
                <w:u w:val="none" w:color="auto"/>
                <w:lang w:val="en-US"/>
              </w:rPr>
            </w:pPr>
            <w:r>
              <w:rPr>
                <w:rFonts w:hint="eastAsia" w:ascii="Times New Roman" w:hAnsi="Times New Roman" w:eastAsia="宋体" w:cs="Times New Roman"/>
                <w:b/>
                <w:bCs/>
                <w:color w:val="auto"/>
                <w:kern w:val="0"/>
                <w:sz w:val="24"/>
                <w:szCs w:val="24"/>
                <w:u w:val="none" w:color="auto"/>
                <w:lang w:val="en-US" w:eastAsia="zh-CN" w:bidi="ar"/>
              </w:rPr>
              <w:t>五</w:t>
            </w:r>
            <w:r>
              <w:rPr>
                <w:rFonts w:hint="default" w:ascii="Times New Roman" w:hAnsi="Times New Roman" w:eastAsia="宋体" w:cs="Times New Roman"/>
                <w:b/>
                <w:bCs/>
                <w:color w:val="auto"/>
                <w:kern w:val="0"/>
                <w:sz w:val="24"/>
                <w:szCs w:val="24"/>
                <w:u w:val="none" w:color="auto"/>
                <w:lang w:val="en-US" w:eastAsia="zh-CN" w:bidi="ar"/>
              </w:rPr>
              <w:t>、土壤</w:t>
            </w:r>
            <w:r>
              <w:rPr>
                <w:rFonts w:hint="eastAsia" w:cs="Times New Roman"/>
                <w:b/>
                <w:bCs/>
                <w:color w:val="auto"/>
                <w:kern w:val="0"/>
                <w:sz w:val="24"/>
                <w:szCs w:val="24"/>
                <w:u w:val="none" w:color="auto"/>
                <w:lang w:val="en-US" w:eastAsia="zh-CN" w:bidi="ar"/>
              </w:rPr>
              <w:t>和地下水环境影响分析</w:t>
            </w:r>
          </w:p>
          <w:p>
            <w:pPr>
              <w:pageBreakBefore w:val="0"/>
              <w:kinsoku/>
              <w:overflowPunct/>
              <w:bidi w:val="0"/>
              <w:spacing w:line="360" w:lineRule="auto"/>
              <w:ind w:firstLine="482" w:firstLineChars="200"/>
              <w:rPr>
                <w:rFonts w:hint="default" w:ascii="Times New Roman" w:hAnsi="Times New Roman" w:eastAsia="宋体" w:cs="Times New Roman"/>
                <w:b/>
                <w:bCs/>
                <w:color w:val="auto"/>
                <w:sz w:val="24"/>
                <w:szCs w:val="24"/>
                <w:u w:val="none" w:color="auto"/>
                <w:lang w:val="en-US" w:eastAsia="zh-CN"/>
              </w:rPr>
            </w:pPr>
            <w:r>
              <w:rPr>
                <w:rFonts w:hint="default" w:ascii="Times New Roman" w:hAnsi="Times New Roman" w:eastAsia="宋体" w:cs="Times New Roman"/>
                <w:b/>
                <w:bCs/>
                <w:color w:val="auto"/>
                <w:sz w:val="24"/>
                <w:szCs w:val="24"/>
                <w:u w:val="none" w:color="auto"/>
                <w:lang w:eastAsia="zh-CN"/>
              </w:rPr>
              <w:t>（1）地下水</w:t>
            </w:r>
            <w:r>
              <w:rPr>
                <w:rFonts w:hint="eastAsia" w:cs="Times New Roman"/>
                <w:b/>
                <w:bCs/>
                <w:color w:val="auto"/>
                <w:sz w:val="24"/>
                <w:szCs w:val="24"/>
                <w:u w:val="none" w:color="auto"/>
                <w:lang w:val="en-US" w:eastAsia="zh-CN"/>
              </w:rPr>
              <w:t>环境影响分析</w:t>
            </w:r>
          </w:p>
          <w:p>
            <w:pPr>
              <w:pageBreakBefore w:val="0"/>
              <w:kinsoku/>
              <w:overflowPunct/>
              <w:bidi w:val="0"/>
              <w:spacing w:line="360" w:lineRule="auto"/>
              <w:ind w:firstLine="480" w:firstLineChars="200"/>
              <w:rPr>
                <w:rFonts w:hint="default" w:ascii="Times New Roman" w:hAnsi="Times New Roman" w:eastAsia="宋体" w:cs="Times New Roman"/>
                <w:color w:val="auto"/>
                <w:sz w:val="24"/>
                <w:szCs w:val="24"/>
                <w:u w:val="none" w:color="auto"/>
                <w:lang w:eastAsia="zh-CN"/>
              </w:rPr>
            </w:pPr>
            <w:r>
              <w:rPr>
                <w:rFonts w:hint="default" w:ascii="Times New Roman" w:hAnsi="Times New Roman" w:eastAsia="宋体" w:cs="Times New Roman"/>
                <w:color w:val="auto"/>
                <w:sz w:val="24"/>
                <w:szCs w:val="24"/>
                <w:u w:val="none" w:color="auto"/>
                <w:lang w:eastAsia="zh-CN"/>
              </w:rPr>
              <w:t>污染物对地下水的影响主要是由于降雨或废水排放等通过垂直渗透进入包气带，进入包气带的污染物在物理、化学和生物作用下经吸附、转化、迁移和分解后进入地下水。因此，包气带是联接地面污染物与地下含水层的主要通道和过渡带，既是污染物媒介体，又是污染物的净化场所和防护层。地下水能否被污染以及污染物的种类和性质。一般说来，土壤粒细而紧密，渗透性差，则污染慢；反之，颗粒大松散，渗透性能良好则污染重。</w:t>
            </w:r>
          </w:p>
          <w:p>
            <w:pPr>
              <w:pageBreakBefore w:val="0"/>
              <w:kinsoku/>
              <w:overflowPunct/>
              <w:bidi w:val="0"/>
              <w:spacing w:line="360" w:lineRule="auto"/>
              <w:ind w:firstLine="480" w:firstLineChars="200"/>
              <w:rPr>
                <w:rFonts w:hint="default" w:ascii="Times New Roman" w:hAnsi="Times New Roman" w:eastAsia="宋体" w:cs="Times New Roman"/>
                <w:color w:val="auto"/>
                <w:sz w:val="24"/>
                <w:szCs w:val="24"/>
                <w:u w:val="none" w:color="auto"/>
                <w:lang w:eastAsia="zh-CN"/>
              </w:rPr>
            </w:pPr>
            <w:r>
              <w:rPr>
                <w:rFonts w:hint="default" w:ascii="Times New Roman" w:hAnsi="Times New Roman" w:eastAsia="宋体" w:cs="Times New Roman"/>
                <w:color w:val="auto"/>
                <w:sz w:val="24"/>
                <w:szCs w:val="24"/>
                <w:u w:val="none" w:color="auto"/>
                <w:lang w:eastAsia="zh-CN"/>
              </w:rPr>
              <w:t>a、地下水环境污染源及污染途径</w:t>
            </w:r>
          </w:p>
          <w:p>
            <w:pPr>
              <w:pageBreakBefore w:val="0"/>
              <w:kinsoku/>
              <w:overflowPunct/>
              <w:bidi w:val="0"/>
              <w:spacing w:line="360" w:lineRule="auto"/>
              <w:ind w:firstLine="480" w:firstLineChars="200"/>
              <w:rPr>
                <w:rFonts w:hint="default" w:ascii="Times New Roman" w:hAnsi="Times New Roman" w:eastAsia="宋体" w:cs="Times New Roman"/>
                <w:color w:val="auto"/>
                <w:sz w:val="24"/>
                <w:szCs w:val="24"/>
                <w:u w:val="none" w:color="auto"/>
                <w:lang w:eastAsia="zh-CN"/>
              </w:rPr>
            </w:pPr>
            <w:r>
              <w:rPr>
                <w:rFonts w:hint="default" w:ascii="Times New Roman" w:hAnsi="Times New Roman" w:eastAsia="宋体" w:cs="Times New Roman"/>
                <w:color w:val="auto"/>
                <w:sz w:val="24"/>
                <w:szCs w:val="24"/>
                <w:u w:val="none" w:color="auto"/>
                <w:lang w:eastAsia="zh-CN"/>
              </w:rPr>
              <w:t>污染物从污染源进入地下水所经过路径称为地下水污染途径，地下水污染途径是多种多样的。根据工程所处区域的地质情况，本项目可能对地下水造成污染的区域主要有：厂区雨污水管路系统、危废间、废水处理站等。</w:t>
            </w:r>
          </w:p>
          <w:p>
            <w:pPr>
              <w:pageBreakBefore w:val="0"/>
              <w:kinsoku/>
              <w:overflowPunct/>
              <w:bidi w:val="0"/>
              <w:spacing w:line="360" w:lineRule="auto"/>
              <w:ind w:firstLine="480" w:firstLineChars="200"/>
              <w:rPr>
                <w:rFonts w:hint="default" w:ascii="Times New Roman" w:hAnsi="Times New Roman" w:eastAsia="宋体" w:cs="Times New Roman"/>
                <w:color w:val="auto"/>
                <w:sz w:val="24"/>
                <w:szCs w:val="24"/>
                <w:u w:val="none" w:color="auto"/>
                <w:lang w:eastAsia="zh-CN"/>
              </w:rPr>
            </w:pPr>
            <w:r>
              <w:rPr>
                <w:rFonts w:hint="default" w:ascii="Times New Roman" w:hAnsi="Times New Roman" w:eastAsia="宋体" w:cs="Times New Roman"/>
                <w:color w:val="auto"/>
                <w:sz w:val="24"/>
                <w:szCs w:val="24"/>
                <w:u w:val="none" w:color="auto"/>
                <w:lang w:eastAsia="zh-CN"/>
              </w:rPr>
              <w:t>本项目设有危废仓库，危废仓库内主要为废电池、废动力蓄电池、废油液、废机油滤清器、废尾气化装置、废电路板、电子元器件、隔油池产生的废油、油泥等属于危险固废等，泄漏时存在污染地下水的可能，因此危废仓库地下水污染潜在风险源为石油类。</w:t>
            </w:r>
          </w:p>
          <w:p>
            <w:pPr>
              <w:pageBreakBefore w:val="0"/>
              <w:kinsoku/>
              <w:overflowPunct/>
              <w:bidi w:val="0"/>
              <w:spacing w:line="360" w:lineRule="auto"/>
              <w:ind w:firstLine="480" w:firstLineChars="200"/>
              <w:rPr>
                <w:rFonts w:hint="default" w:ascii="Times New Roman" w:hAnsi="Times New Roman" w:eastAsia="宋体" w:cs="Times New Roman"/>
                <w:color w:val="auto"/>
                <w:sz w:val="24"/>
                <w:szCs w:val="24"/>
                <w:u w:val="none" w:color="auto"/>
                <w:lang w:eastAsia="zh-CN"/>
              </w:rPr>
            </w:pPr>
            <w:r>
              <w:rPr>
                <w:rFonts w:hint="default" w:ascii="Times New Roman" w:hAnsi="Times New Roman" w:eastAsia="宋体" w:cs="Times New Roman"/>
                <w:color w:val="auto"/>
                <w:sz w:val="24"/>
                <w:szCs w:val="24"/>
                <w:u w:val="none" w:color="auto"/>
                <w:lang w:eastAsia="zh-CN"/>
              </w:rPr>
              <w:t>项目初期雨水和冲洗废水经废水处理设施处理达标后外排到</w:t>
            </w:r>
            <w:r>
              <w:rPr>
                <w:rFonts w:hint="eastAsia" w:cs="Times New Roman"/>
                <w:color w:val="auto"/>
                <w:sz w:val="24"/>
                <w:szCs w:val="24"/>
                <w:u w:val="none" w:color="auto"/>
                <w:lang w:val="en-US" w:eastAsia="zh-CN"/>
              </w:rPr>
              <w:t>园区污水管网</w:t>
            </w:r>
            <w:r>
              <w:rPr>
                <w:rFonts w:hint="default" w:ascii="Times New Roman" w:hAnsi="Times New Roman" w:eastAsia="宋体" w:cs="Times New Roman"/>
                <w:color w:val="auto"/>
                <w:sz w:val="24"/>
                <w:szCs w:val="24"/>
                <w:u w:val="none" w:color="auto"/>
                <w:lang w:eastAsia="zh-CN"/>
              </w:rPr>
              <w:t>。废水中主要污染因子为 COD、SS、石油类等。污水产生及输送过程中，因跑、冒、滴、漏等环节而发生渗入地下的污水量很小，对区域的地下水质影响较小。</w:t>
            </w:r>
          </w:p>
          <w:p>
            <w:pPr>
              <w:pageBreakBefore w:val="0"/>
              <w:kinsoku/>
              <w:overflowPunct/>
              <w:bidi w:val="0"/>
              <w:spacing w:line="360" w:lineRule="auto"/>
              <w:ind w:firstLine="480" w:firstLineChars="200"/>
              <w:rPr>
                <w:rFonts w:hint="default" w:ascii="Times New Roman" w:hAnsi="Times New Roman" w:eastAsia="宋体" w:cs="Times New Roman"/>
                <w:color w:val="auto"/>
                <w:sz w:val="24"/>
                <w:szCs w:val="24"/>
                <w:u w:val="none" w:color="auto"/>
                <w:lang w:eastAsia="zh-CN"/>
              </w:rPr>
            </w:pPr>
            <w:r>
              <w:rPr>
                <w:rFonts w:hint="default" w:ascii="Times New Roman" w:hAnsi="Times New Roman" w:eastAsia="宋体" w:cs="Times New Roman"/>
                <w:color w:val="auto"/>
                <w:sz w:val="24"/>
                <w:szCs w:val="24"/>
                <w:u w:val="none" w:color="auto"/>
                <w:lang w:eastAsia="zh-CN"/>
              </w:rPr>
              <w:t>b、地下水污染控制措施</w:t>
            </w:r>
          </w:p>
          <w:p>
            <w:pPr>
              <w:pageBreakBefore w:val="0"/>
              <w:kinsoku/>
              <w:overflowPunct/>
              <w:bidi w:val="0"/>
              <w:spacing w:line="360" w:lineRule="auto"/>
              <w:ind w:firstLine="480" w:firstLineChars="200"/>
              <w:rPr>
                <w:rFonts w:hint="default" w:ascii="Times New Roman" w:hAnsi="Times New Roman" w:eastAsia="宋体" w:cs="Times New Roman"/>
                <w:color w:val="auto"/>
                <w:sz w:val="24"/>
                <w:szCs w:val="24"/>
                <w:u w:val="none" w:color="auto"/>
                <w:lang w:eastAsia="zh-CN"/>
              </w:rPr>
            </w:pPr>
            <w:r>
              <w:rPr>
                <w:rFonts w:hint="default" w:ascii="Times New Roman" w:hAnsi="Times New Roman" w:eastAsia="宋体" w:cs="Times New Roman"/>
                <w:color w:val="auto"/>
                <w:sz w:val="24"/>
                <w:szCs w:val="24"/>
                <w:u w:val="none" w:color="auto"/>
                <w:lang w:eastAsia="zh-CN"/>
              </w:rPr>
              <w:t>本项目危废仓库主要是废电池、废动力蓄电池、废油液、废机油滤清器、废尾气浄化装置、废电路板、电子元器件、隔油池产生的废油、油泥等。污染物对地下水的影响主要是由于降雨或废水排放等通过垂直渗透进入包气带，进入包气带的污染物在物理、化学和生物作用下经吸附、转化、迁移和分解后输入地下水。本项目固废仓库地面及墙采用防渗防腐涂料，其上覆以地砖以便于冲洗。同时生产车间及厂房周围全部硬化成防渗地面，防止地面污水下渗污染。</w:t>
            </w:r>
          </w:p>
          <w:p>
            <w:pPr>
              <w:pageBreakBefore w:val="0"/>
              <w:kinsoku/>
              <w:overflowPunct/>
              <w:bidi w:val="0"/>
              <w:spacing w:line="360" w:lineRule="auto"/>
              <w:ind w:firstLine="480" w:firstLineChars="200"/>
              <w:rPr>
                <w:rFonts w:hint="default" w:ascii="Times New Roman" w:hAnsi="Times New Roman" w:eastAsia="宋体" w:cs="Times New Roman"/>
                <w:color w:val="auto"/>
                <w:sz w:val="24"/>
                <w:szCs w:val="24"/>
                <w:u w:val="none" w:color="auto"/>
                <w:lang w:eastAsia="zh-CN"/>
              </w:rPr>
            </w:pPr>
            <w:r>
              <w:rPr>
                <w:rFonts w:hint="default" w:ascii="Times New Roman" w:hAnsi="Times New Roman" w:eastAsia="宋体" w:cs="Times New Roman"/>
                <w:color w:val="auto"/>
                <w:sz w:val="24"/>
                <w:szCs w:val="24"/>
                <w:u w:val="none" w:color="auto"/>
                <w:lang w:eastAsia="zh-CN"/>
              </w:rPr>
              <w:t>本项目拆解区地面采取粘土铺底，再在上层铺设 10～15cm 的水泥进行硬化，并铺环氧树脂防渗过滤池、应急池均用水泥硬化，四周壁用砖砌再用水泥硬化防渗，全池涂环氧树脂防腐防渗。通过上述措施可使重点污染区各单元防渗层渗透系数≤10-10cm/s。在有可能发生渗漏的区域均做好了防渗措施，因此，对厂区周围地下水影响较小。</w:t>
            </w:r>
          </w:p>
          <w:p>
            <w:pPr>
              <w:pageBreakBefore w:val="0"/>
              <w:kinsoku/>
              <w:overflowPunct/>
              <w:bidi w:val="0"/>
              <w:spacing w:line="360" w:lineRule="auto"/>
              <w:ind w:firstLine="480" w:firstLineChars="200"/>
              <w:rPr>
                <w:rFonts w:hint="default" w:ascii="Times New Roman" w:hAnsi="Times New Roman" w:eastAsia="宋体" w:cs="Times New Roman"/>
                <w:color w:val="auto"/>
                <w:sz w:val="24"/>
                <w:szCs w:val="24"/>
                <w:u w:val="none" w:color="auto"/>
                <w:lang w:eastAsia="zh-CN"/>
              </w:rPr>
            </w:pPr>
            <w:r>
              <w:rPr>
                <w:rFonts w:hint="default" w:ascii="Times New Roman" w:hAnsi="Times New Roman" w:eastAsia="宋体" w:cs="Times New Roman"/>
                <w:color w:val="auto"/>
                <w:sz w:val="24"/>
                <w:szCs w:val="24"/>
                <w:u w:val="none" w:color="auto"/>
                <w:lang w:eastAsia="zh-CN"/>
              </w:rPr>
              <w:t>由污染途径及对应措施分析可知，项目对可能产生地下水影响的各项途径均进行有效预防，在确保各项防渗措施得以落实，并加强维护和厂区环境管理的前提下，可有效控制厂区内的废水污染物下渗现象，避免污染地下水，因此项目不会对区域地下水环境产生明显影响。</w:t>
            </w:r>
          </w:p>
          <w:p>
            <w:pPr>
              <w:pStyle w:val="5"/>
              <w:keepNext/>
              <w:keepLines/>
              <w:pageBreakBefore w:val="0"/>
              <w:widowControl w:val="0"/>
              <w:kinsoku/>
              <w:wordWrap/>
              <w:overflowPunct/>
              <w:topLinePunct w:val="0"/>
              <w:autoSpaceDE/>
              <w:autoSpaceDN/>
              <w:bidi w:val="0"/>
              <w:adjustRightInd/>
              <w:snapToGrid/>
              <w:spacing w:before="0" w:beforeLines="0" w:after="0" w:afterLines="0"/>
              <w:ind w:firstLine="482" w:firstLineChars="200"/>
              <w:textAlignment w:val="auto"/>
              <w:rPr>
                <w:rFonts w:hint="default" w:ascii="Times New Roman" w:hAnsi="Times New Roman" w:eastAsia="宋体" w:cs="Times New Roman"/>
                <w:b/>
                <w:bCs/>
                <w:color w:val="auto"/>
                <w:sz w:val="24"/>
                <w:szCs w:val="24"/>
                <w:u w:val="none" w:color="auto"/>
                <w:lang w:val="en-US" w:eastAsia="zh-CN"/>
              </w:rPr>
            </w:pPr>
            <w:r>
              <w:rPr>
                <w:rFonts w:hint="default" w:ascii="Times New Roman" w:hAnsi="Times New Roman" w:eastAsia="宋体" w:cs="Times New Roman"/>
                <w:b/>
                <w:bCs/>
                <w:color w:val="auto"/>
                <w:sz w:val="24"/>
                <w:szCs w:val="24"/>
                <w:u w:val="none" w:color="auto"/>
                <w:lang w:eastAsia="zh-CN"/>
              </w:rPr>
              <w:t>（2）土壤</w:t>
            </w:r>
            <w:r>
              <w:rPr>
                <w:rFonts w:hint="eastAsia" w:cs="Times New Roman"/>
                <w:b/>
                <w:bCs/>
                <w:color w:val="auto"/>
                <w:sz w:val="24"/>
                <w:szCs w:val="24"/>
                <w:u w:val="none" w:color="auto"/>
                <w:lang w:val="en-US" w:eastAsia="zh-CN"/>
              </w:rPr>
              <w:t>环境影响分析</w:t>
            </w:r>
          </w:p>
          <w:p>
            <w:pPr>
              <w:pStyle w:val="5"/>
              <w:keepNext/>
              <w:keepLines/>
              <w:pageBreakBefore w:val="0"/>
              <w:widowControl w:val="0"/>
              <w:kinsoku/>
              <w:wordWrap/>
              <w:overflowPunct/>
              <w:topLinePunct w:val="0"/>
              <w:autoSpaceDE/>
              <w:autoSpaceDN/>
              <w:bidi w:val="0"/>
              <w:adjustRightInd/>
              <w:snapToGrid/>
              <w:spacing w:before="0" w:beforeLines="0" w:after="0" w:afterLines="0"/>
              <w:ind w:firstLine="480" w:firstLineChars="200"/>
              <w:textAlignment w:val="auto"/>
              <w:rPr>
                <w:rFonts w:hint="default" w:ascii="Times New Roman" w:hAnsi="Times New Roman" w:eastAsia="宋体" w:cs="Times New Roman"/>
                <w:b w:val="0"/>
                <w:bCs w:val="0"/>
                <w:color w:val="auto"/>
                <w:sz w:val="24"/>
                <w:szCs w:val="24"/>
                <w:u w:val="none" w:color="auto"/>
                <w:lang w:eastAsia="zh-CN"/>
              </w:rPr>
            </w:pPr>
            <w:r>
              <w:rPr>
                <w:rFonts w:hint="default" w:ascii="Times New Roman" w:hAnsi="Times New Roman" w:eastAsia="宋体" w:cs="Times New Roman"/>
                <w:b w:val="0"/>
                <w:bCs w:val="0"/>
                <w:color w:val="auto"/>
                <w:sz w:val="24"/>
                <w:szCs w:val="24"/>
                <w:u w:val="none" w:color="auto"/>
                <w:lang w:eastAsia="zh-CN"/>
              </w:rPr>
              <w:t>本项目危废仓库在使用过程中有可能由于跑冒滴漏、雨水的浸淋、溢流等，会污染土壤。现有项目对整个厂区地面进行硬化处理，并对重点区域做好了防渗处置，防渗措施均按照设计要求进行，采取严格的防渗、防溢流等措施，正常状况下，项目潜在土壤污染源不会对土壤造成污染。项目设有危废仓库，将严格按照《危险废物贮存污染控制标准》（GB18597-20</w:t>
            </w:r>
            <w:r>
              <w:rPr>
                <w:rFonts w:hint="eastAsia" w:cs="Times New Roman"/>
                <w:b w:val="0"/>
                <w:bCs w:val="0"/>
                <w:color w:val="auto"/>
                <w:sz w:val="24"/>
                <w:szCs w:val="24"/>
                <w:u w:val="none" w:color="auto"/>
                <w:lang w:val="en-US" w:eastAsia="zh-CN"/>
              </w:rPr>
              <w:t>23</w:t>
            </w:r>
            <w:r>
              <w:rPr>
                <w:rFonts w:hint="default" w:ascii="Times New Roman" w:hAnsi="Times New Roman" w:eastAsia="宋体" w:cs="Times New Roman"/>
                <w:b w:val="0"/>
                <w:bCs w:val="0"/>
                <w:color w:val="auto"/>
                <w:sz w:val="24"/>
                <w:szCs w:val="24"/>
                <w:u w:val="none" w:color="auto"/>
                <w:lang w:eastAsia="zh-CN"/>
              </w:rPr>
              <w:t>）的要求建设和维护使用，危废间内设有截流措施，并且暂存的危险废物均定期送有资质单位进行处置，可有效控制厂区内的废水污染物下渗现象，避免污染土壤，因此项目不会对区域地下水环境产生明显影响。</w:t>
            </w:r>
          </w:p>
          <w:p>
            <w:pPr>
              <w:pStyle w:val="5"/>
              <w:keepNext/>
              <w:keepLines/>
              <w:pageBreakBefore w:val="0"/>
              <w:widowControl w:val="0"/>
              <w:kinsoku/>
              <w:wordWrap/>
              <w:overflowPunct/>
              <w:topLinePunct w:val="0"/>
              <w:autoSpaceDE/>
              <w:autoSpaceDN/>
              <w:bidi w:val="0"/>
              <w:adjustRightInd/>
              <w:snapToGrid/>
              <w:spacing w:before="0" w:beforeLines="0" w:after="0" w:afterLines="0"/>
              <w:ind w:firstLine="480" w:firstLineChars="200"/>
              <w:textAlignment w:val="auto"/>
              <w:rPr>
                <w:rFonts w:hint="default" w:ascii="Times New Roman" w:hAnsi="Times New Roman" w:eastAsia="宋体" w:cs="Times New Roman"/>
                <w:b w:val="0"/>
                <w:bCs w:val="0"/>
                <w:color w:val="auto"/>
                <w:sz w:val="24"/>
                <w:szCs w:val="24"/>
                <w:u w:val="none" w:color="auto"/>
                <w:lang w:eastAsia="zh-CN"/>
              </w:rPr>
            </w:pPr>
            <w:r>
              <w:rPr>
                <w:rFonts w:hint="default" w:ascii="Times New Roman" w:hAnsi="Times New Roman" w:eastAsia="宋体" w:cs="Times New Roman"/>
                <w:b w:val="0"/>
                <w:bCs w:val="0"/>
                <w:color w:val="auto"/>
                <w:sz w:val="24"/>
                <w:szCs w:val="24"/>
                <w:u w:val="none" w:color="auto"/>
                <w:lang w:eastAsia="zh-CN"/>
              </w:rPr>
              <w:t>现有项目对拆解车间、危废暂存库、污水收集及处理设施等地面进行硬化、防渗处理，并设置相应的围堰、收集沟和事故池，一旦发生泄漏可以及时收集， 避免污染地下水。采用本评价地下水污染防治措施参考《危险废物填埋污染控制标准》(GB 18597-20</w:t>
            </w:r>
            <w:r>
              <w:rPr>
                <w:rFonts w:hint="eastAsia" w:cs="Times New Roman"/>
                <w:b w:val="0"/>
                <w:bCs w:val="0"/>
                <w:color w:val="auto"/>
                <w:sz w:val="24"/>
                <w:szCs w:val="24"/>
                <w:u w:val="none" w:color="auto"/>
                <w:lang w:val="en-US" w:eastAsia="zh-CN"/>
              </w:rPr>
              <w:t>23</w:t>
            </w:r>
            <w:r>
              <w:rPr>
                <w:rFonts w:hint="default" w:ascii="Times New Roman" w:hAnsi="Times New Roman" w:eastAsia="宋体" w:cs="Times New Roman"/>
                <w:b w:val="0"/>
                <w:bCs w:val="0"/>
                <w:color w:val="auto"/>
                <w:sz w:val="24"/>
                <w:szCs w:val="24"/>
                <w:u w:val="none" w:color="auto"/>
                <w:lang w:eastAsia="zh-CN"/>
              </w:rPr>
              <w:t>）、《危险废物安全填埋处置工程建设技术要求》（环发（2004) 75 号）、《石油化工企业防渗设计通则》(QSY1303-2010）、《石油化工防渗工程技术规范》 ( GB/T0934-2013）等相关要求，同时考虑项目所在的工程地质、水文地质条件，将本项目划分为重点污染防渗区、一般防渗区和简单防渗区，具体见</w:t>
            </w:r>
            <w:r>
              <w:rPr>
                <w:rFonts w:hint="eastAsia" w:cs="Times New Roman"/>
                <w:b w:val="0"/>
                <w:bCs w:val="0"/>
                <w:color w:val="auto"/>
                <w:sz w:val="24"/>
                <w:szCs w:val="24"/>
                <w:u w:val="none" w:color="auto"/>
                <w:lang w:val="en-US" w:eastAsia="zh-CN"/>
              </w:rPr>
              <w:t>下</w:t>
            </w:r>
            <w:r>
              <w:rPr>
                <w:rFonts w:hint="default" w:ascii="Times New Roman" w:hAnsi="Times New Roman" w:eastAsia="宋体" w:cs="Times New Roman"/>
                <w:b w:val="0"/>
                <w:bCs w:val="0"/>
                <w:color w:val="auto"/>
                <w:sz w:val="24"/>
                <w:szCs w:val="24"/>
                <w:u w:val="none" w:color="auto"/>
                <w:lang w:eastAsia="zh-CN"/>
              </w:rPr>
              <w:t>表。</w:t>
            </w:r>
          </w:p>
          <w:p>
            <w:pPr>
              <w:pStyle w:val="15"/>
              <w:keepNext w:val="0"/>
              <w:keepLines w:val="0"/>
              <w:pageBreakBefore w:val="0"/>
              <w:widowControl/>
              <w:kinsoku/>
              <w:wordWrap/>
              <w:overflowPunct/>
              <w:topLinePunct w:val="0"/>
              <w:autoSpaceDE/>
              <w:autoSpaceDN/>
              <w:bidi w:val="0"/>
              <w:adjustRightInd/>
              <w:snapToGrid/>
              <w:spacing w:before="0" w:beforeAutospacing="0" w:after="0" w:afterAutospacing="0" w:line="240" w:lineRule="auto"/>
              <w:jc w:val="center"/>
              <w:textAlignment w:val="auto"/>
              <w:outlineLvl w:val="0"/>
              <w:rPr>
                <w:rFonts w:hint="default" w:ascii="Times New Roman" w:hAnsi="Times New Roman" w:eastAsia="宋体" w:cs="Times New Roman"/>
                <w:b/>
                <w:bCs/>
                <w:color w:val="auto"/>
                <w:kern w:val="2"/>
                <w:sz w:val="21"/>
                <w:szCs w:val="21"/>
                <w:lang w:val="en-US" w:eastAsia="zh-CN" w:bidi="ar-SA"/>
              </w:rPr>
            </w:pPr>
            <w:r>
              <w:rPr>
                <w:rFonts w:hint="default" w:ascii="Times New Roman" w:hAnsi="Times New Roman" w:eastAsia="宋体" w:cs="Times New Roman"/>
                <w:b/>
                <w:bCs/>
                <w:color w:val="auto"/>
                <w:kern w:val="2"/>
                <w:sz w:val="21"/>
                <w:szCs w:val="21"/>
                <w:lang w:val="en-US" w:eastAsia="zh-CN" w:bidi="ar-SA"/>
              </w:rPr>
              <w:t>表</w:t>
            </w:r>
            <w:r>
              <w:rPr>
                <w:rFonts w:hint="eastAsia" w:ascii="Times New Roman" w:hAnsi="Times New Roman" w:eastAsia="宋体" w:cs="Times New Roman"/>
                <w:b/>
                <w:bCs/>
                <w:color w:val="auto"/>
                <w:kern w:val="2"/>
                <w:sz w:val="21"/>
                <w:szCs w:val="21"/>
                <w:lang w:val="en-US" w:eastAsia="zh-CN" w:bidi="ar-SA"/>
              </w:rPr>
              <w:t xml:space="preserve">4-18 </w:t>
            </w:r>
            <w:r>
              <w:rPr>
                <w:rFonts w:hint="default" w:ascii="Times New Roman" w:hAnsi="Times New Roman" w:eastAsia="宋体" w:cs="Times New Roman"/>
                <w:b/>
                <w:bCs/>
                <w:color w:val="auto"/>
                <w:kern w:val="2"/>
                <w:sz w:val="21"/>
                <w:szCs w:val="21"/>
                <w:lang w:val="en-US" w:eastAsia="zh-CN" w:bidi="ar-SA"/>
              </w:rPr>
              <w:t>项目厂区污染防治分区一览表</w:t>
            </w:r>
          </w:p>
          <w:tbl>
            <w:tblPr>
              <w:tblStyle w:val="19"/>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426"/>
              <w:gridCol w:w="847"/>
              <w:gridCol w:w="2492"/>
              <w:gridCol w:w="1715"/>
              <w:gridCol w:w="255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49"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u w:val="none" w:color="auto"/>
                      <w:vertAlign w:val="baseline"/>
                      <w:lang w:val="en-US" w:eastAsia="zh-CN"/>
                    </w:rPr>
                  </w:pPr>
                  <w:r>
                    <w:rPr>
                      <w:rFonts w:hint="eastAsia" w:cs="Times New Roman"/>
                      <w:b w:val="0"/>
                      <w:bCs w:val="0"/>
                      <w:color w:val="auto"/>
                      <w:sz w:val="21"/>
                      <w:szCs w:val="21"/>
                      <w:u w:val="none" w:color="auto"/>
                      <w:vertAlign w:val="baseline"/>
                      <w:lang w:val="en-US" w:eastAsia="zh-CN"/>
                    </w:rPr>
                    <w:t>编号</w:t>
                  </w:r>
                </w:p>
              </w:tc>
              <w:tc>
                <w:tcPr>
                  <w:tcW w:w="531"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u w:val="none" w:color="auto"/>
                      <w:vertAlign w:val="baseline"/>
                      <w:lang w:val="en-US" w:eastAsia="zh-CN"/>
                    </w:rPr>
                  </w:pPr>
                  <w:r>
                    <w:rPr>
                      <w:rFonts w:hint="eastAsia" w:cs="Times New Roman"/>
                      <w:b w:val="0"/>
                      <w:bCs w:val="0"/>
                      <w:color w:val="auto"/>
                      <w:sz w:val="21"/>
                      <w:szCs w:val="21"/>
                      <w:u w:val="none" w:color="auto"/>
                      <w:vertAlign w:val="baseline"/>
                      <w:lang w:val="en-US" w:eastAsia="zh-CN"/>
                    </w:rPr>
                    <w:t>防治区分区</w:t>
                  </w:r>
                </w:p>
              </w:tc>
              <w:tc>
                <w:tcPr>
                  <w:tcW w:w="1554"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u w:val="none" w:color="auto"/>
                      <w:vertAlign w:val="baseline"/>
                      <w:lang w:val="en-US" w:eastAsia="zh-CN"/>
                    </w:rPr>
                  </w:pPr>
                  <w:r>
                    <w:rPr>
                      <w:rFonts w:hint="default" w:ascii="Times New Roman" w:hAnsi="Times New Roman" w:eastAsia="宋体" w:cs="Times New Roman"/>
                      <w:b w:val="0"/>
                      <w:bCs w:val="0"/>
                      <w:color w:val="auto"/>
                      <w:sz w:val="21"/>
                      <w:szCs w:val="21"/>
                      <w:u w:val="none" w:color="auto"/>
                      <w:vertAlign w:val="baseline"/>
                      <w:lang w:val="en-US" w:eastAsia="zh-CN"/>
                    </w:rPr>
                    <w:t xml:space="preserve">装置或构筑物名称 </w:t>
                  </w:r>
                </w:p>
              </w:tc>
              <w:tc>
                <w:tcPr>
                  <w:tcW w:w="1070"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u w:val="none" w:color="auto"/>
                      <w:vertAlign w:val="baseline"/>
                      <w:lang w:val="en-US" w:eastAsia="zh-CN"/>
                    </w:rPr>
                  </w:pPr>
                  <w:r>
                    <w:rPr>
                      <w:rFonts w:hint="default" w:ascii="Times New Roman" w:hAnsi="Times New Roman" w:eastAsia="宋体" w:cs="Times New Roman"/>
                      <w:b w:val="0"/>
                      <w:bCs w:val="0"/>
                      <w:color w:val="auto"/>
                      <w:sz w:val="21"/>
                      <w:szCs w:val="21"/>
                      <w:u w:val="none" w:color="auto"/>
                      <w:vertAlign w:val="baseline"/>
                      <w:lang w:val="en-US" w:eastAsia="zh-CN"/>
                    </w:rPr>
                    <w:t xml:space="preserve">防渗区域 </w:t>
                  </w:r>
                </w:p>
              </w:tc>
              <w:tc>
                <w:tcPr>
                  <w:tcW w:w="1593"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u w:val="none" w:color="auto"/>
                      <w:vertAlign w:val="baseline"/>
                      <w:lang w:val="en-US" w:eastAsia="zh-CN"/>
                    </w:rPr>
                  </w:pPr>
                  <w:r>
                    <w:rPr>
                      <w:rFonts w:hint="default" w:ascii="Times New Roman" w:hAnsi="Times New Roman" w:eastAsia="宋体" w:cs="Times New Roman"/>
                      <w:b w:val="0"/>
                      <w:bCs w:val="0"/>
                      <w:color w:val="auto"/>
                      <w:sz w:val="21"/>
                      <w:szCs w:val="21"/>
                      <w:u w:val="none" w:color="auto"/>
                      <w:vertAlign w:val="baseline"/>
                      <w:lang w:val="en-US" w:eastAsia="zh-CN"/>
                    </w:rPr>
                    <w:t>防渗要求</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49"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u w:val="none" w:color="auto"/>
                      <w:vertAlign w:val="baseline"/>
                      <w:lang w:val="en-US" w:eastAsia="zh-CN"/>
                    </w:rPr>
                  </w:pPr>
                  <w:r>
                    <w:rPr>
                      <w:rFonts w:hint="eastAsia" w:cs="Times New Roman"/>
                      <w:b w:val="0"/>
                      <w:bCs w:val="0"/>
                      <w:color w:val="auto"/>
                      <w:sz w:val="21"/>
                      <w:szCs w:val="21"/>
                      <w:u w:val="none" w:color="auto"/>
                      <w:vertAlign w:val="baseline"/>
                      <w:lang w:val="en-US" w:eastAsia="zh-CN"/>
                    </w:rPr>
                    <w:t>1</w:t>
                  </w:r>
                </w:p>
              </w:tc>
              <w:tc>
                <w:tcPr>
                  <w:tcW w:w="531" w:type="pct"/>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u w:val="none" w:color="auto"/>
                      <w:vertAlign w:val="baseline"/>
                      <w:lang w:val="en-US" w:eastAsia="zh-CN"/>
                    </w:rPr>
                  </w:pPr>
                  <w:r>
                    <w:rPr>
                      <w:rFonts w:hint="default" w:ascii="Times New Roman" w:hAnsi="Times New Roman" w:eastAsia="宋体" w:cs="Times New Roman"/>
                      <w:b w:val="0"/>
                      <w:bCs w:val="0"/>
                      <w:color w:val="auto"/>
                      <w:sz w:val="21"/>
                      <w:szCs w:val="21"/>
                      <w:u w:val="none" w:color="auto"/>
                      <w:vertAlign w:val="baseline"/>
                      <w:lang w:val="en-US" w:eastAsia="zh-CN"/>
                    </w:rPr>
                    <w:t>重点防渗区</w:t>
                  </w:r>
                </w:p>
              </w:tc>
              <w:tc>
                <w:tcPr>
                  <w:tcW w:w="1554"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u w:val="none" w:color="auto"/>
                      <w:vertAlign w:val="baseline"/>
                      <w:lang w:val="en-US" w:eastAsia="zh-CN"/>
                    </w:rPr>
                  </w:pPr>
                  <w:r>
                    <w:rPr>
                      <w:rFonts w:hint="eastAsia" w:cs="Times New Roman"/>
                      <w:b w:val="0"/>
                      <w:bCs w:val="0"/>
                      <w:color w:val="auto"/>
                      <w:sz w:val="21"/>
                      <w:szCs w:val="21"/>
                      <w:u w:val="none" w:color="auto"/>
                      <w:vertAlign w:val="baseline"/>
                      <w:lang w:val="en-US" w:eastAsia="zh-CN"/>
                    </w:rPr>
                    <w:t>污水处理站、初期雨水收集池</w:t>
                  </w:r>
                </w:p>
              </w:tc>
              <w:tc>
                <w:tcPr>
                  <w:tcW w:w="1070"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u w:val="none" w:color="auto"/>
                      <w:vertAlign w:val="baseline"/>
                      <w:lang w:val="en-US" w:eastAsia="zh-CN"/>
                    </w:rPr>
                  </w:pPr>
                  <w:r>
                    <w:rPr>
                      <w:rFonts w:hint="eastAsia" w:cs="Times New Roman"/>
                      <w:b w:val="0"/>
                      <w:bCs w:val="0"/>
                      <w:color w:val="auto"/>
                      <w:sz w:val="21"/>
                      <w:szCs w:val="21"/>
                      <w:u w:val="none" w:color="auto"/>
                      <w:vertAlign w:val="baseline"/>
                      <w:lang w:val="en-US" w:eastAsia="zh-CN"/>
                    </w:rPr>
                    <w:t>底部、水池四周</w:t>
                  </w:r>
                </w:p>
              </w:tc>
              <w:tc>
                <w:tcPr>
                  <w:tcW w:w="1593" w:type="pct"/>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u w:val="none" w:color="auto"/>
                      <w:vertAlign w:val="baseline"/>
                      <w:lang w:val="en-US" w:eastAsia="zh-CN"/>
                    </w:rPr>
                  </w:pPr>
                  <w:r>
                    <w:rPr>
                      <w:rFonts w:hint="default" w:ascii="Times New Roman" w:hAnsi="Times New Roman" w:eastAsia="宋体" w:cs="Times New Roman"/>
                      <w:b w:val="0"/>
                      <w:bCs w:val="0"/>
                      <w:color w:val="auto"/>
                      <w:sz w:val="21"/>
                      <w:szCs w:val="21"/>
                      <w:u w:val="none" w:color="auto"/>
                      <w:vertAlign w:val="baseline"/>
                      <w:lang w:val="en-US" w:eastAsia="zh-CN"/>
                    </w:rPr>
                    <w:t>等效黏土防渗层 Mb≧6.0m，K≦1</w:t>
                  </w:r>
                  <w:r>
                    <w:rPr>
                      <w:rFonts w:hint="eastAsia" w:cs="Times New Roman"/>
                      <w:b w:val="0"/>
                      <w:bCs w:val="0"/>
                      <w:color w:val="auto"/>
                      <w:sz w:val="21"/>
                      <w:szCs w:val="21"/>
                      <w:u w:val="none" w:color="auto"/>
                      <w:vertAlign w:val="baseline"/>
                      <w:lang w:val="en-US" w:eastAsia="zh-CN"/>
                    </w:rPr>
                    <w:t>×</w:t>
                  </w:r>
                  <w:r>
                    <w:rPr>
                      <w:rFonts w:hint="default" w:ascii="Times New Roman" w:hAnsi="Times New Roman" w:eastAsia="宋体" w:cs="Times New Roman"/>
                      <w:b w:val="0"/>
                      <w:bCs w:val="0"/>
                      <w:color w:val="auto"/>
                      <w:sz w:val="21"/>
                      <w:szCs w:val="21"/>
                      <w:u w:val="none" w:color="auto"/>
                      <w:vertAlign w:val="baseline"/>
                      <w:lang w:val="en-US" w:eastAsia="zh-CN"/>
                    </w:rPr>
                    <w:t>10</w:t>
                  </w:r>
                  <w:r>
                    <w:rPr>
                      <w:rFonts w:hint="default" w:ascii="Times New Roman" w:hAnsi="Times New Roman" w:eastAsia="宋体" w:cs="Times New Roman"/>
                      <w:b w:val="0"/>
                      <w:bCs w:val="0"/>
                      <w:color w:val="auto"/>
                      <w:sz w:val="21"/>
                      <w:szCs w:val="21"/>
                      <w:u w:val="none" w:color="auto"/>
                      <w:vertAlign w:val="superscript"/>
                      <w:lang w:val="en-US" w:eastAsia="zh-CN"/>
                    </w:rPr>
                    <w:t>-7</w:t>
                  </w:r>
                  <w:r>
                    <w:rPr>
                      <w:rFonts w:hint="default" w:ascii="Times New Roman" w:hAnsi="Times New Roman" w:eastAsia="宋体" w:cs="Times New Roman"/>
                      <w:b w:val="0"/>
                      <w:bCs w:val="0"/>
                      <w:color w:val="auto"/>
                      <w:sz w:val="21"/>
                      <w:szCs w:val="21"/>
                      <w:u w:val="none" w:color="auto"/>
                      <w:vertAlign w:val="baseline"/>
                      <w:lang w:val="en-US" w:eastAsia="zh-CN"/>
                    </w:rPr>
                    <w:t xml:space="preserve"> ；或参照执行GBI6889 执行</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49"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u w:val="none" w:color="auto"/>
                      <w:vertAlign w:val="baseline"/>
                      <w:lang w:val="en-US" w:eastAsia="zh-CN"/>
                    </w:rPr>
                  </w:pPr>
                  <w:r>
                    <w:rPr>
                      <w:rFonts w:hint="eastAsia" w:cs="Times New Roman"/>
                      <w:b w:val="0"/>
                      <w:bCs w:val="0"/>
                      <w:color w:val="auto"/>
                      <w:sz w:val="21"/>
                      <w:szCs w:val="21"/>
                      <w:u w:val="none" w:color="auto"/>
                      <w:vertAlign w:val="baseline"/>
                      <w:lang w:val="en-US" w:eastAsia="zh-CN"/>
                    </w:rPr>
                    <w:t>2</w:t>
                  </w:r>
                </w:p>
              </w:tc>
              <w:tc>
                <w:tcPr>
                  <w:tcW w:w="531"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auto"/>
                      <w:sz w:val="21"/>
                      <w:szCs w:val="21"/>
                      <w:u w:val="none" w:color="auto"/>
                      <w:vertAlign w:val="baseline"/>
                      <w:lang w:val="en-US" w:eastAsia="zh-CN"/>
                    </w:rPr>
                  </w:pPr>
                </w:p>
              </w:tc>
              <w:tc>
                <w:tcPr>
                  <w:tcW w:w="1554"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auto"/>
                      <w:sz w:val="21"/>
                      <w:szCs w:val="21"/>
                      <w:u w:val="none" w:color="auto"/>
                      <w:vertAlign w:val="baseline"/>
                      <w:lang w:val="en-US" w:eastAsia="zh-CN"/>
                    </w:rPr>
                  </w:pPr>
                  <w:r>
                    <w:rPr>
                      <w:rFonts w:hint="eastAsia" w:ascii="Times New Roman" w:hAnsi="Times New Roman" w:eastAsia="宋体" w:cs="Times New Roman"/>
                      <w:b w:val="0"/>
                      <w:bCs w:val="0"/>
                      <w:color w:val="auto"/>
                      <w:sz w:val="21"/>
                      <w:szCs w:val="21"/>
                      <w:u w:val="none" w:color="auto"/>
                      <w:vertAlign w:val="baseline"/>
                      <w:lang w:val="en-US" w:eastAsia="zh-CN"/>
                    </w:rPr>
                    <w:t>危险废物暂存间</w:t>
                  </w:r>
                </w:p>
              </w:tc>
              <w:tc>
                <w:tcPr>
                  <w:tcW w:w="1070"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cs="Times New Roman"/>
                      <w:b w:val="0"/>
                      <w:bCs w:val="0"/>
                      <w:color w:val="auto"/>
                      <w:sz w:val="21"/>
                      <w:szCs w:val="21"/>
                      <w:u w:val="none" w:color="auto"/>
                      <w:vertAlign w:val="baseline"/>
                      <w:lang w:val="en-US" w:eastAsia="zh-CN"/>
                    </w:rPr>
                  </w:pPr>
                  <w:r>
                    <w:rPr>
                      <w:rFonts w:hint="eastAsia" w:cs="Times New Roman"/>
                      <w:b w:val="0"/>
                      <w:bCs w:val="0"/>
                      <w:color w:val="auto"/>
                      <w:sz w:val="21"/>
                      <w:szCs w:val="21"/>
                      <w:u w:val="none" w:color="auto"/>
                      <w:vertAlign w:val="baseline"/>
                      <w:lang w:val="en-US" w:eastAsia="zh-CN"/>
                    </w:rPr>
                    <w:t>地面、裙角</w:t>
                  </w:r>
                </w:p>
              </w:tc>
              <w:tc>
                <w:tcPr>
                  <w:tcW w:w="1593"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auto"/>
                      <w:sz w:val="21"/>
                      <w:szCs w:val="21"/>
                      <w:u w:val="none" w:color="auto"/>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49"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u w:val="none" w:color="auto"/>
                      <w:vertAlign w:val="baseline"/>
                      <w:lang w:val="en-US" w:eastAsia="zh-CN"/>
                    </w:rPr>
                  </w:pPr>
                  <w:r>
                    <w:rPr>
                      <w:rFonts w:hint="eastAsia" w:cs="Times New Roman"/>
                      <w:b w:val="0"/>
                      <w:bCs w:val="0"/>
                      <w:color w:val="auto"/>
                      <w:sz w:val="21"/>
                      <w:szCs w:val="21"/>
                      <w:u w:val="none" w:color="auto"/>
                      <w:vertAlign w:val="baseline"/>
                      <w:lang w:val="en-US" w:eastAsia="zh-CN"/>
                    </w:rPr>
                    <w:t>3</w:t>
                  </w:r>
                </w:p>
              </w:tc>
              <w:tc>
                <w:tcPr>
                  <w:tcW w:w="531"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auto"/>
                      <w:sz w:val="21"/>
                      <w:szCs w:val="21"/>
                      <w:u w:val="none" w:color="auto"/>
                      <w:vertAlign w:val="baseline"/>
                      <w:lang w:val="en-US" w:eastAsia="zh-CN"/>
                    </w:rPr>
                  </w:pPr>
                </w:p>
              </w:tc>
              <w:tc>
                <w:tcPr>
                  <w:tcW w:w="1554"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auto"/>
                      <w:sz w:val="21"/>
                      <w:szCs w:val="21"/>
                      <w:u w:val="none" w:color="auto"/>
                      <w:vertAlign w:val="baseline"/>
                      <w:lang w:val="en-US" w:eastAsia="zh-CN"/>
                    </w:rPr>
                  </w:pPr>
                  <w:r>
                    <w:rPr>
                      <w:rFonts w:hint="eastAsia" w:cs="Times New Roman"/>
                      <w:b w:val="0"/>
                      <w:bCs w:val="0"/>
                      <w:color w:val="auto"/>
                      <w:sz w:val="21"/>
                      <w:szCs w:val="21"/>
                      <w:u w:val="none" w:color="auto"/>
                      <w:vertAlign w:val="baseline"/>
                      <w:lang w:val="en-US" w:eastAsia="zh-CN"/>
                    </w:rPr>
                    <w:t>拆解车间、</w:t>
                  </w:r>
                  <w:r>
                    <w:rPr>
                      <w:rFonts w:hint="eastAsia" w:ascii="Times New Roman" w:hAnsi="Times New Roman" w:eastAsia="宋体" w:cs="Times New Roman"/>
                      <w:b w:val="0"/>
                      <w:bCs w:val="0"/>
                      <w:color w:val="auto"/>
                      <w:sz w:val="21"/>
                      <w:szCs w:val="21"/>
                      <w:u w:val="none" w:color="auto"/>
                      <w:vertAlign w:val="baseline"/>
                      <w:lang w:val="en-US" w:eastAsia="zh-CN"/>
                    </w:rPr>
                    <w:t>报废汽车堆场</w:t>
                  </w:r>
                </w:p>
              </w:tc>
              <w:tc>
                <w:tcPr>
                  <w:tcW w:w="1070"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cs="Times New Roman"/>
                      <w:b w:val="0"/>
                      <w:bCs w:val="0"/>
                      <w:color w:val="auto"/>
                      <w:sz w:val="21"/>
                      <w:szCs w:val="21"/>
                      <w:u w:val="none" w:color="auto"/>
                      <w:vertAlign w:val="baseline"/>
                      <w:lang w:val="en-US" w:eastAsia="zh-CN"/>
                    </w:rPr>
                  </w:pPr>
                  <w:r>
                    <w:rPr>
                      <w:rFonts w:hint="eastAsia" w:cs="Times New Roman"/>
                      <w:b w:val="0"/>
                      <w:bCs w:val="0"/>
                      <w:color w:val="auto"/>
                      <w:sz w:val="21"/>
                      <w:szCs w:val="21"/>
                      <w:u w:val="none" w:color="auto"/>
                      <w:vertAlign w:val="baseline"/>
                      <w:lang w:val="en-US" w:eastAsia="zh-CN"/>
                    </w:rPr>
                    <w:t>地面</w:t>
                  </w:r>
                </w:p>
              </w:tc>
              <w:tc>
                <w:tcPr>
                  <w:tcW w:w="1593"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auto"/>
                      <w:sz w:val="21"/>
                      <w:szCs w:val="21"/>
                      <w:u w:val="none" w:color="auto"/>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49"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u w:val="none" w:color="auto"/>
                      <w:vertAlign w:val="baseline"/>
                      <w:lang w:val="en-US" w:eastAsia="zh-CN"/>
                    </w:rPr>
                  </w:pPr>
                  <w:r>
                    <w:rPr>
                      <w:rFonts w:hint="eastAsia" w:cs="Times New Roman"/>
                      <w:b w:val="0"/>
                      <w:bCs w:val="0"/>
                      <w:color w:val="auto"/>
                      <w:sz w:val="21"/>
                      <w:szCs w:val="21"/>
                      <w:u w:val="none" w:color="auto"/>
                      <w:vertAlign w:val="baseline"/>
                      <w:lang w:val="en-US" w:eastAsia="zh-CN"/>
                    </w:rPr>
                    <w:t>4</w:t>
                  </w:r>
                </w:p>
              </w:tc>
              <w:tc>
                <w:tcPr>
                  <w:tcW w:w="531"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auto"/>
                      <w:sz w:val="21"/>
                      <w:szCs w:val="21"/>
                      <w:u w:val="none" w:color="auto"/>
                      <w:vertAlign w:val="baseline"/>
                      <w:lang w:val="en-US" w:eastAsia="zh-CN"/>
                    </w:rPr>
                  </w:pPr>
                  <w:r>
                    <w:rPr>
                      <w:rFonts w:hint="eastAsia" w:ascii="Times New Roman" w:hAnsi="Times New Roman" w:eastAsia="宋体" w:cs="Times New Roman"/>
                      <w:b w:val="0"/>
                      <w:bCs w:val="0"/>
                      <w:color w:val="auto"/>
                      <w:sz w:val="21"/>
                      <w:szCs w:val="21"/>
                      <w:u w:val="none" w:color="auto"/>
                      <w:vertAlign w:val="baseline"/>
                      <w:lang w:val="en-US" w:eastAsia="zh-CN"/>
                    </w:rPr>
                    <w:t>一般防渗区</w:t>
                  </w:r>
                </w:p>
              </w:tc>
              <w:tc>
                <w:tcPr>
                  <w:tcW w:w="1554"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u w:val="none" w:color="auto"/>
                      <w:vertAlign w:val="baseline"/>
                      <w:lang w:val="en-US" w:eastAsia="zh-CN"/>
                    </w:rPr>
                  </w:pPr>
                  <w:r>
                    <w:rPr>
                      <w:rFonts w:hint="eastAsia" w:cs="Times New Roman"/>
                      <w:b w:val="0"/>
                      <w:bCs w:val="0"/>
                      <w:color w:val="auto"/>
                      <w:sz w:val="21"/>
                      <w:szCs w:val="21"/>
                      <w:u w:val="none" w:color="auto"/>
                      <w:vertAlign w:val="baseline"/>
                      <w:lang w:val="en-US" w:eastAsia="zh-CN"/>
                    </w:rPr>
                    <w:t>一般固废仓库（产品仓库）</w:t>
                  </w:r>
                </w:p>
              </w:tc>
              <w:tc>
                <w:tcPr>
                  <w:tcW w:w="1070"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u w:val="none" w:color="auto"/>
                      <w:vertAlign w:val="baseline"/>
                      <w:lang w:val="en-US" w:eastAsia="zh-CN"/>
                    </w:rPr>
                  </w:pPr>
                  <w:r>
                    <w:rPr>
                      <w:rFonts w:hint="eastAsia" w:cs="Times New Roman"/>
                      <w:b w:val="0"/>
                      <w:bCs w:val="0"/>
                      <w:color w:val="auto"/>
                      <w:sz w:val="21"/>
                      <w:szCs w:val="21"/>
                      <w:u w:val="none" w:color="auto"/>
                      <w:vertAlign w:val="baseline"/>
                      <w:lang w:val="en-US" w:eastAsia="zh-CN"/>
                    </w:rPr>
                    <w:t>地面</w:t>
                  </w:r>
                </w:p>
              </w:tc>
              <w:tc>
                <w:tcPr>
                  <w:tcW w:w="1593"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auto"/>
                      <w:sz w:val="21"/>
                      <w:szCs w:val="21"/>
                      <w:u w:val="none" w:color="auto"/>
                      <w:vertAlign w:val="baseline"/>
                      <w:lang w:val="en-US" w:eastAsia="zh-CN"/>
                    </w:rPr>
                  </w:pPr>
                  <w:r>
                    <w:rPr>
                      <w:rFonts w:hint="eastAsia" w:ascii="Times New Roman" w:hAnsi="Times New Roman" w:eastAsia="宋体" w:cs="Times New Roman"/>
                      <w:b w:val="0"/>
                      <w:bCs w:val="0"/>
                      <w:color w:val="auto"/>
                      <w:sz w:val="21"/>
                      <w:szCs w:val="21"/>
                      <w:u w:val="none" w:color="auto"/>
                      <w:vertAlign w:val="baseline"/>
                      <w:lang w:val="en-US" w:eastAsia="zh-CN"/>
                    </w:rPr>
                    <w:t>等效黏土防渗层 Mb≧1.5m，K≦1</w:t>
                  </w:r>
                  <w:r>
                    <w:rPr>
                      <w:rFonts w:hint="eastAsia" w:cs="Times New Roman"/>
                      <w:b w:val="0"/>
                      <w:bCs w:val="0"/>
                      <w:color w:val="auto"/>
                      <w:sz w:val="21"/>
                      <w:szCs w:val="21"/>
                      <w:u w:val="none" w:color="auto"/>
                      <w:vertAlign w:val="baseline"/>
                      <w:lang w:val="en-US" w:eastAsia="zh-CN"/>
                    </w:rPr>
                    <w:t>×</w:t>
                  </w:r>
                  <w:r>
                    <w:rPr>
                      <w:rFonts w:hint="eastAsia" w:ascii="Times New Roman" w:hAnsi="Times New Roman" w:eastAsia="宋体" w:cs="Times New Roman"/>
                      <w:b w:val="0"/>
                      <w:bCs w:val="0"/>
                      <w:color w:val="auto"/>
                      <w:sz w:val="21"/>
                      <w:szCs w:val="21"/>
                      <w:u w:val="none" w:color="auto"/>
                      <w:vertAlign w:val="baseline"/>
                      <w:lang w:val="en-US" w:eastAsia="zh-CN"/>
                    </w:rPr>
                    <w:t>10</w:t>
                  </w:r>
                  <w:r>
                    <w:rPr>
                      <w:rFonts w:hint="eastAsia" w:ascii="Times New Roman" w:hAnsi="Times New Roman" w:eastAsia="宋体" w:cs="Times New Roman"/>
                      <w:b w:val="0"/>
                      <w:bCs w:val="0"/>
                      <w:color w:val="auto"/>
                      <w:sz w:val="21"/>
                      <w:szCs w:val="21"/>
                      <w:u w:val="none" w:color="auto"/>
                      <w:vertAlign w:val="superscript"/>
                      <w:lang w:val="en-US" w:eastAsia="zh-CN"/>
                    </w:rPr>
                    <w:t>-7</w:t>
                  </w:r>
                  <w:r>
                    <w:rPr>
                      <w:rFonts w:hint="eastAsia" w:ascii="Times New Roman" w:hAnsi="Times New Roman" w:eastAsia="宋体" w:cs="Times New Roman"/>
                      <w:b w:val="0"/>
                      <w:bCs w:val="0"/>
                      <w:color w:val="auto"/>
                      <w:sz w:val="21"/>
                      <w:szCs w:val="21"/>
                      <w:u w:val="none" w:color="auto"/>
                      <w:vertAlign w:val="baseline"/>
                      <w:lang w:val="en-US" w:eastAsia="zh-CN"/>
                    </w:rPr>
                    <w:t xml:space="preserve"> ；或参照执行GB</w:t>
                  </w:r>
                  <w:r>
                    <w:rPr>
                      <w:rFonts w:hint="eastAsia" w:cs="Times New Roman"/>
                      <w:b w:val="0"/>
                      <w:bCs w:val="0"/>
                      <w:color w:val="auto"/>
                      <w:sz w:val="21"/>
                      <w:szCs w:val="21"/>
                      <w:u w:val="none" w:color="auto"/>
                      <w:vertAlign w:val="baseline"/>
                      <w:lang w:val="en-US" w:eastAsia="zh-CN"/>
                    </w:rPr>
                    <w:t>1</w:t>
                  </w:r>
                  <w:r>
                    <w:rPr>
                      <w:rFonts w:hint="eastAsia" w:ascii="Times New Roman" w:hAnsi="Times New Roman" w:eastAsia="宋体" w:cs="Times New Roman"/>
                      <w:b w:val="0"/>
                      <w:bCs w:val="0"/>
                      <w:color w:val="auto"/>
                      <w:sz w:val="21"/>
                      <w:szCs w:val="21"/>
                      <w:u w:val="none" w:color="auto"/>
                      <w:vertAlign w:val="baseline"/>
                      <w:lang w:val="en-US" w:eastAsia="zh-CN"/>
                    </w:rPr>
                    <w:t>6889 执行</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49"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u w:val="none" w:color="auto"/>
                      <w:vertAlign w:val="baseline"/>
                      <w:lang w:val="en-US" w:eastAsia="zh-CN"/>
                    </w:rPr>
                  </w:pPr>
                  <w:r>
                    <w:rPr>
                      <w:rFonts w:hint="eastAsia" w:cs="Times New Roman"/>
                      <w:b w:val="0"/>
                      <w:bCs w:val="0"/>
                      <w:color w:val="auto"/>
                      <w:sz w:val="21"/>
                      <w:szCs w:val="21"/>
                      <w:u w:val="none" w:color="auto"/>
                      <w:vertAlign w:val="baseline"/>
                      <w:lang w:val="en-US" w:eastAsia="zh-CN"/>
                    </w:rPr>
                    <w:t>5</w:t>
                  </w:r>
                </w:p>
              </w:tc>
              <w:tc>
                <w:tcPr>
                  <w:tcW w:w="531"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auto"/>
                      <w:sz w:val="21"/>
                      <w:szCs w:val="21"/>
                      <w:u w:val="none" w:color="auto"/>
                      <w:vertAlign w:val="baseline"/>
                      <w:lang w:val="en-US" w:eastAsia="zh-CN"/>
                    </w:rPr>
                  </w:pPr>
                  <w:r>
                    <w:rPr>
                      <w:rFonts w:hint="eastAsia" w:ascii="Times New Roman" w:hAnsi="Times New Roman" w:eastAsia="宋体" w:cs="Times New Roman"/>
                      <w:b w:val="0"/>
                      <w:bCs w:val="0"/>
                      <w:color w:val="auto"/>
                      <w:sz w:val="21"/>
                      <w:szCs w:val="21"/>
                      <w:u w:val="none" w:color="auto"/>
                      <w:vertAlign w:val="baseline"/>
                      <w:lang w:val="en-US" w:eastAsia="zh-CN"/>
                    </w:rPr>
                    <w:t>简单防渗区</w:t>
                  </w:r>
                </w:p>
              </w:tc>
              <w:tc>
                <w:tcPr>
                  <w:tcW w:w="1554"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auto"/>
                      <w:sz w:val="21"/>
                      <w:szCs w:val="21"/>
                      <w:u w:val="none" w:color="auto"/>
                      <w:vertAlign w:val="baseline"/>
                      <w:lang w:val="en-US" w:eastAsia="zh-CN"/>
                    </w:rPr>
                  </w:pPr>
                  <w:r>
                    <w:rPr>
                      <w:rFonts w:hint="eastAsia" w:ascii="Times New Roman" w:hAnsi="Times New Roman" w:eastAsia="宋体" w:cs="Times New Roman"/>
                      <w:b w:val="0"/>
                      <w:bCs w:val="0"/>
                      <w:color w:val="auto"/>
                      <w:sz w:val="21"/>
                      <w:szCs w:val="21"/>
                      <w:u w:val="none" w:color="auto"/>
                      <w:vertAlign w:val="baseline"/>
                      <w:lang w:val="en-US" w:eastAsia="zh-CN"/>
                    </w:rPr>
                    <w:t>重点、一般</w:t>
                  </w:r>
                  <w:r>
                    <w:rPr>
                      <w:rFonts w:hint="eastAsia" w:cs="Times New Roman"/>
                      <w:b w:val="0"/>
                      <w:bCs w:val="0"/>
                      <w:color w:val="auto"/>
                      <w:sz w:val="21"/>
                      <w:szCs w:val="21"/>
                      <w:u w:val="none" w:color="auto"/>
                      <w:vertAlign w:val="baseline"/>
                      <w:lang w:val="en-US" w:eastAsia="zh-CN"/>
                    </w:rPr>
                    <w:t>防渗</w:t>
                  </w:r>
                  <w:r>
                    <w:rPr>
                      <w:rFonts w:hint="eastAsia" w:ascii="Times New Roman" w:hAnsi="Times New Roman" w:eastAsia="宋体" w:cs="Times New Roman"/>
                      <w:b w:val="0"/>
                      <w:bCs w:val="0"/>
                      <w:color w:val="auto"/>
                      <w:sz w:val="21"/>
                      <w:szCs w:val="21"/>
                      <w:u w:val="none" w:color="auto"/>
                      <w:vertAlign w:val="baseline"/>
                      <w:lang w:val="en-US" w:eastAsia="zh-CN"/>
                    </w:rPr>
                    <w:t>区以外的区域</w:t>
                  </w:r>
                </w:p>
              </w:tc>
              <w:tc>
                <w:tcPr>
                  <w:tcW w:w="1070"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u w:val="none" w:color="auto"/>
                      <w:vertAlign w:val="baseline"/>
                      <w:lang w:val="en-US" w:eastAsia="zh-CN"/>
                    </w:rPr>
                  </w:pPr>
                  <w:r>
                    <w:rPr>
                      <w:rFonts w:hint="eastAsia" w:cs="Times New Roman"/>
                      <w:b w:val="0"/>
                      <w:bCs w:val="0"/>
                      <w:color w:val="auto"/>
                      <w:sz w:val="21"/>
                      <w:szCs w:val="21"/>
                      <w:u w:val="none" w:color="auto"/>
                      <w:vertAlign w:val="baseline"/>
                      <w:lang w:val="en-US" w:eastAsia="zh-CN"/>
                    </w:rPr>
                    <w:t>地面</w:t>
                  </w:r>
                </w:p>
              </w:tc>
              <w:tc>
                <w:tcPr>
                  <w:tcW w:w="1593"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u w:val="none" w:color="auto"/>
                      <w:vertAlign w:val="baseline"/>
                      <w:lang w:val="en-US" w:eastAsia="zh-CN"/>
                    </w:rPr>
                  </w:pPr>
                  <w:r>
                    <w:rPr>
                      <w:rFonts w:hint="eastAsia" w:cs="Times New Roman"/>
                      <w:b w:val="0"/>
                      <w:bCs w:val="0"/>
                      <w:color w:val="auto"/>
                      <w:sz w:val="21"/>
                      <w:szCs w:val="21"/>
                      <w:u w:val="none" w:color="auto"/>
                      <w:vertAlign w:val="baseline"/>
                      <w:lang w:val="en-US" w:eastAsia="zh-CN"/>
                    </w:rPr>
                    <w:t>一般地面硬化</w:t>
                  </w:r>
                </w:p>
              </w:tc>
            </w:tr>
          </w:tbl>
          <w:p>
            <w:pPr>
              <w:pStyle w:val="5"/>
              <w:keepNext/>
              <w:keepLines/>
              <w:pageBreakBefore w:val="0"/>
              <w:widowControl w:val="0"/>
              <w:kinsoku/>
              <w:wordWrap/>
              <w:overflowPunct/>
              <w:topLinePunct w:val="0"/>
              <w:autoSpaceDE/>
              <w:autoSpaceDN/>
              <w:bidi w:val="0"/>
              <w:adjustRightInd/>
              <w:snapToGrid/>
              <w:spacing w:before="0" w:beforeLines="0" w:after="0" w:afterLines="0"/>
              <w:ind w:firstLine="482" w:firstLineChars="200"/>
              <w:textAlignment w:val="auto"/>
              <w:rPr>
                <w:rFonts w:hint="default"/>
                <w:b/>
                <w:bCs/>
                <w:color w:val="auto"/>
                <w:sz w:val="24"/>
                <w:szCs w:val="24"/>
                <w:lang w:val="en-US" w:eastAsia="zh-CN"/>
              </w:rPr>
            </w:pPr>
            <w:r>
              <w:rPr>
                <w:rFonts w:hint="default"/>
                <w:b/>
                <w:bCs/>
                <w:color w:val="auto"/>
                <w:sz w:val="24"/>
                <w:szCs w:val="24"/>
                <w:lang w:val="en-US" w:eastAsia="zh-CN"/>
              </w:rPr>
              <w:t>①重点防渗区</w:t>
            </w:r>
          </w:p>
          <w:p>
            <w:pPr>
              <w:pStyle w:val="5"/>
              <w:keepNext/>
              <w:keepLines/>
              <w:pageBreakBefore w:val="0"/>
              <w:widowControl w:val="0"/>
              <w:kinsoku/>
              <w:wordWrap/>
              <w:overflowPunct/>
              <w:topLinePunct w:val="0"/>
              <w:autoSpaceDE/>
              <w:autoSpaceDN/>
              <w:bidi w:val="0"/>
              <w:adjustRightInd/>
              <w:snapToGrid/>
              <w:spacing w:before="0" w:beforeLines="0" w:after="0" w:afterLines="0"/>
              <w:ind w:firstLine="480" w:firstLineChars="200"/>
              <w:textAlignment w:val="auto"/>
              <w:rPr>
                <w:rFonts w:hint="default"/>
                <w:b w:val="0"/>
                <w:bCs w:val="0"/>
                <w:color w:val="auto"/>
                <w:sz w:val="24"/>
                <w:szCs w:val="24"/>
                <w:lang w:val="en-US" w:eastAsia="zh-CN"/>
              </w:rPr>
            </w:pPr>
            <w:r>
              <w:rPr>
                <w:rFonts w:hint="default"/>
                <w:b w:val="0"/>
                <w:bCs w:val="0"/>
                <w:color w:val="auto"/>
                <w:sz w:val="24"/>
                <w:szCs w:val="24"/>
                <w:lang w:val="en-US" w:eastAsia="zh-CN"/>
              </w:rPr>
              <w:t>重点污染防治区主要包括</w:t>
            </w:r>
            <w:r>
              <w:rPr>
                <w:rFonts w:hint="eastAsia"/>
                <w:b w:val="0"/>
                <w:bCs w:val="0"/>
                <w:color w:val="auto"/>
                <w:sz w:val="24"/>
                <w:szCs w:val="24"/>
                <w:lang w:val="en-US" w:eastAsia="zh-CN"/>
              </w:rPr>
              <w:t>污水处理站</w:t>
            </w:r>
            <w:r>
              <w:rPr>
                <w:rFonts w:hint="default"/>
                <w:b w:val="0"/>
                <w:bCs w:val="0"/>
                <w:color w:val="auto"/>
                <w:sz w:val="24"/>
                <w:szCs w:val="24"/>
                <w:lang w:val="en-US" w:eastAsia="zh-CN"/>
              </w:rPr>
              <w:t>、事故应急池、拆解车间、危废暂存库</w:t>
            </w:r>
            <w:r>
              <w:rPr>
                <w:rFonts w:hint="eastAsia"/>
                <w:b w:val="0"/>
                <w:bCs w:val="0"/>
                <w:color w:val="auto"/>
                <w:sz w:val="24"/>
                <w:szCs w:val="24"/>
                <w:lang w:val="en-US" w:eastAsia="zh-CN"/>
              </w:rPr>
              <w:t>、</w:t>
            </w:r>
            <w:r>
              <w:rPr>
                <w:rFonts w:hint="default"/>
                <w:b w:val="0"/>
                <w:bCs w:val="0"/>
                <w:color w:val="auto"/>
                <w:sz w:val="24"/>
                <w:szCs w:val="24"/>
                <w:lang w:val="en-US" w:eastAsia="zh-CN"/>
              </w:rPr>
              <w:t>报废汽车堆场等，防渗措施如下：防渗层至少为1cm厚粘土层（防渗系数≤10</w:t>
            </w:r>
            <w:r>
              <w:rPr>
                <w:rFonts w:hint="default"/>
                <w:b w:val="0"/>
                <w:bCs w:val="0"/>
                <w:color w:val="auto"/>
                <w:sz w:val="24"/>
                <w:szCs w:val="24"/>
                <w:vertAlign w:val="superscript"/>
                <w:lang w:val="en-US" w:eastAsia="zh-CN"/>
              </w:rPr>
              <w:t>-7</w:t>
            </w:r>
            <w:r>
              <w:rPr>
                <w:rFonts w:hint="default"/>
                <w:b w:val="0"/>
                <w:bCs w:val="0"/>
                <w:color w:val="auto"/>
                <w:sz w:val="24"/>
                <w:szCs w:val="24"/>
                <w:lang w:val="en-US" w:eastAsia="zh-CN"/>
              </w:rPr>
              <w:t>cm/s），或2mm厚高度聚乙烯，或至少2mm厚的其它人工材料，渗透系数≤10</w:t>
            </w:r>
            <w:r>
              <w:rPr>
                <w:rFonts w:hint="default"/>
                <w:b w:val="0"/>
                <w:bCs w:val="0"/>
                <w:color w:val="auto"/>
                <w:sz w:val="24"/>
                <w:szCs w:val="24"/>
                <w:vertAlign w:val="superscript"/>
                <w:lang w:val="en-US" w:eastAsia="zh-CN"/>
              </w:rPr>
              <w:t>-10</w:t>
            </w:r>
            <w:r>
              <w:rPr>
                <w:rFonts w:hint="default"/>
                <w:b w:val="0"/>
                <w:bCs w:val="0"/>
                <w:color w:val="auto"/>
                <w:sz w:val="24"/>
                <w:szCs w:val="24"/>
                <w:lang w:val="en-US" w:eastAsia="zh-CN"/>
              </w:rPr>
              <w:t>cm/s。。</w:t>
            </w:r>
          </w:p>
          <w:p>
            <w:pPr>
              <w:pStyle w:val="5"/>
              <w:keepNext/>
              <w:keepLines/>
              <w:pageBreakBefore w:val="0"/>
              <w:widowControl w:val="0"/>
              <w:kinsoku/>
              <w:wordWrap/>
              <w:overflowPunct/>
              <w:topLinePunct w:val="0"/>
              <w:autoSpaceDE/>
              <w:autoSpaceDN/>
              <w:bidi w:val="0"/>
              <w:adjustRightInd/>
              <w:snapToGrid/>
              <w:spacing w:before="0" w:beforeLines="0" w:after="0" w:afterLines="0"/>
              <w:ind w:firstLine="482" w:firstLineChars="200"/>
              <w:textAlignment w:val="auto"/>
              <w:rPr>
                <w:rFonts w:hint="default"/>
                <w:b/>
                <w:bCs/>
                <w:color w:val="auto"/>
                <w:sz w:val="24"/>
                <w:szCs w:val="24"/>
                <w:lang w:val="en-US" w:eastAsia="zh-CN"/>
              </w:rPr>
            </w:pPr>
            <w:r>
              <w:rPr>
                <w:rFonts w:hint="default"/>
                <w:b/>
                <w:bCs/>
                <w:color w:val="auto"/>
                <w:sz w:val="24"/>
                <w:szCs w:val="24"/>
                <w:lang w:val="en-US" w:eastAsia="zh-CN"/>
              </w:rPr>
              <w:t>②一般防渗区</w:t>
            </w:r>
          </w:p>
          <w:p>
            <w:pPr>
              <w:pStyle w:val="5"/>
              <w:keepNext/>
              <w:keepLines/>
              <w:pageBreakBefore w:val="0"/>
              <w:widowControl w:val="0"/>
              <w:kinsoku/>
              <w:wordWrap/>
              <w:overflowPunct/>
              <w:topLinePunct w:val="0"/>
              <w:autoSpaceDE/>
              <w:autoSpaceDN/>
              <w:bidi w:val="0"/>
              <w:adjustRightInd/>
              <w:snapToGrid/>
              <w:spacing w:before="0" w:beforeLines="0" w:after="0" w:afterLines="0"/>
              <w:ind w:firstLine="480" w:firstLineChars="200"/>
              <w:textAlignment w:val="auto"/>
              <w:rPr>
                <w:rFonts w:hint="default"/>
                <w:b w:val="0"/>
                <w:bCs w:val="0"/>
                <w:color w:val="auto"/>
                <w:sz w:val="24"/>
                <w:szCs w:val="24"/>
                <w:lang w:val="en-US" w:eastAsia="zh-CN"/>
              </w:rPr>
            </w:pPr>
            <w:r>
              <w:rPr>
                <w:rFonts w:hint="default"/>
                <w:b w:val="0"/>
                <w:bCs w:val="0"/>
                <w:color w:val="auto"/>
                <w:sz w:val="24"/>
                <w:szCs w:val="24"/>
                <w:lang w:val="en-US" w:eastAsia="zh-CN"/>
              </w:rPr>
              <w:t>主要包括一般固废</w:t>
            </w:r>
            <w:r>
              <w:rPr>
                <w:rFonts w:hint="eastAsia"/>
                <w:b w:val="0"/>
                <w:bCs w:val="0"/>
                <w:color w:val="auto"/>
                <w:sz w:val="24"/>
                <w:szCs w:val="24"/>
                <w:lang w:val="en-US" w:eastAsia="zh-CN"/>
              </w:rPr>
              <w:t>仓库（产品仓库）</w:t>
            </w:r>
            <w:r>
              <w:rPr>
                <w:rFonts w:hint="default"/>
                <w:b w:val="0"/>
                <w:bCs w:val="0"/>
                <w:color w:val="auto"/>
                <w:sz w:val="24"/>
                <w:szCs w:val="24"/>
                <w:lang w:val="en-US" w:eastAsia="zh-CN"/>
              </w:rPr>
              <w:t>，</w:t>
            </w:r>
            <w:r>
              <w:rPr>
                <w:rFonts w:hint="eastAsia"/>
                <w:b w:val="0"/>
                <w:bCs w:val="0"/>
                <w:color w:val="auto"/>
                <w:sz w:val="24"/>
                <w:szCs w:val="24"/>
                <w:lang w:val="en-US" w:eastAsia="zh-CN"/>
              </w:rPr>
              <w:t>防渗要求：</w:t>
            </w:r>
            <w:r>
              <w:rPr>
                <w:rFonts w:hint="default"/>
                <w:b w:val="0"/>
                <w:bCs w:val="0"/>
                <w:color w:val="auto"/>
                <w:sz w:val="24"/>
                <w:szCs w:val="24"/>
                <w:lang w:val="en-US" w:eastAsia="zh-CN"/>
              </w:rPr>
              <w:t>等效黏土防渗层 Mb≧1.5m，K≦1×10</w:t>
            </w:r>
            <w:r>
              <w:rPr>
                <w:rFonts w:hint="default"/>
                <w:b w:val="0"/>
                <w:bCs w:val="0"/>
                <w:color w:val="auto"/>
                <w:sz w:val="24"/>
                <w:szCs w:val="24"/>
                <w:vertAlign w:val="superscript"/>
                <w:lang w:val="en-US" w:eastAsia="zh-CN"/>
              </w:rPr>
              <w:t>-7</w:t>
            </w:r>
            <w:r>
              <w:rPr>
                <w:rFonts w:hint="default"/>
                <w:b w:val="0"/>
                <w:bCs w:val="0"/>
                <w:color w:val="auto"/>
                <w:sz w:val="24"/>
                <w:szCs w:val="24"/>
                <w:lang w:val="en-US" w:eastAsia="zh-CN"/>
              </w:rPr>
              <w:t xml:space="preserve"> cm/s；或参照执行GB16889 执行。</w:t>
            </w:r>
          </w:p>
          <w:p>
            <w:pPr>
              <w:pStyle w:val="5"/>
              <w:keepNext/>
              <w:keepLines/>
              <w:pageBreakBefore w:val="0"/>
              <w:widowControl w:val="0"/>
              <w:kinsoku/>
              <w:wordWrap/>
              <w:overflowPunct/>
              <w:topLinePunct w:val="0"/>
              <w:autoSpaceDE/>
              <w:autoSpaceDN/>
              <w:bidi w:val="0"/>
              <w:adjustRightInd/>
              <w:snapToGrid/>
              <w:spacing w:before="0" w:beforeLines="0" w:after="0" w:afterLines="0"/>
              <w:ind w:firstLine="482" w:firstLineChars="200"/>
              <w:textAlignment w:val="auto"/>
              <w:rPr>
                <w:rFonts w:hint="default"/>
                <w:b/>
                <w:bCs/>
                <w:color w:val="auto"/>
                <w:sz w:val="24"/>
                <w:szCs w:val="24"/>
                <w:lang w:val="en-US" w:eastAsia="zh-CN"/>
              </w:rPr>
            </w:pPr>
            <w:r>
              <w:rPr>
                <w:rFonts w:hint="default"/>
                <w:b/>
                <w:bCs/>
                <w:color w:val="auto"/>
                <w:sz w:val="24"/>
                <w:szCs w:val="24"/>
                <w:lang w:val="en-US" w:eastAsia="zh-CN"/>
              </w:rPr>
              <w:t>③简单防渗区</w:t>
            </w:r>
          </w:p>
          <w:p>
            <w:pPr>
              <w:pStyle w:val="5"/>
              <w:keepNext/>
              <w:keepLines/>
              <w:pageBreakBefore w:val="0"/>
              <w:widowControl w:val="0"/>
              <w:kinsoku/>
              <w:wordWrap/>
              <w:overflowPunct/>
              <w:topLinePunct w:val="0"/>
              <w:autoSpaceDE/>
              <w:autoSpaceDN/>
              <w:bidi w:val="0"/>
              <w:adjustRightInd/>
              <w:snapToGrid/>
              <w:spacing w:before="0" w:beforeLines="0" w:after="0" w:afterLines="0"/>
              <w:ind w:firstLine="480" w:firstLineChars="200"/>
              <w:textAlignment w:val="auto"/>
              <w:rPr>
                <w:rFonts w:hint="default"/>
                <w:b w:val="0"/>
                <w:bCs w:val="0"/>
                <w:color w:val="auto"/>
                <w:sz w:val="24"/>
                <w:szCs w:val="24"/>
                <w:lang w:val="en-US" w:eastAsia="zh-CN"/>
              </w:rPr>
            </w:pPr>
            <w:r>
              <w:rPr>
                <w:rFonts w:hint="default"/>
                <w:b w:val="0"/>
                <w:bCs w:val="0"/>
                <w:color w:val="auto"/>
                <w:sz w:val="24"/>
                <w:szCs w:val="24"/>
                <w:lang w:val="en-US" w:eastAsia="zh-CN"/>
              </w:rPr>
              <w:t>主要包括办公楼绿化区等不会对地下水池成污染的区域。对于基本上不产生污染物的简单防渗区，不采取专门针对地下水污染的防治措施。</w:t>
            </w:r>
          </w:p>
          <w:p>
            <w:pPr>
              <w:pStyle w:val="5"/>
              <w:keepNext/>
              <w:keepLines/>
              <w:pageBreakBefore w:val="0"/>
              <w:widowControl w:val="0"/>
              <w:kinsoku/>
              <w:wordWrap/>
              <w:overflowPunct/>
              <w:topLinePunct w:val="0"/>
              <w:autoSpaceDE/>
              <w:autoSpaceDN/>
              <w:bidi w:val="0"/>
              <w:adjustRightInd/>
              <w:snapToGrid/>
              <w:spacing w:before="0" w:beforeLines="0" w:after="0" w:afterLines="0"/>
              <w:ind w:firstLine="480" w:firstLineChars="200"/>
              <w:textAlignment w:val="auto"/>
              <w:rPr>
                <w:rFonts w:hint="default"/>
                <w:b w:val="0"/>
                <w:bCs w:val="0"/>
                <w:color w:val="auto"/>
                <w:sz w:val="24"/>
                <w:szCs w:val="24"/>
                <w:lang w:val="en-US" w:eastAsia="zh-CN"/>
              </w:rPr>
            </w:pPr>
            <w:r>
              <w:rPr>
                <w:rFonts w:hint="default"/>
                <w:b w:val="0"/>
                <w:bCs w:val="0"/>
                <w:color w:val="auto"/>
                <w:sz w:val="24"/>
                <w:szCs w:val="24"/>
                <w:lang w:val="en-US" w:eastAsia="zh-CN"/>
              </w:rPr>
              <w:t>为确保防渗措施的防渗效果，工程施工过程中建设单位应加强施工期的管理，严格按防渗设计要求进行施工，加强防渗措施的日常维护，使防渗措施达到应有的防渗效果。同时应加强生产设施 的环保设施的管理，避免跑冒滴漏。</w:t>
            </w:r>
          </w:p>
          <w:p>
            <w:pPr>
              <w:pStyle w:val="5"/>
              <w:keepNext/>
              <w:keepLines/>
              <w:pageBreakBefore w:val="0"/>
              <w:widowControl w:val="0"/>
              <w:kinsoku/>
              <w:wordWrap/>
              <w:overflowPunct/>
              <w:topLinePunct w:val="0"/>
              <w:autoSpaceDE/>
              <w:autoSpaceDN/>
              <w:bidi w:val="0"/>
              <w:adjustRightInd/>
              <w:snapToGrid/>
              <w:spacing w:before="0" w:beforeLines="0" w:after="0" w:afterLines="0"/>
              <w:ind w:firstLine="480" w:firstLineChars="200"/>
              <w:textAlignment w:val="auto"/>
              <w:rPr>
                <w:rFonts w:hint="default"/>
                <w:b w:val="0"/>
                <w:bCs w:val="0"/>
                <w:color w:val="auto"/>
                <w:sz w:val="24"/>
                <w:szCs w:val="24"/>
                <w:lang w:val="en-US" w:eastAsia="zh-CN"/>
              </w:rPr>
            </w:pPr>
            <w:r>
              <w:rPr>
                <w:rFonts w:hint="default"/>
                <w:b w:val="0"/>
                <w:bCs w:val="0"/>
                <w:color w:val="auto"/>
                <w:sz w:val="24"/>
                <w:szCs w:val="24"/>
                <w:lang w:val="en-US" w:eastAsia="zh-CN"/>
              </w:rPr>
              <w:t>通过上述措施，可大大减少污染物进入土壤及地下水的可能性。</w:t>
            </w:r>
          </w:p>
          <w:p>
            <w:pPr>
              <w:pStyle w:val="5"/>
              <w:keepNext/>
              <w:keepLines/>
              <w:pageBreakBefore w:val="0"/>
              <w:widowControl w:val="0"/>
              <w:numPr>
                <w:ilvl w:val="0"/>
                <w:numId w:val="10"/>
              </w:numPr>
              <w:kinsoku/>
              <w:wordWrap/>
              <w:overflowPunct/>
              <w:topLinePunct w:val="0"/>
              <w:autoSpaceDE/>
              <w:autoSpaceDN/>
              <w:bidi w:val="0"/>
              <w:adjustRightInd/>
              <w:snapToGrid/>
              <w:spacing w:before="0" w:beforeLines="0" w:after="0" w:afterLines="0"/>
              <w:ind w:left="0" w:leftChars="0" w:firstLine="482" w:firstLineChars="200"/>
              <w:textAlignment w:val="auto"/>
              <w:rPr>
                <w:rFonts w:hint="eastAsia"/>
                <w:b/>
                <w:bCs/>
                <w:color w:val="auto"/>
                <w:sz w:val="24"/>
                <w:szCs w:val="24"/>
                <w:lang w:val="en-US" w:eastAsia="zh-CN"/>
              </w:rPr>
            </w:pPr>
            <w:r>
              <w:rPr>
                <w:rFonts w:hint="eastAsia"/>
                <w:b/>
                <w:bCs/>
                <w:color w:val="auto"/>
                <w:sz w:val="24"/>
                <w:szCs w:val="24"/>
                <w:lang w:val="en-US" w:eastAsia="zh-CN"/>
              </w:rPr>
              <w:t>跟踪监测</w:t>
            </w:r>
          </w:p>
          <w:p>
            <w:pPr>
              <w:autoSpaceDE w:val="0"/>
              <w:autoSpaceDN w:val="0"/>
              <w:spacing w:line="360" w:lineRule="auto"/>
              <w:ind w:firstLine="480" w:firstLineChars="200"/>
              <w:rPr>
                <w:rFonts w:hint="eastAsia" w:cs="宋体"/>
                <w:color w:val="auto"/>
                <w:sz w:val="24"/>
                <w:szCs w:val="24"/>
                <w:lang w:val="zh-CN" w:bidi="zh-CN"/>
              </w:rPr>
            </w:pPr>
            <w:r>
              <w:rPr>
                <w:rFonts w:hint="eastAsia" w:cs="宋体"/>
                <w:color w:val="auto"/>
                <w:sz w:val="24"/>
                <w:szCs w:val="24"/>
                <w:lang w:val="zh-CN" w:bidi="zh-CN"/>
              </w:rPr>
              <w:t>根据《排污许可证申请与核发技术规范 废弃资源加工工业》（HJ 1034—2019）、《排污单位自行监测技术指南总则》（HJ819-2017），本项目不属于涉气重点排污单位、涉水重点排污单位，以及涉重金属、难降解有机物的重点排污单位，项目可能对土壤、地下水造成污染主要是在事故状态下，正常工况下无对土壤和地下水的污染途径，因此，本项目不拟设土壤、地下水跟踪监测点。</w:t>
            </w:r>
          </w:p>
          <w:p>
            <w:pPr>
              <w:pageBreakBefore w:val="0"/>
              <w:numPr>
                <w:ilvl w:val="0"/>
                <w:numId w:val="11"/>
              </w:numPr>
              <w:kinsoku/>
              <w:overflowPunct/>
              <w:bidi w:val="0"/>
              <w:spacing w:line="360" w:lineRule="auto"/>
              <w:ind w:firstLine="482" w:firstLineChars="200"/>
              <w:rPr>
                <w:rFonts w:hint="eastAsia" w:cs="Times New Roman"/>
                <w:b/>
                <w:bCs/>
                <w:color w:val="auto"/>
                <w:kern w:val="0"/>
                <w:sz w:val="24"/>
                <w:szCs w:val="24"/>
                <w:u w:val="none" w:color="auto"/>
                <w:lang w:val="en-US" w:eastAsia="zh-CN" w:bidi="ar"/>
              </w:rPr>
            </w:pPr>
            <w:r>
              <w:rPr>
                <w:rFonts w:hint="eastAsia" w:cs="Times New Roman"/>
                <w:b/>
                <w:bCs/>
                <w:color w:val="auto"/>
                <w:kern w:val="0"/>
                <w:sz w:val="24"/>
                <w:szCs w:val="24"/>
                <w:u w:val="none" w:color="auto"/>
                <w:lang w:val="en-US" w:eastAsia="zh-CN" w:bidi="ar"/>
              </w:rPr>
              <w:t>生态环境分析</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default"/>
                <w:color w:val="auto"/>
                <w:sz w:val="24"/>
                <w:szCs w:val="24"/>
                <w:lang w:val="en-US" w:eastAsia="zh-CN"/>
              </w:rPr>
            </w:pPr>
            <w:r>
              <w:rPr>
                <w:rFonts w:hint="default"/>
                <w:color w:val="auto"/>
                <w:sz w:val="24"/>
                <w:szCs w:val="24"/>
                <w:lang w:val="en-US" w:eastAsia="zh-CN"/>
              </w:rPr>
              <w:t>（1）土地利用方式改变影响分析</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default"/>
                <w:color w:val="auto"/>
                <w:sz w:val="24"/>
                <w:szCs w:val="24"/>
                <w:lang w:val="en-US" w:eastAsia="zh-CN"/>
              </w:rPr>
            </w:pPr>
            <w:r>
              <w:rPr>
                <w:rFonts w:hint="default"/>
                <w:color w:val="auto"/>
                <w:sz w:val="24"/>
                <w:szCs w:val="24"/>
                <w:lang w:val="en-US" w:eastAsia="zh-CN"/>
              </w:rPr>
              <w:t>本项目不改变现有生态环境。项目周边主要是树林，对当地植物及植被损坏较少。评价区域主要为工业用地，由于项目建设占地较小。建设未导致当地的土地利用方式发生变化，给当地现有生态环境造成影响的较小。项目建设对当地的土地的影响是可以接受的。</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default"/>
                <w:color w:val="auto"/>
                <w:sz w:val="24"/>
                <w:szCs w:val="24"/>
                <w:lang w:val="en-US" w:eastAsia="zh-CN"/>
              </w:rPr>
            </w:pPr>
            <w:r>
              <w:rPr>
                <w:rFonts w:hint="default"/>
                <w:color w:val="auto"/>
                <w:sz w:val="24"/>
                <w:szCs w:val="24"/>
                <w:lang w:val="en-US" w:eastAsia="zh-CN"/>
              </w:rPr>
              <w:t>（2）对动植物的环境影响</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default"/>
                <w:color w:val="auto"/>
                <w:sz w:val="24"/>
                <w:szCs w:val="24"/>
                <w:lang w:val="en-US" w:eastAsia="zh-CN"/>
              </w:rPr>
            </w:pPr>
            <w:r>
              <w:rPr>
                <w:rFonts w:hint="default"/>
                <w:color w:val="auto"/>
                <w:sz w:val="24"/>
                <w:szCs w:val="24"/>
                <w:lang w:val="en-US" w:eastAsia="zh-CN"/>
              </w:rPr>
              <w:t>项目施工期不对占用土地造成的植被破坏。项目占地范围内无珍稀植物种分布，项目所占用地上仅有少量杂草分布，虽然建设项目会造成评价区内植物物种数量的减少，但不会造成任何一植物种的消失，且项目区内将进行绿化和美化，物种多为观赏的树木、花卉等植物，对该区域的生物多样性会产生一些有利的影响。项目区没有发现野生的大型兽类的活动痕迹，主要动物是小型兽类、小型常见鸟类和蛙类等，兽类主要是啮齿类，种类及数量较少，它们中多数种类不同程度地对农、林业有危害，其中鼠科的种类危害更大。项目的建设将导致这些种类向周围扩散，可能导致厂区周边鼠类的增多、密度加大。鸟类运动能力特强，绝大多数鸟类适应能力较强，能迅速逃离不利环境，故不会对这些动物造成大的影响。</w:t>
            </w:r>
          </w:p>
          <w:p>
            <w:pPr>
              <w:pageBreakBefore w:val="0"/>
              <w:kinsoku/>
              <w:overflowPunct/>
              <w:bidi w:val="0"/>
              <w:spacing w:line="360" w:lineRule="auto"/>
              <w:ind w:firstLine="482" w:firstLineChars="200"/>
              <w:rPr>
                <w:rFonts w:hint="default" w:ascii="Times New Roman" w:hAnsi="Times New Roman" w:eastAsia="宋体" w:cs="Times New Roman"/>
                <w:b/>
                <w:bCs/>
                <w:color w:val="auto"/>
                <w:sz w:val="24"/>
                <w:szCs w:val="24"/>
                <w:u w:val="none" w:color="auto"/>
              </w:rPr>
            </w:pPr>
            <w:r>
              <w:rPr>
                <w:rFonts w:hint="eastAsia" w:cs="Times New Roman"/>
                <w:b/>
                <w:bCs/>
                <w:color w:val="auto"/>
                <w:kern w:val="0"/>
                <w:sz w:val="24"/>
                <w:szCs w:val="24"/>
                <w:u w:val="none" w:color="auto"/>
                <w:lang w:val="en-US" w:eastAsia="zh-CN" w:bidi="ar"/>
              </w:rPr>
              <w:t>七</w:t>
            </w:r>
            <w:r>
              <w:rPr>
                <w:rFonts w:hint="default" w:ascii="Times New Roman" w:hAnsi="Times New Roman" w:eastAsia="宋体" w:cs="Times New Roman"/>
                <w:b/>
                <w:bCs/>
                <w:color w:val="auto"/>
                <w:kern w:val="0"/>
                <w:sz w:val="24"/>
                <w:szCs w:val="24"/>
                <w:u w:val="none" w:color="auto"/>
                <w:lang w:val="en-US" w:eastAsia="zh-CN" w:bidi="ar"/>
              </w:rPr>
              <w:t>、</w:t>
            </w:r>
            <w:r>
              <w:rPr>
                <w:rFonts w:hint="default" w:ascii="Times New Roman" w:hAnsi="Times New Roman" w:eastAsia="宋体" w:cs="Times New Roman"/>
                <w:b/>
                <w:bCs/>
                <w:color w:val="auto"/>
                <w:sz w:val="24"/>
                <w:szCs w:val="24"/>
                <w:u w:val="none" w:color="auto"/>
              </w:rPr>
              <w:t>环境风险分析及防范措施</w:t>
            </w:r>
          </w:p>
          <w:p>
            <w:pPr>
              <w:pageBreakBefore w:val="0"/>
              <w:kinsoku/>
              <w:overflowPunct/>
              <w:bidi w:val="0"/>
              <w:spacing w:line="360" w:lineRule="auto"/>
              <w:ind w:firstLine="480" w:firstLineChars="200"/>
              <w:rPr>
                <w:rFonts w:hint="default" w:ascii="Times New Roman" w:hAnsi="Times New Roman" w:eastAsia="宋体" w:cs="Times New Roman"/>
                <w:color w:val="auto"/>
                <w:sz w:val="24"/>
                <w:szCs w:val="24"/>
                <w:u w:val="none" w:color="auto"/>
              </w:rPr>
            </w:pPr>
            <w:r>
              <w:rPr>
                <w:rFonts w:hint="default" w:ascii="Times New Roman" w:hAnsi="Times New Roman" w:eastAsia="宋体" w:cs="Times New Roman"/>
                <w:color w:val="auto"/>
                <w:sz w:val="24"/>
                <w:szCs w:val="24"/>
                <w:u w:val="none" w:color="auto"/>
              </w:rPr>
              <w:t>建设项目环境风险评价是分析和预测建设项目存在的潜在危险、有害素，对项目建设和运行期间的可预测突发性事件或事故（一般不包括人为破坏及自然灾害）引起的有毒有害、易燃易爆等物质泄漏，所造成的人身安全与环境影响和损害程度，提出合理可行的防范、应急与减缓措施，分析可能造成突发性事故的污染源及其影响，并以此为环境管理和生产部门提供决策依据。</w:t>
            </w:r>
          </w:p>
          <w:p>
            <w:pPr>
              <w:pageBreakBefore w:val="0"/>
              <w:kinsoku/>
              <w:overflowPunct/>
              <w:bidi w:val="0"/>
              <w:spacing w:line="360" w:lineRule="auto"/>
              <w:ind w:firstLine="482" w:firstLineChars="200"/>
              <w:rPr>
                <w:rFonts w:hint="default" w:ascii="Times New Roman" w:hAnsi="Times New Roman" w:eastAsia="宋体" w:cs="Times New Roman"/>
                <w:b/>
                <w:bCs/>
                <w:color w:val="auto"/>
                <w:sz w:val="24"/>
                <w:szCs w:val="24"/>
                <w:u w:val="none" w:color="auto"/>
                <w:lang w:val="en-US" w:eastAsia="zh-CN"/>
              </w:rPr>
            </w:pPr>
            <w:r>
              <w:rPr>
                <w:rFonts w:hint="eastAsia" w:cs="Times New Roman"/>
                <w:b/>
                <w:bCs/>
                <w:color w:val="auto"/>
                <w:sz w:val="24"/>
                <w:szCs w:val="24"/>
                <w:u w:val="none" w:color="auto"/>
                <w:lang w:val="en-US" w:eastAsia="zh-CN"/>
              </w:rPr>
              <w:t>1、</w:t>
            </w:r>
            <w:r>
              <w:rPr>
                <w:rFonts w:hint="default" w:ascii="Times New Roman" w:hAnsi="Times New Roman" w:eastAsia="宋体" w:cs="Times New Roman"/>
                <w:b/>
                <w:bCs/>
                <w:color w:val="auto"/>
                <w:sz w:val="24"/>
                <w:szCs w:val="24"/>
                <w:u w:val="none" w:color="auto"/>
                <w:lang w:val="en-US" w:eastAsia="zh-CN"/>
              </w:rPr>
              <w:t>风险潜势初判及评价工作等级划分</w:t>
            </w:r>
          </w:p>
          <w:p>
            <w:pPr>
              <w:pageBreakBefore w:val="0"/>
              <w:kinsoku/>
              <w:overflowPunct/>
              <w:bidi w:val="0"/>
              <w:spacing w:line="360" w:lineRule="auto"/>
              <w:ind w:firstLine="480" w:firstLineChars="200"/>
              <w:rPr>
                <w:rFonts w:hint="default" w:ascii="Times New Roman" w:hAnsi="Times New Roman" w:eastAsia="宋体" w:cs="Times New Roman"/>
                <w:color w:val="auto"/>
                <w:sz w:val="24"/>
                <w:szCs w:val="24"/>
                <w:u w:val="none" w:color="auto"/>
                <w:lang w:val="en-US" w:eastAsia="zh-CN"/>
              </w:rPr>
            </w:pPr>
            <w:r>
              <w:rPr>
                <w:rFonts w:hint="default" w:ascii="Times New Roman" w:hAnsi="Times New Roman" w:eastAsia="宋体" w:cs="Times New Roman"/>
                <w:color w:val="auto"/>
                <w:sz w:val="24"/>
                <w:szCs w:val="24"/>
                <w:u w:val="none" w:color="auto"/>
              </w:rPr>
              <w:t>根据《建设项目环境风险评价技术导则》（HJ 169-2018）附录B所列出的物质，本项目突发环境事件风险物质Q值计算详见表</w:t>
            </w:r>
            <w:r>
              <w:rPr>
                <w:rFonts w:hint="default" w:ascii="Times New Roman" w:hAnsi="Times New Roman" w:eastAsia="宋体" w:cs="Times New Roman"/>
                <w:color w:val="auto"/>
                <w:sz w:val="24"/>
                <w:szCs w:val="24"/>
                <w:u w:val="none" w:color="auto"/>
                <w:lang w:val="en-US" w:eastAsia="zh-CN"/>
              </w:rPr>
              <w:t>4-</w:t>
            </w:r>
            <w:r>
              <w:rPr>
                <w:rFonts w:hint="eastAsia" w:cs="Times New Roman"/>
                <w:color w:val="auto"/>
                <w:sz w:val="24"/>
                <w:szCs w:val="24"/>
                <w:u w:val="none" w:color="auto"/>
                <w:lang w:val="en-US" w:eastAsia="zh-CN"/>
              </w:rPr>
              <w:t>19</w:t>
            </w:r>
            <w:r>
              <w:rPr>
                <w:rFonts w:hint="default" w:ascii="Times New Roman" w:hAnsi="Times New Roman" w:eastAsia="宋体" w:cs="Times New Roman"/>
                <w:color w:val="auto"/>
                <w:sz w:val="24"/>
                <w:szCs w:val="24"/>
                <w:u w:val="none" w:color="auto"/>
                <w:lang w:val="en-US" w:eastAsia="zh-CN"/>
              </w:rPr>
              <w:t>。</w:t>
            </w:r>
          </w:p>
          <w:p>
            <w:pPr>
              <w:pStyle w:val="15"/>
              <w:keepNext w:val="0"/>
              <w:keepLines w:val="0"/>
              <w:pageBreakBefore w:val="0"/>
              <w:widowControl/>
              <w:kinsoku/>
              <w:wordWrap/>
              <w:overflowPunct/>
              <w:topLinePunct w:val="0"/>
              <w:autoSpaceDE/>
              <w:autoSpaceDN/>
              <w:bidi w:val="0"/>
              <w:adjustRightInd/>
              <w:snapToGrid/>
              <w:spacing w:before="0" w:beforeAutospacing="0" w:after="0" w:afterAutospacing="0" w:line="240" w:lineRule="auto"/>
              <w:jc w:val="center"/>
              <w:textAlignment w:val="auto"/>
              <w:outlineLvl w:val="0"/>
              <w:rPr>
                <w:rFonts w:hint="default" w:ascii="Times New Roman" w:hAnsi="Times New Roman" w:eastAsia="宋体" w:cs="Times New Roman"/>
                <w:b/>
                <w:bCs/>
                <w:color w:val="auto"/>
                <w:kern w:val="2"/>
                <w:sz w:val="21"/>
                <w:szCs w:val="21"/>
                <w:lang w:val="en-US" w:eastAsia="zh-CN" w:bidi="ar-SA"/>
              </w:rPr>
            </w:pPr>
            <w:r>
              <w:rPr>
                <w:rFonts w:hint="default" w:ascii="Times New Roman" w:hAnsi="Times New Roman" w:eastAsia="宋体" w:cs="Times New Roman"/>
                <w:b/>
                <w:bCs/>
                <w:color w:val="auto"/>
                <w:kern w:val="2"/>
                <w:sz w:val="21"/>
                <w:szCs w:val="21"/>
                <w:lang w:val="en-US" w:eastAsia="zh-CN" w:bidi="ar-SA"/>
              </w:rPr>
              <w:t>表4-</w:t>
            </w:r>
            <w:r>
              <w:rPr>
                <w:rFonts w:hint="eastAsia" w:ascii="Times New Roman" w:hAnsi="Times New Roman" w:eastAsia="宋体" w:cs="Times New Roman"/>
                <w:b/>
                <w:bCs/>
                <w:color w:val="auto"/>
                <w:kern w:val="2"/>
                <w:sz w:val="21"/>
                <w:szCs w:val="21"/>
                <w:lang w:val="en-US" w:eastAsia="zh-CN" w:bidi="ar-SA"/>
              </w:rPr>
              <w:t xml:space="preserve">19 </w:t>
            </w:r>
            <w:r>
              <w:rPr>
                <w:rFonts w:hint="default" w:ascii="Times New Roman" w:hAnsi="Times New Roman" w:eastAsia="宋体" w:cs="Times New Roman"/>
                <w:b/>
                <w:bCs/>
                <w:color w:val="auto"/>
                <w:kern w:val="2"/>
                <w:sz w:val="21"/>
                <w:szCs w:val="21"/>
                <w:lang w:val="en-US" w:eastAsia="zh-CN" w:bidi="ar-SA"/>
              </w:rPr>
              <w:t xml:space="preserve"> 项目突发环境事件风险物质Q值确定表</w:t>
            </w:r>
          </w:p>
          <w:tbl>
            <w:tblPr>
              <w:tblStyle w:val="19"/>
              <w:tblW w:w="4996"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149"/>
              <w:gridCol w:w="1975"/>
              <w:gridCol w:w="1091"/>
              <w:gridCol w:w="1579"/>
              <w:gridCol w:w="1205"/>
              <w:gridCol w:w="1031"/>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716"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u w:val="none" w:color="auto"/>
                      <w:vertAlign w:val="baseline"/>
                      <w:lang w:val="en-US" w:eastAsia="zh-CN"/>
                    </w:rPr>
                  </w:pPr>
                  <w:r>
                    <w:rPr>
                      <w:rFonts w:hint="default" w:ascii="Times New Roman" w:hAnsi="Times New Roman" w:eastAsia="宋体" w:cs="Times New Roman"/>
                      <w:b w:val="0"/>
                      <w:bCs w:val="0"/>
                      <w:color w:val="auto"/>
                      <w:sz w:val="21"/>
                      <w:szCs w:val="21"/>
                      <w:u w:val="none" w:color="auto"/>
                      <w:vertAlign w:val="baseline"/>
                      <w:lang w:val="en-US" w:eastAsia="zh-CN"/>
                    </w:rPr>
                    <w:t>序号</w:t>
                  </w:r>
                </w:p>
              </w:tc>
              <w:tc>
                <w:tcPr>
                  <w:tcW w:w="1230"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u w:val="none" w:color="auto"/>
                      <w:vertAlign w:val="baseline"/>
                      <w:lang w:val="en-US" w:eastAsia="zh-CN"/>
                    </w:rPr>
                  </w:pPr>
                  <w:r>
                    <w:rPr>
                      <w:rFonts w:hint="default" w:ascii="Times New Roman" w:hAnsi="Times New Roman" w:eastAsia="宋体" w:cs="Times New Roman"/>
                      <w:b w:val="0"/>
                      <w:bCs w:val="0"/>
                      <w:color w:val="auto"/>
                      <w:sz w:val="21"/>
                      <w:szCs w:val="21"/>
                      <w:u w:val="none" w:color="auto"/>
                      <w:vertAlign w:val="baseline"/>
                      <w:lang w:val="en-US" w:eastAsia="zh-CN"/>
                    </w:rPr>
                    <w:t>风险物质名称</w:t>
                  </w:r>
                </w:p>
              </w:tc>
              <w:tc>
                <w:tcPr>
                  <w:tcW w:w="679"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u w:val="none" w:color="auto"/>
                      <w:vertAlign w:val="baseline"/>
                      <w:lang w:val="en-US" w:eastAsia="zh-CN"/>
                    </w:rPr>
                  </w:pPr>
                  <w:r>
                    <w:rPr>
                      <w:rFonts w:hint="default" w:ascii="Times New Roman" w:hAnsi="Times New Roman" w:eastAsia="宋体" w:cs="Times New Roman"/>
                      <w:b w:val="0"/>
                      <w:bCs w:val="0"/>
                      <w:color w:val="auto"/>
                      <w:sz w:val="21"/>
                      <w:szCs w:val="21"/>
                      <w:u w:val="none" w:color="auto"/>
                      <w:vertAlign w:val="baseline"/>
                      <w:lang w:val="en-US" w:eastAsia="zh-CN"/>
                    </w:rPr>
                    <w:t>CAS号</w:t>
                  </w:r>
                </w:p>
              </w:tc>
              <w:tc>
                <w:tcPr>
                  <w:tcW w:w="983"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u w:val="none" w:color="auto"/>
                      <w:vertAlign w:val="baseline"/>
                      <w:lang w:val="en-US" w:eastAsia="zh-CN"/>
                    </w:rPr>
                  </w:pPr>
                  <w:r>
                    <w:rPr>
                      <w:rFonts w:hint="default" w:ascii="Times New Roman" w:hAnsi="Times New Roman" w:eastAsia="宋体" w:cs="Times New Roman"/>
                      <w:b w:val="0"/>
                      <w:bCs w:val="0"/>
                      <w:color w:val="auto"/>
                      <w:sz w:val="21"/>
                      <w:szCs w:val="21"/>
                      <w:u w:val="none" w:color="auto"/>
                      <w:vertAlign w:val="baseline"/>
                      <w:lang w:val="en-US" w:eastAsia="zh-CN"/>
                    </w:rPr>
                    <w:t>最大储存量q/t</w:t>
                  </w:r>
                </w:p>
              </w:tc>
              <w:tc>
                <w:tcPr>
                  <w:tcW w:w="749"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u w:val="none" w:color="auto"/>
                      <w:vertAlign w:val="baseline"/>
                      <w:lang w:val="en-US" w:eastAsia="zh-CN"/>
                    </w:rPr>
                  </w:pPr>
                  <w:r>
                    <w:rPr>
                      <w:rFonts w:hint="default" w:ascii="Times New Roman" w:hAnsi="Times New Roman" w:eastAsia="宋体" w:cs="Times New Roman"/>
                      <w:b w:val="0"/>
                      <w:bCs w:val="0"/>
                      <w:color w:val="auto"/>
                      <w:sz w:val="21"/>
                      <w:szCs w:val="21"/>
                      <w:u w:val="none" w:color="auto"/>
                      <w:vertAlign w:val="baseline"/>
                      <w:lang w:val="en-US" w:eastAsia="zh-CN"/>
                    </w:rPr>
                    <w:t>临界量Q/t</w:t>
                  </w:r>
                </w:p>
              </w:tc>
              <w:tc>
                <w:tcPr>
                  <w:tcW w:w="641"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u w:val="none" w:color="auto"/>
                      <w:vertAlign w:val="baseline"/>
                      <w:lang w:val="en-US" w:eastAsia="zh-CN"/>
                    </w:rPr>
                  </w:pPr>
                  <w:r>
                    <w:rPr>
                      <w:rFonts w:hint="default" w:ascii="Times New Roman" w:hAnsi="Times New Roman" w:eastAsia="宋体" w:cs="Times New Roman"/>
                      <w:b w:val="0"/>
                      <w:bCs w:val="0"/>
                      <w:color w:val="auto"/>
                      <w:sz w:val="21"/>
                      <w:szCs w:val="21"/>
                      <w:u w:val="none" w:color="auto"/>
                      <w:vertAlign w:val="baseline"/>
                      <w:lang w:val="en-US" w:eastAsia="zh-CN"/>
                    </w:rPr>
                    <w:t>Q值q/Q</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716"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u w:val="none" w:color="auto"/>
                      <w:vertAlign w:val="baseline"/>
                      <w:lang w:val="en-US" w:eastAsia="zh-CN"/>
                    </w:rPr>
                  </w:pPr>
                  <w:r>
                    <w:rPr>
                      <w:rFonts w:hint="default" w:ascii="Times New Roman" w:hAnsi="Times New Roman" w:eastAsia="宋体" w:cs="Times New Roman"/>
                      <w:b w:val="0"/>
                      <w:bCs w:val="0"/>
                      <w:color w:val="auto"/>
                      <w:sz w:val="21"/>
                      <w:szCs w:val="21"/>
                      <w:u w:val="none" w:color="auto"/>
                      <w:vertAlign w:val="baseline"/>
                      <w:lang w:val="en-US" w:eastAsia="zh-CN"/>
                    </w:rPr>
                    <w:t>1</w:t>
                  </w:r>
                </w:p>
              </w:tc>
              <w:tc>
                <w:tcPr>
                  <w:tcW w:w="1230"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u w:val="none" w:color="auto"/>
                      <w:vertAlign w:val="baseline"/>
                      <w:lang w:val="en-US" w:eastAsia="zh-CN"/>
                    </w:rPr>
                  </w:pPr>
                  <w:r>
                    <w:rPr>
                      <w:rFonts w:hint="eastAsia" w:ascii="Times New Roman" w:hAnsi="Times New Roman" w:eastAsia="宋体" w:cs="Times New Roman"/>
                      <w:b w:val="0"/>
                      <w:bCs w:val="0"/>
                      <w:color w:val="auto"/>
                      <w:sz w:val="21"/>
                      <w:szCs w:val="21"/>
                      <w:u w:val="none" w:color="auto"/>
                      <w:vertAlign w:val="baseline"/>
                      <w:lang w:val="en-US" w:eastAsia="zh-CN"/>
                    </w:rPr>
                    <w:t>废油液</w:t>
                  </w:r>
                </w:p>
              </w:tc>
              <w:tc>
                <w:tcPr>
                  <w:tcW w:w="679"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u w:val="none" w:color="auto"/>
                      <w:vertAlign w:val="baseline"/>
                      <w:lang w:val="en-US" w:eastAsia="zh-CN"/>
                    </w:rPr>
                  </w:pPr>
                  <w:r>
                    <w:rPr>
                      <w:rFonts w:hint="eastAsia" w:ascii="Times New Roman" w:hAnsi="Times New Roman" w:eastAsia="宋体" w:cs="Times New Roman"/>
                      <w:b w:val="0"/>
                      <w:bCs w:val="0"/>
                      <w:color w:val="auto"/>
                      <w:sz w:val="21"/>
                      <w:szCs w:val="21"/>
                      <w:u w:val="none" w:color="auto"/>
                      <w:vertAlign w:val="baseline"/>
                      <w:lang w:val="en-US" w:eastAsia="zh-CN"/>
                    </w:rPr>
                    <w:t>/</w:t>
                  </w:r>
                </w:p>
              </w:tc>
              <w:tc>
                <w:tcPr>
                  <w:tcW w:w="983"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u w:val="none" w:color="auto"/>
                      <w:vertAlign w:val="baseline"/>
                      <w:lang w:val="en-US" w:eastAsia="zh-CN"/>
                    </w:rPr>
                  </w:pPr>
                  <w:r>
                    <w:rPr>
                      <w:rFonts w:hint="eastAsia" w:cs="Times New Roman"/>
                      <w:b w:val="0"/>
                      <w:bCs w:val="0"/>
                      <w:color w:val="auto"/>
                      <w:sz w:val="21"/>
                      <w:szCs w:val="21"/>
                      <w:u w:val="none" w:color="auto"/>
                      <w:vertAlign w:val="baseline"/>
                      <w:lang w:val="en-US" w:eastAsia="zh-CN"/>
                    </w:rPr>
                    <w:t>25</w:t>
                  </w:r>
                </w:p>
              </w:tc>
              <w:tc>
                <w:tcPr>
                  <w:tcW w:w="749"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u w:val="none" w:color="auto"/>
                      <w:vertAlign w:val="baseline"/>
                      <w:lang w:val="en-US" w:eastAsia="zh-CN"/>
                    </w:rPr>
                  </w:pPr>
                  <w:r>
                    <w:rPr>
                      <w:rFonts w:hint="eastAsia" w:ascii="Times New Roman" w:hAnsi="Times New Roman" w:eastAsia="宋体" w:cs="Times New Roman"/>
                      <w:b w:val="0"/>
                      <w:bCs w:val="0"/>
                      <w:color w:val="auto"/>
                      <w:sz w:val="21"/>
                      <w:szCs w:val="21"/>
                      <w:u w:val="none" w:color="auto"/>
                      <w:vertAlign w:val="baseline"/>
                      <w:lang w:val="en-US" w:eastAsia="zh-CN"/>
                    </w:rPr>
                    <w:t>2500</w:t>
                  </w:r>
                </w:p>
              </w:tc>
              <w:tc>
                <w:tcPr>
                  <w:tcW w:w="641"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u w:val="none" w:color="auto"/>
                      <w:vertAlign w:val="baseline"/>
                      <w:lang w:val="en-US" w:eastAsia="zh-CN"/>
                    </w:rPr>
                  </w:pPr>
                  <w:r>
                    <w:rPr>
                      <w:rFonts w:hint="eastAsia" w:cs="Times New Roman"/>
                      <w:b w:val="0"/>
                      <w:bCs w:val="0"/>
                      <w:color w:val="auto"/>
                      <w:sz w:val="21"/>
                      <w:szCs w:val="21"/>
                      <w:u w:val="none" w:color="auto"/>
                      <w:vertAlign w:val="baseline"/>
                      <w:lang w:val="en-US" w:eastAsia="zh-CN"/>
                    </w:rPr>
                    <w:t>0.01</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716"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u w:val="none" w:color="auto"/>
                      <w:vertAlign w:val="baseline"/>
                      <w:lang w:val="en-US" w:eastAsia="zh-CN"/>
                    </w:rPr>
                  </w:pPr>
                  <w:r>
                    <w:rPr>
                      <w:rFonts w:hint="eastAsia" w:cs="Times New Roman"/>
                      <w:b w:val="0"/>
                      <w:bCs w:val="0"/>
                      <w:color w:val="auto"/>
                      <w:sz w:val="21"/>
                      <w:szCs w:val="21"/>
                      <w:u w:val="none" w:color="auto"/>
                      <w:vertAlign w:val="baseline"/>
                      <w:lang w:val="en-US" w:eastAsia="zh-CN"/>
                    </w:rPr>
                    <w:t>2</w:t>
                  </w:r>
                </w:p>
              </w:tc>
              <w:tc>
                <w:tcPr>
                  <w:tcW w:w="1230"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auto"/>
                      <w:sz w:val="21"/>
                      <w:szCs w:val="21"/>
                      <w:u w:val="none" w:color="auto"/>
                      <w:vertAlign w:val="baseline"/>
                      <w:lang w:val="en-US" w:eastAsia="zh-CN"/>
                    </w:rPr>
                  </w:pPr>
                  <w:r>
                    <w:rPr>
                      <w:rFonts w:hint="eastAsia" w:cs="Times New Roman"/>
                      <w:b w:val="0"/>
                      <w:bCs w:val="0"/>
                      <w:color w:val="auto"/>
                      <w:sz w:val="21"/>
                      <w:szCs w:val="21"/>
                      <w:u w:val="none" w:color="auto"/>
                      <w:vertAlign w:val="baseline"/>
                      <w:lang w:val="en-US" w:eastAsia="zh-CN"/>
                    </w:rPr>
                    <w:t>燃油</w:t>
                  </w:r>
                </w:p>
              </w:tc>
              <w:tc>
                <w:tcPr>
                  <w:tcW w:w="679"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auto"/>
                      <w:sz w:val="21"/>
                      <w:szCs w:val="21"/>
                      <w:u w:val="none" w:color="auto"/>
                      <w:vertAlign w:val="baseline"/>
                      <w:lang w:val="en-US" w:eastAsia="zh-CN"/>
                    </w:rPr>
                  </w:pPr>
                  <w:r>
                    <w:rPr>
                      <w:rFonts w:hint="eastAsia" w:cs="Times New Roman"/>
                      <w:b w:val="0"/>
                      <w:bCs w:val="0"/>
                      <w:color w:val="auto"/>
                      <w:sz w:val="21"/>
                      <w:szCs w:val="21"/>
                      <w:u w:val="none" w:color="auto"/>
                      <w:vertAlign w:val="baseline"/>
                      <w:lang w:val="en-US" w:eastAsia="zh-CN"/>
                    </w:rPr>
                    <w:t>/</w:t>
                  </w:r>
                </w:p>
              </w:tc>
              <w:tc>
                <w:tcPr>
                  <w:tcW w:w="983"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u w:val="none" w:color="auto"/>
                      <w:vertAlign w:val="baseline"/>
                      <w:lang w:val="en-US" w:eastAsia="zh-CN"/>
                    </w:rPr>
                  </w:pPr>
                  <w:r>
                    <w:rPr>
                      <w:rFonts w:hint="eastAsia" w:cs="Times New Roman"/>
                      <w:b w:val="0"/>
                      <w:bCs w:val="0"/>
                      <w:color w:val="auto"/>
                      <w:sz w:val="21"/>
                      <w:szCs w:val="21"/>
                      <w:u w:val="none" w:color="auto"/>
                      <w:vertAlign w:val="baseline"/>
                      <w:lang w:val="en-US" w:eastAsia="zh-CN"/>
                    </w:rPr>
                    <w:t>11</w:t>
                  </w:r>
                </w:p>
              </w:tc>
              <w:tc>
                <w:tcPr>
                  <w:tcW w:w="749"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auto"/>
                      <w:sz w:val="21"/>
                      <w:szCs w:val="21"/>
                      <w:u w:val="none" w:color="auto"/>
                      <w:vertAlign w:val="baseline"/>
                      <w:lang w:val="en-US" w:eastAsia="zh-CN"/>
                    </w:rPr>
                  </w:pPr>
                  <w:r>
                    <w:rPr>
                      <w:rFonts w:hint="eastAsia" w:ascii="Times New Roman" w:hAnsi="Times New Roman" w:eastAsia="宋体" w:cs="Times New Roman"/>
                      <w:b w:val="0"/>
                      <w:bCs w:val="0"/>
                      <w:color w:val="auto"/>
                      <w:sz w:val="21"/>
                      <w:szCs w:val="21"/>
                      <w:u w:val="none" w:color="auto"/>
                      <w:vertAlign w:val="baseline"/>
                      <w:lang w:val="en-US" w:eastAsia="zh-CN"/>
                    </w:rPr>
                    <w:t>2500</w:t>
                  </w:r>
                </w:p>
              </w:tc>
              <w:tc>
                <w:tcPr>
                  <w:tcW w:w="641"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u w:val="none" w:color="auto"/>
                      <w:vertAlign w:val="baseline"/>
                      <w:lang w:val="en-US" w:eastAsia="zh-CN"/>
                    </w:rPr>
                  </w:pPr>
                  <w:r>
                    <w:rPr>
                      <w:rFonts w:hint="eastAsia" w:cs="Times New Roman"/>
                      <w:b w:val="0"/>
                      <w:bCs w:val="0"/>
                      <w:color w:val="auto"/>
                      <w:sz w:val="21"/>
                      <w:szCs w:val="21"/>
                      <w:u w:val="none" w:color="auto"/>
                      <w:vertAlign w:val="baseline"/>
                      <w:lang w:val="en-US" w:eastAsia="zh-CN"/>
                    </w:rPr>
                    <w:t>0.0044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716"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u w:val="none" w:color="auto"/>
                      <w:vertAlign w:val="baseline"/>
                      <w:lang w:val="en-US" w:eastAsia="zh-CN"/>
                    </w:rPr>
                  </w:pPr>
                  <w:r>
                    <w:rPr>
                      <w:rFonts w:hint="eastAsia" w:cs="Times New Roman"/>
                      <w:b w:val="0"/>
                      <w:bCs w:val="0"/>
                      <w:color w:val="auto"/>
                      <w:sz w:val="21"/>
                      <w:szCs w:val="21"/>
                      <w:u w:val="none" w:color="auto"/>
                      <w:vertAlign w:val="baseline"/>
                      <w:lang w:val="en-US" w:eastAsia="zh-CN"/>
                    </w:rPr>
                    <w:t>3</w:t>
                  </w:r>
                </w:p>
              </w:tc>
              <w:tc>
                <w:tcPr>
                  <w:tcW w:w="1230"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u w:val="none" w:color="auto"/>
                      <w:vertAlign w:val="baseline"/>
                      <w:lang w:val="en-US" w:eastAsia="zh-CN"/>
                    </w:rPr>
                  </w:pPr>
                  <w:r>
                    <w:rPr>
                      <w:rFonts w:hint="eastAsia" w:cs="Times New Roman"/>
                      <w:b w:val="0"/>
                      <w:bCs w:val="0"/>
                      <w:color w:val="auto"/>
                      <w:sz w:val="21"/>
                      <w:szCs w:val="21"/>
                      <w:u w:val="none" w:color="auto"/>
                      <w:vertAlign w:val="baseline"/>
                      <w:lang w:val="en-US" w:eastAsia="zh-CN"/>
                    </w:rPr>
                    <w:t>硫酸</w:t>
                  </w:r>
                </w:p>
              </w:tc>
              <w:tc>
                <w:tcPr>
                  <w:tcW w:w="679"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cs="Times New Roman"/>
                      <w:b w:val="0"/>
                      <w:bCs w:val="0"/>
                      <w:color w:val="auto"/>
                      <w:sz w:val="21"/>
                      <w:szCs w:val="21"/>
                      <w:u w:val="none" w:color="auto"/>
                      <w:vertAlign w:val="baseline"/>
                      <w:lang w:val="en-US" w:eastAsia="zh-CN"/>
                    </w:rPr>
                  </w:pPr>
                  <w:r>
                    <w:rPr>
                      <w:rFonts w:hint="eastAsia" w:cs="Times New Roman"/>
                      <w:b w:val="0"/>
                      <w:bCs w:val="0"/>
                      <w:color w:val="auto"/>
                      <w:sz w:val="21"/>
                      <w:szCs w:val="21"/>
                      <w:u w:val="none" w:color="auto"/>
                      <w:vertAlign w:val="baseline"/>
                      <w:lang w:val="en-US" w:eastAsia="zh-CN"/>
                    </w:rPr>
                    <w:t>7664-93-9</w:t>
                  </w:r>
                </w:p>
              </w:tc>
              <w:tc>
                <w:tcPr>
                  <w:tcW w:w="983"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u w:val="none" w:color="auto"/>
                      <w:vertAlign w:val="baseline"/>
                      <w:lang w:val="en-US" w:eastAsia="zh-CN"/>
                    </w:rPr>
                  </w:pPr>
                  <w:r>
                    <w:rPr>
                      <w:rFonts w:hint="eastAsia" w:cs="Times New Roman"/>
                      <w:b w:val="0"/>
                      <w:bCs w:val="0"/>
                      <w:color w:val="auto"/>
                      <w:sz w:val="21"/>
                      <w:szCs w:val="21"/>
                      <w:u w:val="none" w:color="auto"/>
                      <w:vertAlign w:val="baseline"/>
                      <w:lang w:val="en-US" w:eastAsia="zh-CN"/>
                    </w:rPr>
                    <w:t>2.4</w:t>
                  </w:r>
                </w:p>
              </w:tc>
              <w:tc>
                <w:tcPr>
                  <w:tcW w:w="749"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u w:val="none" w:color="auto"/>
                      <w:vertAlign w:val="baseline"/>
                      <w:lang w:val="en-US" w:eastAsia="zh-CN"/>
                    </w:rPr>
                  </w:pPr>
                  <w:r>
                    <w:rPr>
                      <w:rFonts w:hint="eastAsia" w:ascii="Times New Roman" w:hAnsi="Times New Roman" w:eastAsia="宋体" w:cs="Times New Roman"/>
                      <w:b w:val="0"/>
                      <w:bCs w:val="0"/>
                      <w:color w:val="auto"/>
                      <w:sz w:val="21"/>
                      <w:szCs w:val="21"/>
                      <w:u w:val="none" w:color="auto"/>
                      <w:vertAlign w:val="baseline"/>
                      <w:lang w:val="en-US" w:eastAsia="zh-CN"/>
                    </w:rPr>
                    <w:t>10</w:t>
                  </w:r>
                </w:p>
              </w:tc>
              <w:tc>
                <w:tcPr>
                  <w:tcW w:w="641"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u w:val="none" w:color="auto"/>
                      <w:vertAlign w:val="baseline"/>
                      <w:lang w:val="en-US" w:eastAsia="zh-CN"/>
                    </w:rPr>
                  </w:pPr>
                  <w:r>
                    <w:rPr>
                      <w:rFonts w:hint="eastAsia" w:cs="Times New Roman"/>
                      <w:b w:val="0"/>
                      <w:bCs w:val="0"/>
                      <w:color w:val="auto"/>
                      <w:sz w:val="21"/>
                      <w:szCs w:val="21"/>
                      <w:u w:val="none" w:color="auto"/>
                      <w:vertAlign w:val="baseline"/>
                      <w:lang w:val="en-US" w:eastAsia="zh-CN"/>
                    </w:rPr>
                    <w:t>0.24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716"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u w:val="none" w:color="auto"/>
                      <w:vertAlign w:val="baseline"/>
                      <w:lang w:val="en-US" w:eastAsia="zh-CN"/>
                    </w:rPr>
                  </w:pPr>
                  <w:r>
                    <w:rPr>
                      <w:rFonts w:hint="eastAsia" w:cs="Times New Roman"/>
                      <w:b w:val="0"/>
                      <w:bCs w:val="0"/>
                      <w:color w:val="auto"/>
                      <w:sz w:val="21"/>
                      <w:szCs w:val="21"/>
                      <w:u w:val="none" w:color="auto"/>
                      <w:vertAlign w:val="baseline"/>
                      <w:lang w:val="en-US" w:eastAsia="zh-CN"/>
                    </w:rPr>
                    <w:t>4</w:t>
                  </w:r>
                </w:p>
              </w:tc>
              <w:tc>
                <w:tcPr>
                  <w:tcW w:w="1230"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cs="Times New Roman"/>
                      <w:b w:val="0"/>
                      <w:bCs w:val="0"/>
                      <w:color w:val="auto"/>
                      <w:sz w:val="21"/>
                      <w:szCs w:val="21"/>
                      <w:u w:val="none" w:color="auto"/>
                      <w:vertAlign w:val="baseline"/>
                      <w:lang w:val="en-US" w:eastAsia="zh-CN"/>
                    </w:rPr>
                  </w:pPr>
                  <w:r>
                    <w:rPr>
                      <w:rFonts w:hint="eastAsia" w:cs="Times New Roman"/>
                      <w:b w:val="0"/>
                      <w:bCs w:val="0"/>
                      <w:color w:val="auto"/>
                      <w:sz w:val="21"/>
                      <w:szCs w:val="21"/>
                      <w:u w:val="none" w:color="auto"/>
                      <w:vertAlign w:val="baseline"/>
                      <w:lang w:val="en-US" w:eastAsia="zh-CN"/>
                    </w:rPr>
                    <w:t>多氯联苯</w:t>
                  </w:r>
                </w:p>
              </w:tc>
              <w:tc>
                <w:tcPr>
                  <w:tcW w:w="679"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cs="Times New Roman"/>
                      <w:b w:val="0"/>
                      <w:bCs w:val="0"/>
                      <w:color w:val="auto"/>
                      <w:sz w:val="21"/>
                      <w:szCs w:val="21"/>
                      <w:u w:val="none" w:color="auto"/>
                      <w:vertAlign w:val="baseline"/>
                      <w:lang w:val="en-US" w:eastAsia="zh-CN"/>
                    </w:rPr>
                  </w:pPr>
                  <w:r>
                    <w:rPr>
                      <w:rFonts w:hint="eastAsia" w:cs="Times New Roman"/>
                      <w:b w:val="0"/>
                      <w:bCs w:val="0"/>
                      <w:color w:val="auto"/>
                      <w:sz w:val="21"/>
                      <w:szCs w:val="21"/>
                      <w:u w:val="none" w:color="auto"/>
                      <w:vertAlign w:val="baseline"/>
                      <w:lang w:val="en-US" w:eastAsia="zh-CN"/>
                    </w:rPr>
                    <w:t>1336-36-3</w:t>
                  </w:r>
                </w:p>
              </w:tc>
              <w:tc>
                <w:tcPr>
                  <w:tcW w:w="983"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u w:val="none" w:color="auto"/>
                      <w:vertAlign w:val="baseline"/>
                      <w:lang w:val="en-US" w:eastAsia="zh-CN"/>
                    </w:rPr>
                  </w:pPr>
                  <w:r>
                    <w:rPr>
                      <w:rFonts w:hint="eastAsia" w:cs="Times New Roman"/>
                      <w:b w:val="0"/>
                      <w:bCs w:val="0"/>
                      <w:color w:val="auto"/>
                      <w:sz w:val="21"/>
                      <w:szCs w:val="21"/>
                      <w:u w:val="none" w:color="auto"/>
                      <w:vertAlign w:val="baseline"/>
                      <w:lang w:val="en-US" w:eastAsia="zh-CN"/>
                    </w:rPr>
                    <w:t>0.5</w:t>
                  </w:r>
                </w:p>
              </w:tc>
              <w:tc>
                <w:tcPr>
                  <w:tcW w:w="749"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u w:val="none" w:color="auto"/>
                      <w:vertAlign w:val="baseline"/>
                      <w:lang w:val="en-US" w:eastAsia="zh-CN"/>
                    </w:rPr>
                  </w:pPr>
                  <w:r>
                    <w:rPr>
                      <w:rFonts w:hint="eastAsia" w:ascii="Times New Roman" w:hAnsi="Times New Roman" w:eastAsia="宋体" w:cs="Times New Roman"/>
                      <w:b w:val="0"/>
                      <w:bCs w:val="0"/>
                      <w:color w:val="auto"/>
                      <w:sz w:val="21"/>
                      <w:szCs w:val="21"/>
                      <w:u w:val="none" w:color="auto"/>
                      <w:vertAlign w:val="baseline"/>
                      <w:lang w:val="en-US" w:eastAsia="zh-CN"/>
                    </w:rPr>
                    <w:t>2.5</w:t>
                  </w:r>
                </w:p>
              </w:tc>
              <w:tc>
                <w:tcPr>
                  <w:tcW w:w="641"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u w:val="none" w:color="auto"/>
                      <w:vertAlign w:val="baseline"/>
                      <w:lang w:val="en-US" w:eastAsia="zh-CN"/>
                    </w:rPr>
                  </w:pPr>
                  <w:r>
                    <w:rPr>
                      <w:rFonts w:hint="eastAsia" w:cs="Times New Roman"/>
                      <w:b w:val="0"/>
                      <w:bCs w:val="0"/>
                      <w:color w:val="auto"/>
                      <w:sz w:val="21"/>
                      <w:szCs w:val="21"/>
                      <w:u w:val="none" w:color="auto"/>
                      <w:vertAlign w:val="baseline"/>
                      <w:lang w:val="en-US" w:eastAsia="zh-CN"/>
                    </w:rPr>
                    <w:t>0.2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716"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u w:val="none" w:color="auto"/>
                      <w:vertAlign w:val="baseline"/>
                      <w:lang w:val="en-US" w:eastAsia="zh-CN"/>
                    </w:rPr>
                  </w:pPr>
                  <w:r>
                    <w:rPr>
                      <w:rFonts w:hint="eastAsia" w:cs="Times New Roman"/>
                      <w:b w:val="0"/>
                      <w:bCs w:val="0"/>
                      <w:color w:val="auto"/>
                      <w:sz w:val="21"/>
                      <w:szCs w:val="21"/>
                      <w:u w:val="none" w:color="auto"/>
                      <w:vertAlign w:val="baseline"/>
                      <w:lang w:val="en-US" w:eastAsia="zh-CN"/>
                    </w:rPr>
                    <w:t>5</w:t>
                  </w:r>
                </w:p>
              </w:tc>
              <w:tc>
                <w:tcPr>
                  <w:tcW w:w="1230"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cs="Times New Roman"/>
                      <w:b w:val="0"/>
                      <w:bCs w:val="0"/>
                      <w:color w:val="auto"/>
                      <w:sz w:val="21"/>
                      <w:szCs w:val="21"/>
                      <w:u w:val="none" w:color="auto"/>
                      <w:vertAlign w:val="baseline"/>
                      <w:lang w:val="en-US" w:eastAsia="zh-CN"/>
                    </w:rPr>
                  </w:pPr>
                  <w:r>
                    <w:rPr>
                      <w:rFonts w:hint="eastAsia" w:cs="Times New Roman"/>
                      <w:b w:val="0"/>
                      <w:bCs w:val="0"/>
                      <w:color w:val="auto"/>
                      <w:sz w:val="21"/>
                      <w:szCs w:val="21"/>
                      <w:u w:val="none" w:color="auto"/>
                      <w:vertAlign w:val="baseline"/>
                      <w:lang w:val="en-US" w:eastAsia="zh-CN"/>
                    </w:rPr>
                    <w:t>含汞、含铅部件</w:t>
                  </w:r>
                </w:p>
              </w:tc>
              <w:tc>
                <w:tcPr>
                  <w:tcW w:w="679"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cs="Times New Roman"/>
                      <w:b w:val="0"/>
                      <w:bCs w:val="0"/>
                      <w:color w:val="auto"/>
                      <w:sz w:val="21"/>
                      <w:szCs w:val="21"/>
                      <w:u w:val="none" w:color="auto"/>
                      <w:vertAlign w:val="baseline"/>
                      <w:lang w:val="en-US" w:eastAsia="zh-CN"/>
                    </w:rPr>
                  </w:pPr>
                  <w:r>
                    <w:rPr>
                      <w:rFonts w:hint="eastAsia" w:cs="Times New Roman"/>
                      <w:b w:val="0"/>
                      <w:bCs w:val="0"/>
                      <w:color w:val="auto"/>
                      <w:sz w:val="21"/>
                      <w:szCs w:val="21"/>
                      <w:u w:val="none" w:color="auto"/>
                      <w:vertAlign w:val="baseline"/>
                      <w:lang w:val="en-US" w:eastAsia="zh-CN"/>
                    </w:rPr>
                    <w:t>7439-97-6</w:t>
                  </w:r>
                </w:p>
              </w:tc>
              <w:tc>
                <w:tcPr>
                  <w:tcW w:w="983"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u w:val="none" w:color="auto"/>
                      <w:vertAlign w:val="baseline"/>
                      <w:lang w:val="en-US" w:eastAsia="zh-CN"/>
                    </w:rPr>
                  </w:pPr>
                  <w:r>
                    <w:rPr>
                      <w:rFonts w:hint="eastAsia" w:cs="Times New Roman"/>
                      <w:b w:val="0"/>
                      <w:bCs w:val="0"/>
                      <w:color w:val="auto"/>
                      <w:sz w:val="21"/>
                      <w:szCs w:val="21"/>
                      <w:u w:val="none" w:color="auto"/>
                      <w:vertAlign w:val="baseline"/>
                      <w:lang w:val="en-US" w:eastAsia="zh-CN"/>
                    </w:rPr>
                    <w:t>0.125</w:t>
                  </w:r>
                </w:p>
              </w:tc>
              <w:tc>
                <w:tcPr>
                  <w:tcW w:w="749"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u w:val="none" w:color="auto"/>
                      <w:vertAlign w:val="baseline"/>
                      <w:lang w:val="en-US" w:eastAsia="zh-CN"/>
                    </w:rPr>
                  </w:pPr>
                  <w:r>
                    <w:rPr>
                      <w:rFonts w:hint="eastAsia" w:ascii="Times New Roman" w:hAnsi="Times New Roman" w:eastAsia="宋体" w:cs="Times New Roman"/>
                      <w:b w:val="0"/>
                      <w:bCs w:val="0"/>
                      <w:color w:val="auto"/>
                      <w:sz w:val="21"/>
                      <w:szCs w:val="21"/>
                      <w:u w:val="none" w:color="auto"/>
                      <w:vertAlign w:val="baseline"/>
                      <w:lang w:val="en-US" w:eastAsia="zh-CN"/>
                    </w:rPr>
                    <w:t>0.5</w:t>
                  </w:r>
                </w:p>
              </w:tc>
              <w:tc>
                <w:tcPr>
                  <w:tcW w:w="641"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u w:val="none" w:color="auto"/>
                      <w:vertAlign w:val="baseline"/>
                      <w:lang w:val="en-US" w:eastAsia="zh-CN"/>
                    </w:rPr>
                  </w:pPr>
                  <w:r>
                    <w:rPr>
                      <w:rFonts w:hint="eastAsia" w:cs="Times New Roman"/>
                      <w:b w:val="0"/>
                      <w:bCs w:val="0"/>
                      <w:color w:val="auto"/>
                      <w:sz w:val="21"/>
                      <w:szCs w:val="21"/>
                      <w:u w:val="none" w:color="auto"/>
                      <w:vertAlign w:val="baseline"/>
                      <w:lang w:val="en-US" w:eastAsia="zh-CN"/>
                    </w:rPr>
                    <w:t>0.25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358" w:type="pct"/>
                  <w:gridSpan w:val="5"/>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u w:val="none" w:color="auto"/>
                      <w:vertAlign w:val="baseline"/>
                      <w:lang w:val="en-US" w:eastAsia="zh-CN"/>
                    </w:rPr>
                  </w:pPr>
                  <w:r>
                    <w:rPr>
                      <w:rFonts w:hint="default" w:ascii="Times New Roman" w:hAnsi="Times New Roman" w:eastAsia="宋体" w:cs="Times New Roman"/>
                      <w:b w:val="0"/>
                      <w:bCs w:val="0"/>
                      <w:color w:val="auto"/>
                      <w:sz w:val="21"/>
                      <w:szCs w:val="21"/>
                      <w:u w:val="none" w:color="auto"/>
                      <w:vertAlign w:val="baseline"/>
                      <w:lang w:val="en-US" w:eastAsia="zh-CN"/>
                    </w:rPr>
                    <w:t>合计</w:t>
                  </w:r>
                </w:p>
              </w:tc>
              <w:tc>
                <w:tcPr>
                  <w:tcW w:w="641"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u w:val="none" w:color="auto"/>
                      <w:vertAlign w:val="baseline"/>
                      <w:lang w:val="en-US" w:eastAsia="zh-CN"/>
                    </w:rPr>
                  </w:pPr>
                  <w:r>
                    <w:rPr>
                      <w:rFonts w:hint="eastAsia" w:cs="Times New Roman"/>
                      <w:b w:val="0"/>
                      <w:bCs w:val="0"/>
                      <w:color w:val="auto"/>
                      <w:sz w:val="21"/>
                      <w:szCs w:val="21"/>
                      <w:u w:val="none" w:color="auto"/>
                      <w:vertAlign w:val="baseline"/>
                      <w:lang w:val="en-US" w:eastAsia="zh-CN"/>
                    </w:rPr>
                    <w:t>0.7044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000" w:type="pct"/>
                  <w:gridSpan w:val="6"/>
                  <w:tcBorders>
                    <w:tl2br w:val="nil"/>
                    <w:tr2bl w:val="nil"/>
                  </w:tcBorders>
                  <w:vAlign w:val="center"/>
                </w:tcPr>
                <w:p>
                  <w:pPr>
                    <w:pStyle w:val="2"/>
                    <w:spacing w:line="240" w:lineRule="auto"/>
                    <w:ind w:left="0" w:leftChars="0" w:firstLine="0" w:firstLineChars="0"/>
                    <w:rPr>
                      <w:rFonts w:hint="eastAsia" w:ascii="Times New Roman" w:hAnsi="Times New Roman" w:eastAsia="宋体" w:cs="Times New Roman"/>
                      <w:b w:val="0"/>
                      <w:bCs w:val="0"/>
                      <w:color w:val="auto"/>
                      <w:kern w:val="2"/>
                      <w:sz w:val="21"/>
                      <w:szCs w:val="21"/>
                      <w:u w:val="none" w:color="auto"/>
                      <w:vertAlign w:val="baseline"/>
                      <w:lang w:val="en-US" w:eastAsia="zh-CN" w:bidi="ar-SA"/>
                    </w:rPr>
                  </w:pPr>
                  <w:r>
                    <w:rPr>
                      <w:rFonts w:hint="eastAsia" w:ascii="Times New Roman" w:hAnsi="Times New Roman" w:eastAsia="宋体" w:cs="Times New Roman"/>
                      <w:b w:val="0"/>
                      <w:bCs w:val="0"/>
                      <w:color w:val="auto"/>
                      <w:kern w:val="2"/>
                      <w:sz w:val="21"/>
                      <w:szCs w:val="21"/>
                      <w:u w:val="none" w:color="auto"/>
                      <w:vertAlign w:val="baseline"/>
                      <w:lang w:val="en-US" w:eastAsia="zh-CN" w:bidi="ar-SA"/>
                    </w:rPr>
                    <w:t>备注1：硫酸主要来源于废铅酸电池，铅酸电池中硫酸液的含量约为7~25%，本次环评取16%</w:t>
                  </w:r>
                </w:p>
                <w:p>
                  <w:pPr>
                    <w:pStyle w:val="2"/>
                    <w:spacing w:line="240" w:lineRule="auto"/>
                    <w:ind w:left="0" w:leftChars="0" w:firstLine="0" w:firstLineChars="0"/>
                    <w:rPr>
                      <w:rFonts w:hint="eastAsia" w:ascii="Times New Roman" w:hAnsi="Times New Roman" w:eastAsia="宋体" w:cs="Times New Roman"/>
                      <w:b w:val="0"/>
                      <w:bCs w:val="0"/>
                      <w:color w:val="auto"/>
                      <w:kern w:val="2"/>
                      <w:sz w:val="21"/>
                      <w:szCs w:val="21"/>
                      <w:u w:val="none" w:color="auto"/>
                      <w:vertAlign w:val="baseline"/>
                      <w:lang w:val="en-US" w:eastAsia="zh-CN" w:bidi="ar-SA"/>
                    </w:rPr>
                  </w:pPr>
                  <w:r>
                    <w:rPr>
                      <w:rFonts w:hint="eastAsia" w:ascii="Times New Roman" w:hAnsi="Times New Roman" w:eastAsia="宋体" w:cs="Times New Roman"/>
                      <w:b w:val="0"/>
                      <w:bCs w:val="0"/>
                      <w:color w:val="auto"/>
                      <w:kern w:val="2"/>
                      <w:sz w:val="21"/>
                      <w:szCs w:val="21"/>
                      <w:u w:val="none" w:color="auto"/>
                      <w:vertAlign w:val="baseline"/>
                      <w:lang w:val="en-US" w:eastAsia="zh-CN" w:bidi="ar-SA"/>
                    </w:rPr>
                    <w:t>备注2：一部分废电容器中含有多氯联苯，根据建设单位提供信息，多氯联苯含量按5%计；</w:t>
                  </w:r>
                </w:p>
                <w:p>
                  <w:pPr>
                    <w:pStyle w:val="2"/>
                    <w:spacing w:line="240" w:lineRule="auto"/>
                    <w:ind w:left="0" w:leftChars="0" w:firstLine="0" w:firstLineChars="0"/>
                    <w:rPr>
                      <w:rFonts w:hint="eastAsia" w:ascii="Times New Roman" w:hAnsi="Times New Roman" w:eastAsia="宋体" w:cs="Times New Roman"/>
                      <w:b w:val="0"/>
                      <w:bCs w:val="0"/>
                      <w:color w:val="auto"/>
                      <w:kern w:val="2"/>
                      <w:sz w:val="21"/>
                      <w:szCs w:val="21"/>
                      <w:u w:val="none" w:color="auto"/>
                      <w:vertAlign w:val="baseline"/>
                      <w:lang w:val="en-US" w:eastAsia="zh-CN" w:bidi="ar-SA"/>
                    </w:rPr>
                  </w:pPr>
                  <w:r>
                    <w:rPr>
                      <w:rFonts w:hint="eastAsia" w:ascii="Times New Roman" w:hAnsi="Times New Roman" w:eastAsia="宋体" w:cs="Times New Roman"/>
                      <w:b w:val="0"/>
                      <w:bCs w:val="0"/>
                      <w:color w:val="auto"/>
                      <w:kern w:val="2"/>
                      <w:sz w:val="21"/>
                      <w:szCs w:val="21"/>
                      <w:u w:val="none" w:color="auto"/>
                      <w:vertAlign w:val="baseline"/>
                      <w:lang w:val="en-US" w:eastAsia="zh-CN" w:bidi="ar-SA"/>
                    </w:rPr>
                    <w:t>备注3：根据建设单位提供信息，含汞、含铅部件含汞含铅量按5%计。</w:t>
                  </w:r>
                </w:p>
              </w:tc>
            </w:tr>
          </w:tbl>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color w:val="auto"/>
                <w:sz w:val="24"/>
                <w:szCs w:val="24"/>
                <w:u w:val="none" w:color="auto"/>
                <w:lang w:val="en-US" w:eastAsia="zh-CN"/>
              </w:rPr>
            </w:pPr>
            <w:r>
              <w:rPr>
                <w:rFonts w:hint="default" w:ascii="Times New Roman" w:hAnsi="Times New Roman" w:eastAsia="宋体" w:cs="Times New Roman"/>
                <w:color w:val="auto"/>
                <w:sz w:val="24"/>
                <w:szCs w:val="24"/>
                <w:u w:val="none" w:color="auto"/>
                <w:lang w:val="en-US" w:eastAsia="zh-CN"/>
              </w:rPr>
              <w:t>由上表可知，本项目风险物质最大储存量均低于临界量，总Q值=</w:t>
            </w:r>
            <w:r>
              <w:rPr>
                <w:rFonts w:hint="eastAsia" w:cs="Times New Roman"/>
                <w:color w:val="auto"/>
                <w:sz w:val="24"/>
                <w:szCs w:val="24"/>
                <w:u w:val="none" w:color="auto"/>
                <w:lang w:val="en-US" w:eastAsia="zh-CN"/>
              </w:rPr>
              <w:t>0.7044</w:t>
            </w:r>
            <w:r>
              <w:rPr>
                <w:rFonts w:hint="default" w:ascii="Times New Roman" w:hAnsi="Times New Roman" w:eastAsia="宋体" w:cs="Times New Roman"/>
                <w:color w:val="auto"/>
                <w:sz w:val="24"/>
                <w:szCs w:val="24"/>
                <w:u w:val="none" w:color="auto"/>
                <w:lang w:val="en-US" w:eastAsia="zh-CN"/>
              </w:rPr>
              <w:t>&lt;1。根据《建设项目环境风险评价技术导则》（HJ/T 169-2018）附录C，直接判定本项目环境风险潜势为I，故本评价仅对本项目环境风险做简单分析。</w:t>
            </w:r>
          </w:p>
          <w:p>
            <w:pPr>
              <w:pageBreakBefore w:val="0"/>
              <w:kinsoku/>
              <w:overflowPunct/>
              <w:bidi w:val="0"/>
              <w:ind w:firstLine="482" w:firstLineChars="200"/>
              <w:rPr>
                <w:rFonts w:hint="default" w:ascii="Times New Roman" w:hAnsi="Times New Roman" w:eastAsia="宋体" w:cs="Times New Roman"/>
                <w:b/>
                <w:bCs/>
                <w:color w:val="auto"/>
                <w:sz w:val="24"/>
                <w:szCs w:val="24"/>
                <w:u w:val="none" w:color="auto"/>
                <w:lang w:val="en-US" w:eastAsia="zh-CN"/>
              </w:rPr>
            </w:pPr>
            <w:r>
              <w:rPr>
                <w:rFonts w:hint="eastAsia" w:cs="Times New Roman"/>
                <w:b/>
                <w:bCs/>
                <w:color w:val="auto"/>
                <w:sz w:val="24"/>
                <w:szCs w:val="24"/>
                <w:u w:val="none" w:color="auto"/>
                <w:lang w:val="en-US" w:eastAsia="zh-CN"/>
              </w:rPr>
              <w:t>2、环境风险识别</w:t>
            </w:r>
          </w:p>
          <w:p>
            <w:pPr>
              <w:autoSpaceDE w:val="0"/>
              <w:autoSpaceDN w:val="0"/>
              <w:spacing w:line="360" w:lineRule="auto"/>
              <w:ind w:firstLine="480" w:firstLineChars="200"/>
              <w:rPr>
                <w:rFonts w:hint="eastAsia" w:cs="宋体"/>
                <w:color w:val="auto"/>
                <w:sz w:val="24"/>
                <w:szCs w:val="24"/>
                <w:lang w:val="zh-CN" w:bidi="zh-CN"/>
              </w:rPr>
            </w:pPr>
            <w:r>
              <w:rPr>
                <w:rFonts w:hint="eastAsia" w:cs="宋体"/>
                <w:color w:val="auto"/>
                <w:sz w:val="24"/>
                <w:szCs w:val="24"/>
                <w:lang w:val="zh-CN" w:bidi="zh-CN"/>
              </w:rPr>
              <w:t>本次风险识别范围包括生产设施风险识别、生产过程所涉及的物质风险识别、最终产品的风险识别。</w:t>
            </w:r>
          </w:p>
          <w:p>
            <w:pPr>
              <w:autoSpaceDE w:val="0"/>
              <w:autoSpaceDN w:val="0"/>
              <w:spacing w:line="360" w:lineRule="auto"/>
              <w:ind w:left="480" w:leftChars="200"/>
              <w:rPr>
                <w:rFonts w:hint="eastAsia" w:cs="宋体"/>
                <w:color w:val="auto"/>
                <w:sz w:val="24"/>
                <w:szCs w:val="24"/>
                <w:lang w:val="zh-CN" w:bidi="zh-CN"/>
              </w:rPr>
            </w:pPr>
            <w:r>
              <w:rPr>
                <w:rFonts w:hint="eastAsia" w:cs="宋体"/>
                <w:color w:val="auto"/>
                <w:sz w:val="24"/>
                <w:szCs w:val="24"/>
                <w:lang w:val="zh-CN" w:bidi="zh-CN"/>
              </w:rPr>
              <w:t>（</w:t>
            </w:r>
            <w:r>
              <w:rPr>
                <w:rFonts w:hint="eastAsia" w:cs="宋体"/>
                <w:color w:val="auto"/>
                <w:sz w:val="24"/>
                <w:szCs w:val="24"/>
                <w:lang w:val="en-US" w:bidi="zh-CN"/>
              </w:rPr>
              <w:t>1</w:t>
            </w:r>
            <w:r>
              <w:rPr>
                <w:rFonts w:hint="eastAsia" w:cs="宋体"/>
                <w:color w:val="auto"/>
                <w:sz w:val="24"/>
                <w:szCs w:val="24"/>
                <w:lang w:val="zh-CN" w:bidi="zh-CN"/>
              </w:rPr>
              <w:t>）物质风险识别</w:t>
            </w:r>
          </w:p>
          <w:p>
            <w:pPr>
              <w:autoSpaceDE w:val="0"/>
              <w:autoSpaceDN w:val="0"/>
              <w:spacing w:line="360" w:lineRule="auto"/>
              <w:ind w:firstLine="480" w:firstLineChars="200"/>
              <w:rPr>
                <w:rFonts w:hint="eastAsia" w:cs="宋体"/>
                <w:color w:val="auto"/>
                <w:sz w:val="24"/>
                <w:szCs w:val="24"/>
                <w:lang w:val="zh-CN" w:bidi="zh-CN"/>
              </w:rPr>
            </w:pPr>
            <w:r>
              <w:rPr>
                <w:rFonts w:hint="eastAsia" w:cs="宋体"/>
                <w:color w:val="auto"/>
                <w:sz w:val="24"/>
                <w:szCs w:val="24"/>
                <w:lang w:val="zh-CN" w:bidi="zh-CN"/>
              </w:rPr>
              <w:t>项目运营过程主要涉及的风险物质为非机动车拆解废油液，主要物质由拆解过程汽车油箱汽油、柴油、废机油及切割使用的液化石油气等。另外，汽车拆卸下来的蓄电池内含有稀硫酸，本项目不对蓄电池本身进行拆解，当遇到破损的蓄电池才有可能出现硫酸泄漏的情况。</w:t>
            </w:r>
          </w:p>
          <w:p>
            <w:pPr>
              <w:autoSpaceDE w:val="0"/>
              <w:autoSpaceDN w:val="0"/>
              <w:spacing w:line="360" w:lineRule="auto"/>
              <w:ind w:firstLine="480" w:firstLineChars="200"/>
              <w:rPr>
                <w:rFonts w:ascii="Times New Roman" w:hAnsi="Times New Roman" w:eastAsia="宋体" w:cs="Times New Roman"/>
                <w:b/>
                <w:color w:val="auto"/>
                <w:spacing w:val="-2"/>
                <w:kern w:val="2"/>
                <w:sz w:val="24"/>
                <w:szCs w:val="24"/>
              </w:rPr>
            </w:pPr>
            <w:r>
              <w:rPr>
                <w:rFonts w:hint="eastAsia" w:cs="宋体"/>
                <w:color w:val="auto"/>
                <w:sz w:val="24"/>
                <w:szCs w:val="24"/>
                <w:lang w:val="zh-CN" w:bidi="zh-CN"/>
              </w:rPr>
              <w:t>项目涉及的危险物质的主要理化性质及危险危害特性见表4-</w:t>
            </w:r>
            <w:r>
              <w:rPr>
                <w:rFonts w:hint="eastAsia" w:cs="宋体"/>
                <w:color w:val="auto"/>
                <w:sz w:val="24"/>
                <w:szCs w:val="24"/>
                <w:lang w:val="en-US" w:bidi="zh-CN"/>
              </w:rPr>
              <w:t>20</w:t>
            </w:r>
            <w:r>
              <w:rPr>
                <w:rFonts w:hint="eastAsia" w:cs="宋体"/>
                <w:color w:val="auto"/>
                <w:sz w:val="24"/>
                <w:szCs w:val="24"/>
                <w:lang w:bidi="zh-CN"/>
              </w:rPr>
              <w:t>。</w:t>
            </w:r>
          </w:p>
          <w:p>
            <w:pPr>
              <w:pStyle w:val="15"/>
              <w:keepNext w:val="0"/>
              <w:keepLines w:val="0"/>
              <w:pageBreakBefore w:val="0"/>
              <w:widowControl/>
              <w:kinsoku/>
              <w:wordWrap/>
              <w:overflowPunct/>
              <w:topLinePunct w:val="0"/>
              <w:autoSpaceDE/>
              <w:autoSpaceDN/>
              <w:bidi w:val="0"/>
              <w:adjustRightInd/>
              <w:snapToGrid/>
              <w:spacing w:before="0" w:beforeAutospacing="0" w:after="0" w:afterAutospacing="0" w:line="240" w:lineRule="auto"/>
              <w:jc w:val="center"/>
              <w:textAlignment w:val="auto"/>
              <w:outlineLvl w:val="0"/>
              <w:rPr>
                <w:rFonts w:hint="default" w:ascii="Times New Roman" w:hAnsi="Times New Roman" w:eastAsia="宋体" w:cs="Times New Roman"/>
                <w:b/>
                <w:bCs/>
                <w:color w:val="auto"/>
                <w:kern w:val="2"/>
                <w:sz w:val="21"/>
                <w:szCs w:val="21"/>
                <w:lang w:val="en-US" w:eastAsia="zh-CN" w:bidi="ar-SA"/>
              </w:rPr>
            </w:pPr>
            <w:r>
              <w:rPr>
                <w:rFonts w:hint="default" w:ascii="Times New Roman" w:hAnsi="Times New Roman" w:eastAsia="宋体" w:cs="Times New Roman"/>
                <w:b/>
                <w:bCs/>
                <w:color w:val="auto"/>
                <w:kern w:val="2"/>
                <w:sz w:val="21"/>
                <w:szCs w:val="21"/>
                <w:lang w:val="en-US" w:eastAsia="zh-CN" w:bidi="ar-SA"/>
              </w:rPr>
              <w:t>表4-</w:t>
            </w:r>
            <w:r>
              <w:rPr>
                <w:rFonts w:hint="eastAsia" w:ascii="Times New Roman" w:hAnsi="Times New Roman" w:eastAsia="宋体" w:cs="Times New Roman"/>
                <w:b/>
                <w:bCs/>
                <w:color w:val="auto"/>
                <w:kern w:val="2"/>
                <w:sz w:val="21"/>
                <w:szCs w:val="21"/>
                <w:lang w:val="en-US" w:eastAsia="zh-CN" w:bidi="ar-SA"/>
              </w:rPr>
              <w:t>20</w:t>
            </w:r>
            <w:r>
              <w:rPr>
                <w:rFonts w:hint="default" w:ascii="Times New Roman" w:hAnsi="Times New Roman" w:eastAsia="宋体" w:cs="Times New Roman"/>
                <w:b/>
                <w:bCs/>
                <w:color w:val="auto"/>
                <w:kern w:val="2"/>
                <w:sz w:val="21"/>
                <w:szCs w:val="21"/>
                <w:lang w:val="en-US" w:eastAsia="zh-CN" w:bidi="ar-SA"/>
              </w:rPr>
              <w:t xml:space="preserve">  本项目危险、危害物质特性表</w:t>
            </w:r>
          </w:p>
          <w:tbl>
            <w:tblPr>
              <w:tblStyle w:val="18"/>
              <w:tblW w:w="0" w:type="auto"/>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28" w:type="dxa"/>
                <w:left w:w="108" w:type="dxa"/>
                <w:bottom w:w="28" w:type="dxa"/>
                <w:right w:w="108" w:type="dxa"/>
              </w:tblCellMar>
            </w:tblPr>
            <w:tblGrid>
              <w:gridCol w:w="438"/>
              <w:gridCol w:w="491"/>
              <w:gridCol w:w="740"/>
              <w:gridCol w:w="1685"/>
              <w:gridCol w:w="2555"/>
              <w:gridCol w:w="212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108" w:type="dxa"/>
                  <w:bottom w:w="28" w:type="dxa"/>
                  <w:right w:w="108" w:type="dxa"/>
                </w:tblCellMar>
              </w:tblPrEx>
              <w:trPr>
                <w:trHeight w:val="397" w:hRule="atLeast"/>
                <w:jc w:val="center"/>
              </w:trPr>
              <w:tc>
                <w:tcPr>
                  <w:tcW w:w="443" w:type="dxa"/>
                  <w:tcBorders>
                    <w:tl2br w:val="nil"/>
                    <w:tr2bl w:val="nil"/>
                  </w:tcBorders>
                  <w:vAlign w:val="center"/>
                </w:tcPr>
                <w:p>
                  <w:pPr>
                    <w:spacing w:line="240" w:lineRule="auto"/>
                    <w:jc w:val="center"/>
                    <w:rPr>
                      <w:color w:val="auto"/>
                      <w:sz w:val="21"/>
                      <w:szCs w:val="21"/>
                    </w:rPr>
                  </w:pPr>
                  <w:r>
                    <w:rPr>
                      <w:color w:val="auto"/>
                      <w:sz w:val="21"/>
                      <w:szCs w:val="21"/>
                    </w:rPr>
                    <w:t>序号</w:t>
                  </w:r>
                </w:p>
              </w:tc>
              <w:tc>
                <w:tcPr>
                  <w:tcW w:w="512" w:type="dxa"/>
                  <w:tcBorders>
                    <w:tl2br w:val="nil"/>
                    <w:tr2bl w:val="nil"/>
                  </w:tcBorders>
                  <w:vAlign w:val="center"/>
                </w:tcPr>
                <w:p>
                  <w:pPr>
                    <w:spacing w:line="240" w:lineRule="auto"/>
                    <w:jc w:val="center"/>
                    <w:rPr>
                      <w:color w:val="auto"/>
                      <w:sz w:val="21"/>
                      <w:szCs w:val="21"/>
                    </w:rPr>
                  </w:pPr>
                  <w:r>
                    <w:rPr>
                      <w:color w:val="auto"/>
                      <w:sz w:val="21"/>
                      <w:szCs w:val="21"/>
                    </w:rPr>
                    <w:t>名称</w:t>
                  </w:r>
                </w:p>
              </w:tc>
              <w:tc>
                <w:tcPr>
                  <w:tcW w:w="774" w:type="dxa"/>
                  <w:tcBorders>
                    <w:tl2br w:val="nil"/>
                    <w:tr2bl w:val="nil"/>
                  </w:tcBorders>
                  <w:vAlign w:val="center"/>
                </w:tcPr>
                <w:p>
                  <w:pPr>
                    <w:spacing w:line="240" w:lineRule="auto"/>
                    <w:jc w:val="center"/>
                    <w:rPr>
                      <w:color w:val="auto"/>
                      <w:sz w:val="21"/>
                      <w:szCs w:val="21"/>
                    </w:rPr>
                  </w:pPr>
                  <w:r>
                    <w:rPr>
                      <w:color w:val="auto"/>
                      <w:sz w:val="21"/>
                      <w:szCs w:val="21"/>
                    </w:rPr>
                    <w:t>危险性</w:t>
                  </w:r>
                </w:p>
                <w:p>
                  <w:pPr>
                    <w:spacing w:line="240" w:lineRule="auto"/>
                    <w:jc w:val="center"/>
                    <w:rPr>
                      <w:color w:val="auto"/>
                      <w:sz w:val="21"/>
                      <w:szCs w:val="21"/>
                    </w:rPr>
                  </w:pPr>
                  <w:r>
                    <w:rPr>
                      <w:color w:val="auto"/>
                      <w:sz w:val="21"/>
                      <w:szCs w:val="21"/>
                    </w:rPr>
                    <w:t>类别</w:t>
                  </w:r>
                </w:p>
              </w:tc>
              <w:tc>
                <w:tcPr>
                  <w:tcW w:w="1924" w:type="dxa"/>
                  <w:tcBorders>
                    <w:tl2br w:val="nil"/>
                    <w:tr2bl w:val="nil"/>
                  </w:tcBorders>
                  <w:vAlign w:val="center"/>
                </w:tcPr>
                <w:p>
                  <w:pPr>
                    <w:widowControl/>
                    <w:spacing w:line="240" w:lineRule="auto"/>
                    <w:jc w:val="center"/>
                    <w:rPr>
                      <w:color w:val="auto"/>
                      <w:sz w:val="21"/>
                      <w:szCs w:val="21"/>
                    </w:rPr>
                  </w:pPr>
                  <w:r>
                    <w:rPr>
                      <w:color w:val="auto"/>
                      <w:sz w:val="21"/>
                      <w:szCs w:val="21"/>
                    </w:rPr>
                    <w:t>理化特性</w:t>
                  </w:r>
                </w:p>
              </w:tc>
              <w:tc>
                <w:tcPr>
                  <w:tcW w:w="3191" w:type="dxa"/>
                  <w:tcBorders>
                    <w:tl2br w:val="nil"/>
                    <w:tr2bl w:val="nil"/>
                  </w:tcBorders>
                  <w:vAlign w:val="center"/>
                </w:tcPr>
                <w:p>
                  <w:pPr>
                    <w:widowControl/>
                    <w:spacing w:line="240" w:lineRule="auto"/>
                    <w:jc w:val="center"/>
                    <w:rPr>
                      <w:color w:val="auto"/>
                      <w:sz w:val="21"/>
                      <w:szCs w:val="21"/>
                    </w:rPr>
                  </w:pPr>
                  <w:r>
                    <w:rPr>
                      <w:color w:val="auto"/>
                      <w:sz w:val="21"/>
                      <w:szCs w:val="21"/>
                    </w:rPr>
                    <w:t>健康危害</w:t>
                  </w:r>
                </w:p>
              </w:tc>
              <w:tc>
                <w:tcPr>
                  <w:tcW w:w="2471" w:type="dxa"/>
                  <w:tcBorders>
                    <w:tl2br w:val="nil"/>
                    <w:tr2bl w:val="nil"/>
                  </w:tcBorders>
                  <w:vAlign w:val="center"/>
                </w:tcPr>
                <w:p>
                  <w:pPr>
                    <w:spacing w:line="240" w:lineRule="auto"/>
                    <w:jc w:val="center"/>
                    <w:rPr>
                      <w:color w:val="auto"/>
                      <w:sz w:val="21"/>
                      <w:szCs w:val="21"/>
                    </w:rPr>
                  </w:pPr>
                  <w:r>
                    <w:rPr>
                      <w:color w:val="auto"/>
                      <w:sz w:val="21"/>
                      <w:szCs w:val="21"/>
                    </w:rPr>
                    <w:t>危险特性</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108" w:type="dxa"/>
                  <w:bottom w:w="28" w:type="dxa"/>
                  <w:right w:w="108" w:type="dxa"/>
                </w:tblCellMar>
              </w:tblPrEx>
              <w:trPr>
                <w:trHeight w:val="397" w:hRule="atLeast"/>
                <w:jc w:val="center"/>
              </w:trPr>
              <w:tc>
                <w:tcPr>
                  <w:tcW w:w="443" w:type="dxa"/>
                  <w:tcBorders>
                    <w:tl2br w:val="nil"/>
                    <w:tr2bl w:val="nil"/>
                  </w:tcBorders>
                  <w:vAlign w:val="center"/>
                </w:tcPr>
                <w:p>
                  <w:pPr>
                    <w:spacing w:line="240" w:lineRule="auto"/>
                    <w:jc w:val="center"/>
                    <w:rPr>
                      <w:color w:val="auto"/>
                      <w:sz w:val="21"/>
                      <w:szCs w:val="21"/>
                    </w:rPr>
                  </w:pPr>
                  <w:r>
                    <w:rPr>
                      <w:color w:val="auto"/>
                      <w:sz w:val="21"/>
                      <w:szCs w:val="21"/>
                    </w:rPr>
                    <w:t>1</w:t>
                  </w:r>
                </w:p>
              </w:tc>
              <w:tc>
                <w:tcPr>
                  <w:tcW w:w="512" w:type="dxa"/>
                  <w:tcBorders>
                    <w:tl2br w:val="nil"/>
                    <w:tr2bl w:val="nil"/>
                  </w:tcBorders>
                  <w:vAlign w:val="center"/>
                </w:tcPr>
                <w:p>
                  <w:pPr>
                    <w:widowControl/>
                    <w:spacing w:line="240" w:lineRule="auto"/>
                    <w:jc w:val="center"/>
                    <w:rPr>
                      <w:color w:val="auto"/>
                      <w:sz w:val="21"/>
                      <w:szCs w:val="21"/>
                    </w:rPr>
                  </w:pPr>
                  <w:r>
                    <w:rPr>
                      <w:color w:val="auto"/>
                      <w:sz w:val="21"/>
                      <w:szCs w:val="21"/>
                    </w:rPr>
                    <w:t>汽油</w:t>
                  </w:r>
                </w:p>
              </w:tc>
              <w:tc>
                <w:tcPr>
                  <w:tcW w:w="774" w:type="dxa"/>
                  <w:tcBorders>
                    <w:tl2br w:val="nil"/>
                    <w:tr2bl w:val="nil"/>
                  </w:tcBorders>
                  <w:vAlign w:val="center"/>
                </w:tcPr>
                <w:p>
                  <w:pPr>
                    <w:spacing w:line="240" w:lineRule="auto"/>
                    <w:jc w:val="center"/>
                    <w:rPr>
                      <w:color w:val="auto"/>
                      <w:sz w:val="21"/>
                      <w:szCs w:val="21"/>
                    </w:rPr>
                  </w:pPr>
                  <w:r>
                    <w:rPr>
                      <w:color w:val="auto"/>
                      <w:sz w:val="21"/>
                      <w:szCs w:val="21"/>
                    </w:rPr>
                    <w:t>易燃</w:t>
                  </w:r>
                </w:p>
                <w:p>
                  <w:pPr>
                    <w:spacing w:line="240" w:lineRule="auto"/>
                    <w:jc w:val="center"/>
                    <w:rPr>
                      <w:color w:val="auto"/>
                      <w:sz w:val="21"/>
                      <w:szCs w:val="21"/>
                    </w:rPr>
                  </w:pPr>
                  <w:r>
                    <w:rPr>
                      <w:color w:val="auto"/>
                      <w:sz w:val="21"/>
                      <w:szCs w:val="21"/>
                    </w:rPr>
                    <w:t>液体</w:t>
                  </w:r>
                </w:p>
              </w:tc>
              <w:tc>
                <w:tcPr>
                  <w:tcW w:w="1924" w:type="dxa"/>
                  <w:tcBorders>
                    <w:tl2br w:val="nil"/>
                    <w:tr2bl w:val="nil"/>
                  </w:tcBorders>
                  <w:vAlign w:val="center"/>
                </w:tcPr>
                <w:p>
                  <w:pPr>
                    <w:widowControl/>
                    <w:spacing w:line="240" w:lineRule="auto"/>
                    <w:jc w:val="center"/>
                    <w:rPr>
                      <w:color w:val="auto"/>
                      <w:sz w:val="21"/>
                      <w:szCs w:val="21"/>
                    </w:rPr>
                  </w:pPr>
                  <w:r>
                    <w:rPr>
                      <w:color w:val="auto"/>
                      <w:sz w:val="21"/>
                      <w:szCs w:val="21"/>
                    </w:rPr>
                    <w:t>性状为无色或淡黄色易挥发液体，具有特殊臭味，相对密度</w:t>
                  </w:r>
                  <w:r>
                    <w:rPr>
                      <w:color w:val="auto"/>
                      <w:kern w:val="0"/>
                      <w:sz w:val="21"/>
                      <w:szCs w:val="21"/>
                    </w:rPr>
                    <w:t>（水=1）：0.70～0.79，燃烧性为可燃，闪点-50℃，引燃温度415～530℃℃</w:t>
                  </w:r>
                </w:p>
                <w:p>
                  <w:pPr>
                    <w:widowControl/>
                    <w:spacing w:line="240" w:lineRule="auto"/>
                    <w:jc w:val="center"/>
                    <w:rPr>
                      <w:color w:val="auto"/>
                      <w:sz w:val="21"/>
                      <w:szCs w:val="21"/>
                    </w:rPr>
                  </w:pPr>
                  <w:r>
                    <w:rPr>
                      <w:color w:val="auto"/>
                      <w:kern w:val="0"/>
                      <w:sz w:val="21"/>
                      <w:szCs w:val="21"/>
                    </w:rPr>
                    <w:t>不溶于水</w:t>
                  </w:r>
                  <w:r>
                    <w:rPr>
                      <w:color w:val="auto"/>
                      <w:sz w:val="21"/>
                      <w:szCs w:val="21"/>
                    </w:rPr>
                    <w:t>，易溶于苯、二硫化碳、醇、脂肪</w:t>
                  </w:r>
                </w:p>
              </w:tc>
              <w:tc>
                <w:tcPr>
                  <w:tcW w:w="3191" w:type="dxa"/>
                  <w:tcBorders>
                    <w:tl2br w:val="nil"/>
                    <w:tr2bl w:val="nil"/>
                  </w:tcBorders>
                  <w:vAlign w:val="center"/>
                </w:tcPr>
                <w:p>
                  <w:pPr>
                    <w:widowControl/>
                    <w:spacing w:line="240" w:lineRule="auto"/>
                    <w:jc w:val="center"/>
                    <w:rPr>
                      <w:color w:val="auto"/>
                      <w:sz w:val="21"/>
                      <w:szCs w:val="21"/>
                    </w:rPr>
                  </w:pPr>
                  <w:r>
                    <w:rPr>
                      <w:color w:val="auto"/>
                      <w:sz w:val="21"/>
                      <w:szCs w:val="21"/>
                    </w:rPr>
                    <w:t>急性中毒：对中枢神经系统有麻醉作用。轻度中毒症状有头晕、头痛、恶心、呕吐、步态不稳、共济失调。高浓度吸入出现中毒性脑病。极高浓度吸入引起意识突然丧失、反射性呼吸停止。可伴有中毒性周围神经病及化学性肺炎。部分患者出现中毒性精神病。液体吸入呼吸道可引起吸入性肺炎。溅入眼内可致角膜溃疡、穿孔，甚至失明。皮肤接触致急性接触性皮炎，甚至灼伤。吞咽引起急性胃肠炎，重者出现类似急性吸入中毒症状，并可引起肝、肾损害。慢性中毒：神经衰弱综合征、植物神经功能症状类似精神分裂症。皮肤损害。</w:t>
                  </w:r>
                </w:p>
              </w:tc>
              <w:tc>
                <w:tcPr>
                  <w:tcW w:w="2471" w:type="dxa"/>
                  <w:tcBorders>
                    <w:tl2br w:val="nil"/>
                    <w:tr2bl w:val="nil"/>
                  </w:tcBorders>
                  <w:vAlign w:val="center"/>
                </w:tcPr>
                <w:p>
                  <w:pPr>
                    <w:spacing w:line="240" w:lineRule="auto"/>
                    <w:jc w:val="center"/>
                    <w:rPr>
                      <w:color w:val="auto"/>
                      <w:sz w:val="21"/>
                      <w:szCs w:val="21"/>
                    </w:rPr>
                  </w:pPr>
                  <w:r>
                    <w:rPr>
                      <w:color w:val="auto"/>
                      <w:sz w:val="21"/>
                      <w:szCs w:val="21"/>
                    </w:rPr>
                    <w:t>极易燃烧。其蒸气与空气可形成爆炸性混合物。遇明火、高热极易燃烧爆炸。与氧化剂能发生强烈反应。其蒸气比空气重，能在较低处扩散到相当远的地方，遇明火会引着回燃</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108" w:type="dxa"/>
                  <w:bottom w:w="28" w:type="dxa"/>
                  <w:right w:w="108" w:type="dxa"/>
                </w:tblCellMar>
              </w:tblPrEx>
              <w:trPr>
                <w:trHeight w:val="397" w:hRule="atLeast"/>
                <w:jc w:val="center"/>
              </w:trPr>
              <w:tc>
                <w:tcPr>
                  <w:tcW w:w="443" w:type="dxa"/>
                  <w:tcBorders>
                    <w:tl2br w:val="nil"/>
                    <w:tr2bl w:val="nil"/>
                  </w:tcBorders>
                  <w:vAlign w:val="center"/>
                </w:tcPr>
                <w:p>
                  <w:pPr>
                    <w:spacing w:line="240" w:lineRule="auto"/>
                    <w:jc w:val="center"/>
                    <w:rPr>
                      <w:color w:val="auto"/>
                      <w:sz w:val="21"/>
                      <w:szCs w:val="21"/>
                    </w:rPr>
                  </w:pPr>
                  <w:r>
                    <w:rPr>
                      <w:color w:val="auto"/>
                      <w:sz w:val="21"/>
                      <w:szCs w:val="21"/>
                    </w:rPr>
                    <w:t>2</w:t>
                  </w:r>
                </w:p>
              </w:tc>
              <w:tc>
                <w:tcPr>
                  <w:tcW w:w="512" w:type="dxa"/>
                  <w:tcBorders>
                    <w:tl2br w:val="nil"/>
                    <w:tr2bl w:val="nil"/>
                  </w:tcBorders>
                  <w:vAlign w:val="center"/>
                </w:tcPr>
                <w:p>
                  <w:pPr>
                    <w:widowControl/>
                    <w:spacing w:line="240" w:lineRule="auto"/>
                    <w:jc w:val="center"/>
                    <w:rPr>
                      <w:color w:val="auto"/>
                      <w:sz w:val="21"/>
                      <w:szCs w:val="21"/>
                    </w:rPr>
                  </w:pPr>
                  <w:r>
                    <w:rPr>
                      <w:color w:val="auto"/>
                      <w:sz w:val="21"/>
                      <w:szCs w:val="21"/>
                    </w:rPr>
                    <w:t>柴油</w:t>
                  </w:r>
                </w:p>
              </w:tc>
              <w:tc>
                <w:tcPr>
                  <w:tcW w:w="774" w:type="dxa"/>
                  <w:tcBorders>
                    <w:tl2br w:val="nil"/>
                    <w:tr2bl w:val="nil"/>
                  </w:tcBorders>
                  <w:vAlign w:val="center"/>
                </w:tcPr>
                <w:p>
                  <w:pPr>
                    <w:spacing w:line="240" w:lineRule="auto"/>
                    <w:jc w:val="center"/>
                    <w:rPr>
                      <w:color w:val="auto"/>
                      <w:sz w:val="21"/>
                      <w:szCs w:val="21"/>
                    </w:rPr>
                  </w:pPr>
                  <w:r>
                    <w:rPr>
                      <w:color w:val="auto"/>
                      <w:sz w:val="21"/>
                      <w:szCs w:val="21"/>
                    </w:rPr>
                    <w:t>易燃</w:t>
                  </w:r>
                </w:p>
                <w:p>
                  <w:pPr>
                    <w:spacing w:line="240" w:lineRule="auto"/>
                    <w:jc w:val="center"/>
                    <w:rPr>
                      <w:color w:val="auto"/>
                      <w:sz w:val="21"/>
                      <w:szCs w:val="21"/>
                    </w:rPr>
                  </w:pPr>
                  <w:r>
                    <w:rPr>
                      <w:color w:val="auto"/>
                      <w:sz w:val="21"/>
                      <w:szCs w:val="21"/>
                    </w:rPr>
                    <w:t>液体</w:t>
                  </w:r>
                </w:p>
              </w:tc>
              <w:tc>
                <w:tcPr>
                  <w:tcW w:w="1924" w:type="dxa"/>
                  <w:tcBorders>
                    <w:tl2br w:val="nil"/>
                    <w:tr2bl w:val="nil"/>
                  </w:tcBorders>
                  <w:vAlign w:val="center"/>
                </w:tcPr>
                <w:p>
                  <w:pPr>
                    <w:widowControl/>
                    <w:spacing w:line="240" w:lineRule="auto"/>
                    <w:jc w:val="center"/>
                    <w:rPr>
                      <w:color w:val="auto"/>
                      <w:sz w:val="21"/>
                      <w:szCs w:val="21"/>
                    </w:rPr>
                  </w:pPr>
                  <w:r>
                    <w:rPr>
                      <w:color w:val="auto"/>
                      <w:sz w:val="21"/>
                      <w:szCs w:val="21"/>
                    </w:rPr>
                    <w:t>性状为稍有粘性的棕色液体，相对密度</w:t>
                  </w:r>
                  <w:r>
                    <w:rPr>
                      <w:color w:val="auto"/>
                      <w:kern w:val="0"/>
                      <w:sz w:val="21"/>
                      <w:szCs w:val="21"/>
                    </w:rPr>
                    <w:t>（水=1）：0.87～0.9，燃烧性为可燃，闪点38℃，自然温度257℃</w:t>
                  </w:r>
                </w:p>
                <w:p>
                  <w:pPr>
                    <w:spacing w:line="240" w:lineRule="auto"/>
                    <w:jc w:val="center"/>
                    <w:rPr>
                      <w:color w:val="auto"/>
                      <w:kern w:val="0"/>
                      <w:sz w:val="21"/>
                      <w:szCs w:val="21"/>
                    </w:rPr>
                  </w:pPr>
                  <w:r>
                    <w:rPr>
                      <w:color w:val="auto"/>
                      <w:kern w:val="0"/>
                      <w:sz w:val="21"/>
                      <w:szCs w:val="21"/>
                    </w:rPr>
                    <w:t>不溶于水</w:t>
                  </w:r>
                </w:p>
              </w:tc>
              <w:tc>
                <w:tcPr>
                  <w:tcW w:w="3191" w:type="dxa"/>
                  <w:tcBorders>
                    <w:tl2br w:val="nil"/>
                    <w:tr2bl w:val="nil"/>
                  </w:tcBorders>
                  <w:vAlign w:val="center"/>
                </w:tcPr>
                <w:p>
                  <w:pPr>
                    <w:spacing w:line="240" w:lineRule="auto"/>
                    <w:jc w:val="center"/>
                    <w:rPr>
                      <w:color w:val="auto"/>
                      <w:kern w:val="0"/>
                      <w:sz w:val="21"/>
                      <w:szCs w:val="21"/>
                    </w:rPr>
                  </w:pPr>
                  <w:r>
                    <w:rPr>
                      <w:color w:val="auto"/>
                      <w:sz w:val="21"/>
                      <w:szCs w:val="21"/>
                    </w:rPr>
                    <w:t>皮肤接触可为主要吸收途径，可致急性肾脏损害。柴油可引起接触性皮炎、油性痤疮。吸入其雾滴或液体呛入可引起吸入性肺炎。能经胎盘进入胎儿血中。柴油废气可引起眼、鼻刺激症状，头晕及头痛。</w:t>
                  </w:r>
                </w:p>
              </w:tc>
              <w:tc>
                <w:tcPr>
                  <w:tcW w:w="2471" w:type="dxa"/>
                  <w:tcBorders>
                    <w:tl2br w:val="nil"/>
                    <w:tr2bl w:val="nil"/>
                  </w:tcBorders>
                  <w:vAlign w:val="center"/>
                </w:tcPr>
                <w:p>
                  <w:pPr>
                    <w:spacing w:line="240" w:lineRule="auto"/>
                    <w:jc w:val="center"/>
                    <w:rPr>
                      <w:color w:val="auto"/>
                      <w:sz w:val="21"/>
                      <w:szCs w:val="21"/>
                    </w:rPr>
                  </w:pPr>
                  <w:r>
                    <w:rPr>
                      <w:color w:val="auto"/>
                      <w:sz w:val="21"/>
                      <w:szCs w:val="21"/>
                    </w:rPr>
                    <w:t>遇明火、高热或与氧化剂接触，有引起燃烧爆炸的危险。若遇高热，容器内压增大，有开裂和爆炸的危险。对环境有危害，对水体和大气可造成污染。本品易燃，具刺激性</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108" w:type="dxa"/>
                  <w:bottom w:w="28" w:type="dxa"/>
                  <w:right w:w="108" w:type="dxa"/>
                </w:tblCellMar>
              </w:tblPrEx>
              <w:trPr>
                <w:trHeight w:val="397" w:hRule="atLeast"/>
                <w:jc w:val="center"/>
              </w:trPr>
              <w:tc>
                <w:tcPr>
                  <w:tcW w:w="443" w:type="dxa"/>
                  <w:tcBorders>
                    <w:tl2br w:val="nil"/>
                    <w:tr2bl w:val="nil"/>
                  </w:tcBorders>
                  <w:vAlign w:val="center"/>
                </w:tcPr>
                <w:p>
                  <w:pPr>
                    <w:spacing w:line="240" w:lineRule="auto"/>
                    <w:jc w:val="center"/>
                    <w:rPr>
                      <w:color w:val="auto"/>
                      <w:sz w:val="21"/>
                      <w:szCs w:val="21"/>
                    </w:rPr>
                  </w:pPr>
                  <w:r>
                    <w:rPr>
                      <w:color w:val="auto"/>
                      <w:sz w:val="21"/>
                      <w:szCs w:val="21"/>
                    </w:rPr>
                    <w:t>3</w:t>
                  </w:r>
                </w:p>
              </w:tc>
              <w:tc>
                <w:tcPr>
                  <w:tcW w:w="512" w:type="dxa"/>
                  <w:tcBorders>
                    <w:tl2br w:val="nil"/>
                    <w:tr2bl w:val="nil"/>
                  </w:tcBorders>
                  <w:vAlign w:val="center"/>
                </w:tcPr>
                <w:p>
                  <w:pPr>
                    <w:widowControl/>
                    <w:spacing w:line="240" w:lineRule="auto"/>
                    <w:jc w:val="center"/>
                    <w:rPr>
                      <w:color w:val="auto"/>
                      <w:sz w:val="21"/>
                      <w:szCs w:val="21"/>
                    </w:rPr>
                  </w:pPr>
                  <w:r>
                    <w:rPr>
                      <w:color w:val="auto"/>
                      <w:sz w:val="21"/>
                      <w:szCs w:val="21"/>
                    </w:rPr>
                    <w:t>其他各类油液</w:t>
                  </w:r>
                </w:p>
              </w:tc>
              <w:tc>
                <w:tcPr>
                  <w:tcW w:w="774" w:type="dxa"/>
                  <w:tcBorders>
                    <w:tl2br w:val="nil"/>
                    <w:tr2bl w:val="nil"/>
                  </w:tcBorders>
                  <w:vAlign w:val="center"/>
                </w:tcPr>
                <w:p>
                  <w:pPr>
                    <w:spacing w:line="240" w:lineRule="auto"/>
                    <w:jc w:val="center"/>
                    <w:rPr>
                      <w:color w:val="auto"/>
                      <w:sz w:val="21"/>
                      <w:szCs w:val="21"/>
                    </w:rPr>
                  </w:pPr>
                  <w:r>
                    <w:rPr>
                      <w:color w:val="auto"/>
                      <w:sz w:val="21"/>
                      <w:szCs w:val="21"/>
                    </w:rPr>
                    <w:t>易燃</w:t>
                  </w:r>
                </w:p>
                <w:p>
                  <w:pPr>
                    <w:spacing w:line="240" w:lineRule="auto"/>
                    <w:jc w:val="center"/>
                    <w:rPr>
                      <w:color w:val="auto"/>
                      <w:sz w:val="21"/>
                      <w:szCs w:val="21"/>
                    </w:rPr>
                  </w:pPr>
                  <w:r>
                    <w:rPr>
                      <w:color w:val="auto"/>
                      <w:sz w:val="21"/>
                      <w:szCs w:val="21"/>
                    </w:rPr>
                    <w:t>液体</w:t>
                  </w:r>
                </w:p>
              </w:tc>
              <w:tc>
                <w:tcPr>
                  <w:tcW w:w="1924" w:type="dxa"/>
                  <w:tcBorders>
                    <w:tl2br w:val="nil"/>
                    <w:tr2bl w:val="nil"/>
                  </w:tcBorders>
                  <w:vAlign w:val="center"/>
                </w:tcPr>
                <w:p>
                  <w:pPr>
                    <w:spacing w:line="240" w:lineRule="auto"/>
                    <w:jc w:val="center"/>
                    <w:rPr>
                      <w:color w:val="auto"/>
                      <w:kern w:val="0"/>
                      <w:sz w:val="21"/>
                      <w:szCs w:val="21"/>
                    </w:rPr>
                  </w:pPr>
                  <w:r>
                    <w:rPr>
                      <w:color w:val="auto"/>
                      <w:kern w:val="0"/>
                      <w:sz w:val="21"/>
                      <w:szCs w:val="21"/>
                    </w:rPr>
                    <w:t>石油类物质</w:t>
                  </w:r>
                </w:p>
              </w:tc>
              <w:tc>
                <w:tcPr>
                  <w:tcW w:w="3191" w:type="dxa"/>
                  <w:tcBorders>
                    <w:tl2br w:val="nil"/>
                    <w:tr2bl w:val="nil"/>
                  </w:tcBorders>
                  <w:vAlign w:val="center"/>
                </w:tcPr>
                <w:p>
                  <w:pPr>
                    <w:spacing w:line="240" w:lineRule="auto"/>
                    <w:jc w:val="center"/>
                    <w:rPr>
                      <w:color w:val="auto"/>
                      <w:kern w:val="0"/>
                      <w:sz w:val="21"/>
                      <w:szCs w:val="21"/>
                    </w:rPr>
                  </w:pPr>
                  <w:r>
                    <w:rPr>
                      <w:color w:val="auto"/>
                      <w:kern w:val="0"/>
                      <w:sz w:val="21"/>
                      <w:szCs w:val="21"/>
                    </w:rPr>
                    <w:t>急性吸入，可出现乏力、头晕、头痛、恶心，严重者可引起油脂性肺</w:t>
                  </w:r>
                </w:p>
                <w:p>
                  <w:pPr>
                    <w:spacing w:line="240" w:lineRule="auto"/>
                    <w:jc w:val="center"/>
                    <w:rPr>
                      <w:color w:val="auto"/>
                      <w:kern w:val="0"/>
                      <w:sz w:val="21"/>
                      <w:szCs w:val="21"/>
                    </w:rPr>
                  </w:pPr>
                  <w:r>
                    <w:rPr>
                      <w:color w:val="auto"/>
                      <w:kern w:val="0"/>
                      <w:sz w:val="21"/>
                      <w:szCs w:val="21"/>
                    </w:rPr>
                    <w:t>炎。慢接触者，暴露部位可发生油性痤疮和接触型皮炎。可引发神经</w:t>
                  </w:r>
                </w:p>
                <w:p>
                  <w:pPr>
                    <w:spacing w:line="240" w:lineRule="auto"/>
                    <w:jc w:val="center"/>
                    <w:rPr>
                      <w:color w:val="auto"/>
                      <w:kern w:val="0"/>
                      <w:sz w:val="21"/>
                      <w:szCs w:val="21"/>
                    </w:rPr>
                  </w:pPr>
                  <w:r>
                    <w:rPr>
                      <w:color w:val="auto"/>
                      <w:kern w:val="0"/>
                      <w:sz w:val="21"/>
                      <w:szCs w:val="21"/>
                    </w:rPr>
                    <w:t>衰弱综合症，呼吸道和眼刺激症状及慢性油脂性肺炎</w:t>
                  </w:r>
                </w:p>
              </w:tc>
              <w:tc>
                <w:tcPr>
                  <w:tcW w:w="2471" w:type="dxa"/>
                  <w:tcBorders>
                    <w:tl2br w:val="nil"/>
                    <w:tr2bl w:val="nil"/>
                  </w:tcBorders>
                  <w:vAlign w:val="center"/>
                </w:tcPr>
                <w:p>
                  <w:pPr>
                    <w:spacing w:line="240" w:lineRule="auto"/>
                    <w:jc w:val="center"/>
                    <w:rPr>
                      <w:color w:val="auto"/>
                      <w:sz w:val="21"/>
                      <w:szCs w:val="21"/>
                    </w:rPr>
                  </w:pPr>
                  <w:r>
                    <w:rPr>
                      <w:color w:val="auto"/>
                      <w:sz w:val="21"/>
                      <w:szCs w:val="21"/>
                    </w:rPr>
                    <w:t>遇明火、高热可燃</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108" w:type="dxa"/>
                  <w:bottom w:w="28" w:type="dxa"/>
                  <w:right w:w="108" w:type="dxa"/>
                </w:tblCellMar>
              </w:tblPrEx>
              <w:trPr>
                <w:trHeight w:val="397" w:hRule="atLeast"/>
                <w:jc w:val="center"/>
              </w:trPr>
              <w:tc>
                <w:tcPr>
                  <w:tcW w:w="443" w:type="dxa"/>
                  <w:tcBorders>
                    <w:tl2br w:val="nil"/>
                    <w:tr2bl w:val="nil"/>
                  </w:tcBorders>
                  <w:vAlign w:val="center"/>
                </w:tcPr>
                <w:p>
                  <w:pPr>
                    <w:spacing w:line="240" w:lineRule="auto"/>
                    <w:jc w:val="center"/>
                    <w:rPr>
                      <w:color w:val="auto"/>
                      <w:sz w:val="21"/>
                      <w:szCs w:val="21"/>
                    </w:rPr>
                  </w:pPr>
                  <w:r>
                    <w:rPr>
                      <w:color w:val="auto"/>
                      <w:sz w:val="21"/>
                      <w:szCs w:val="21"/>
                    </w:rPr>
                    <w:t>4</w:t>
                  </w:r>
                </w:p>
              </w:tc>
              <w:tc>
                <w:tcPr>
                  <w:tcW w:w="512" w:type="dxa"/>
                  <w:tcBorders>
                    <w:tl2br w:val="nil"/>
                    <w:tr2bl w:val="nil"/>
                  </w:tcBorders>
                  <w:vAlign w:val="center"/>
                </w:tcPr>
                <w:p>
                  <w:pPr>
                    <w:spacing w:line="240" w:lineRule="auto"/>
                    <w:jc w:val="center"/>
                    <w:rPr>
                      <w:color w:val="auto"/>
                      <w:sz w:val="21"/>
                      <w:szCs w:val="21"/>
                    </w:rPr>
                  </w:pPr>
                  <w:r>
                    <w:rPr>
                      <w:color w:val="auto"/>
                      <w:sz w:val="21"/>
                      <w:szCs w:val="21"/>
                    </w:rPr>
                    <w:t>液化石油气</w:t>
                  </w:r>
                </w:p>
              </w:tc>
              <w:tc>
                <w:tcPr>
                  <w:tcW w:w="774" w:type="dxa"/>
                  <w:tcBorders>
                    <w:tl2br w:val="nil"/>
                    <w:tr2bl w:val="nil"/>
                  </w:tcBorders>
                  <w:vAlign w:val="center"/>
                </w:tcPr>
                <w:p>
                  <w:pPr>
                    <w:spacing w:line="240" w:lineRule="auto"/>
                    <w:jc w:val="center"/>
                    <w:rPr>
                      <w:color w:val="auto"/>
                      <w:sz w:val="21"/>
                      <w:szCs w:val="21"/>
                    </w:rPr>
                  </w:pPr>
                  <w:r>
                    <w:rPr>
                      <w:color w:val="auto"/>
                      <w:sz w:val="21"/>
                      <w:szCs w:val="21"/>
                    </w:rPr>
                    <w:t>易燃</w:t>
                  </w:r>
                </w:p>
                <w:p>
                  <w:pPr>
                    <w:spacing w:line="240" w:lineRule="auto"/>
                    <w:jc w:val="center"/>
                    <w:rPr>
                      <w:color w:val="auto"/>
                      <w:sz w:val="21"/>
                      <w:szCs w:val="21"/>
                    </w:rPr>
                  </w:pPr>
                  <w:r>
                    <w:rPr>
                      <w:color w:val="auto"/>
                      <w:sz w:val="21"/>
                      <w:szCs w:val="21"/>
                    </w:rPr>
                    <w:t>气体</w:t>
                  </w:r>
                </w:p>
              </w:tc>
              <w:tc>
                <w:tcPr>
                  <w:tcW w:w="1924" w:type="dxa"/>
                  <w:tcBorders>
                    <w:tl2br w:val="nil"/>
                    <w:tr2bl w:val="nil"/>
                  </w:tcBorders>
                  <w:vAlign w:val="center"/>
                </w:tcPr>
                <w:p>
                  <w:pPr>
                    <w:widowControl/>
                    <w:spacing w:line="240" w:lineRule="auto"/>
                    <w:jc w:val="center"/>
                    <w:rPr>
                      <w:color w:val="auto"/>
                      <w:sz w:val="21"/>
                      <w:szCs w:val="21"/>
                    </w:rPr>
                  </w:pPr>
                  <w:r>
                    <w:rPr>
                      <w:color w:val="auto"/>
                      <w:kern w:val="0"/>
                      <w:sz w:val="21"/>
                      <w:szCs w:val="21"/>
                    </w:rPr>
                    <w:t>石油类物质</w:t>
                  </w:r>
                </w:p>
              </w:tc>
              <w:tc>
                <w:tcPr>
                  <w:tcW w:w="3191" w:type="dxa"/>
                  <w:tcBorders>
                    <w:tl2br w:val="nil"/>
                    <w:tr2bl w:val="nil"/>
                  </w:tcBorders>
                  <w:vAlign w:val="center"/>
                </w:tcPr>
                <w:p>
                  <w:pPr>
                    <w:widowControl/>
                    <w:spacing w:line="240" w:lineRule="auto"/>
                    <w:jc w:val="center"/>
                    <w:rPr>
                      <w:color w:val="auto"/>
                      <w:sz w:val="21"/>
                      <w:szCs w:val="21"/>
                    </w:rPr>
                  </w:pPr>
                  <w:r>
                    <w:rPr>
                      <w:color w:val="auto"/>
                      <w:sz w:val="21"/>
                      <w:szCs w:val="21"/>
                    </w:rPr>
                    <w:t>本品有麻醉作用。急性中毒：有头晕、头痛、兴奋或嗜睡、恶心、呕吐、脉缓等；重症者可突然倒下，尿失禁，意识丧失，甚至呼吸停止。可致皮肤冻伤。慢性影响：长期接触低浓度者，可出现头痛、头晕、睡眠不佳、易疲劳、情绪不稳以及植物神经功能紊乱等。</w:t>
                  </w:r>
                </w:p>
              </w:tc>
              <w:tc>
                <w:tcPr>
                  <w:tcW w:w="2471" w:type="dxa"/>
                  <w:tcBorders>
                    <w:tl2br w:val="nil"/>
                    <w:tr2bl w:val="nil"/>
                  </w:tcBorders>
                  <w:vAlign w:val="center"/>
                </w:tcPr>
                <w:p>
                  <w:pPr>
                    <w:spacing w:line="240" w:lineRule="auto"/>
                    <w:jc w:val="center"/>
                    <w:rPr>
                      <w:color w:val="auto"/>
                      <w:sz w:val="21"/>
                      <w:szCs w:val="21"/>
                    </w:rPr>
                  </w:pPr>
                  <w:r>
                    <w:rPr>
                      <w:color w:val="auto"/>
                      <w:sz w:val="21"/>
                      <w:szCs w:val="21"/>
                    </w:rPr>
                    <w:t>极易燃，与空气混合能形成爆炸性混合物。遇热源和明火有燃烧爆炸的危险。与氟、氯等接触会发生剧烈的化学反应。其蒸气比空气重，能在较低处扩散到相当远的地方，遇火源会着火回燃。</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108" w:type="dxa"/>
                  <w:bottom w:w="28" w:type="dxa"/>
                  <w:right w:w="108" w:type="dxa"/>
                </w:tblCellMar>
              </w:tblPrEx>
              <w:trPr>
                <w:trHeight w:val="397" w:hRule="atLeast"/>
                <w:jc w:val="center"/>
              </w:trPr>
              <w:tc>
                <w:tcPr>
                  <w:tcW w:w="443" w:type="dxa"/>
                  <w:tcBorders>
                    <w:tl2br w:val="nil"/>
                    <w:tr2bl w:val="nil"/>
                  </w:tcBorders>
                  <w:vAlign w:val="center"/>
                </w:tcPr>
                <w:p>
                  <w:pPr>
                    <w:spacing w:line="240" w:lineRule="auto"/>
                    <w:jc w:val="center"/>
                    <w:rPr>
                      <w:color w:val="auto"/>
                      <w:sz w:val="21"/>
                      <w:szCs w:val="21"/>
                    </w:rPr>
                  </w:pPr>
                  <w:r>
                    <w:rPr>
                      <w:color w:val="auto"/>
                      <w:sz w:val="21"/>
                      <w:szCs w:val="21"/>
                    </w:rPr>
                    <w:t>5</w:t>
                  </w:r>
                </w:p>
              </w:tc>
              <w:tc>
                <w:tcPr>
                  <w:tcW w:w="512" w:type="dxa"/>
                  <w:tcBorders>
                    <w:tl2br w:val="nil"/>
                    <w:tr2bl w:val="nil"/>
                  </w:tcBorders>
                  <w:vAlign w:val="center"/>
                </w:tcPr>
                <w:p>
                  <w:pPr>
                    <w:spacing w:line="240" w:lineRule="auto"/>
                    <w:jc w:val="center"/>
                    <w:rPr>
                      <w:color w:val="auto"/>
                      <w:sz w:val="21"/>
                      <w:szCs w:val="21"/>
                    </w:rPr>
                  </w:pPr>
                  <w:r>
                    <w:rPr>
                      <w:color w:val="auto"/>
                      <w:sz w:val="21"/>
                      <w:szCs w:val="21"/>
                    </w:rPr>
                    <w:t>氟利昂</w:t>
                  </w:r>
                </w:p>
              </w:tc>
              <w:tc>
                <w:tcPr>
                  <w:tcW w:w="774" w:type="dxa"/>
                  <w:tcBorders>
                    <w:tl2br w:val="nil"/>
                    <w:tr2bl w:val="nil"/>
                  </w:tcBorders>
                  <w:vAlign w:val="center"/>
                </w:tcPr>
                <w:p>
                  <w:pPr>
                    <w:spacing w:line="240" w:lineRule="auto"/>
                    <w:jc w:val="center"/>
                    <w:rPr>
                      <w:color w:val="auto"/>
                      <w:sz w:val="21"/>
                      <w:szCs w:val="21"/>
                    </w:rPr>
                  </w:pPr>
                  <w:r>
                    <w:rPr>
                      <w:color w:val="auto"/>
                      <w:sz w:val="21"/>
                      <w:szCs w:val="21"/>
                    </w:rPr>
                    <w:t>无色易挥发液体，低毒</w:t>
                  </w:r>
                </w:p>
              </w:tc>
              <w:tc>
                <w:tcPr>
                  <w:tcW w:w="1924" w:type="dxa"/>
                  <w:tcBorders>
                    <w:tl2br w:val="nil"/>
                    <w:tr2bl w:val="nil"/>
                  </w:tcBorders>
                  <w:vAlign w:val="center"/>
                </w:tcPr>
                <w:p>
                  <w:pPr>
                    <w:widowControl/>
                    <w:spacing w:line="240" w:lineRule="auto"/>
                    <w:jc w:val="center"/>
                    <w:rPr>
                      <w:color w:val="auto"/>
                      <w:kern w:val="0"/>
                      <w:sz w:val="21"/>
                      <w:szCs w:val="21"/>
                    </w:rPr>
                  </w:pPr>
                  <w:r>
                    <w:rPr>
                      <w:color w:val="auto"/>
                      <w:sz w:val="21"/>
                      <w:szCs w:val="21"/>
                    </w:rPr>
                    <w:t>氟利昂</w:t>
                  </w:r>
                </w:p>
              </w:tc>
              <w:tc>
                <w:tcPr>
                  <w:tcW w:w="3191" w:type="dxa"/>
                  <w:tcBorders>
                    <w:tl2br w:val="nil"/>
                    <w:tr2bl w:val="nil"/>
                  </w:tcBorders>
                  <w:vAlign w:val="center"/>
                </w:tcPr>
                <w:p>
                  <w:pPr>
                    <w:widowControl/>
                    <w:spacing w:line="240" w:lineRule="auto"/>
                    <w:jc w:val="center"/>
                    <w:rPr>
                      <w:color w:val="auto"/>
                      <w:sz w:val="21"/>
                      <w:szCs w:val="21"/>
                    </w:rPr>
                  </w:pPr>
                  <w:r>
                    <w:rPr>
                      <w:color w:val="auto"/>
                      <w:sz w:val="21"/>
                      <w:szCs w:val="21"/>
                    </w:rPr>
                    <w:t>低毒，或无毒。二氯二氟甲烷等CFC类制冷剂破坏大气</w:t>
                  </w:r>
                  <w:r>
                    <w:rPr>
                      <w:color w:val="auto"/>
                      <w:sz w:val="21"/>
                      <w:szCs w:val="21"/>
                    </w:rPr>
                    <w:fldChar w:fldCharType="begin"/>
                  </w:r>
                  <w:r>
                    <w:rPr>
                      <w:color w:val="auto"/>
                      <w:sz w:val="21"/>
                      <w:szCs w:val="21"/>
                    </w:rPr>
                    <w:instrText xml:space="preserve"> HYPERLINK "http://baike.baidu.com/view/72036.htm" \t "_blank" </w:instrText>
                  </w:r>
                  <w:r>
                    <w:rPr>
                      <w:color w:val="auto"/>
                      <w:sz w:val="21"/>
                      <w:szCs w:val="21"/>
                    </w:rPr>
                    <w:fldChar w:fldCharType="separate"/>
                  </w:r>
                  <w:r>
                    <w:rPr>
                      <w:color w:val="auto"/>
                      <w:sz w:val="21"/>
                      <w:szCs w:val="21"/>
                    </w:rPr>
                    <w:t>臭氧层</w:t>
                  </w:r>
                  <w:r>
                    <w:rPr>
                      <w:color w:val="auto"/>
                      <w:sz w:val="21"/>
                      <w:szCs w:val="21"/>
                    </w:rPr>
                    <w:fldChar w:fldCharType="end"/>
                  </w:r>
                  <w:r>
                    <w:rPr>
                      <w:color w:val="auto"/>
                      <w:sz w:val="21"/>
                      <w:szCs w:val="21"/>
                    </w:rPr>
                    <w:t>；氟利昂在大气中浓度的增加还会带来温室效应。</w:t>
                  </w:r>
                </w:p>
              </w:tc>
              <w:tc>
                <w:tcPr>
                  <w:tcW w:w="2471" w:type="dxa"/>
                  <w:tcBorders>
                    <w:tl2br w:val="nil"/>
                    <w:tr2bl w:val="nil"/>
                  </w:tcBorders>
                  <w:vAlign w:val="center"/>
                </w:tcPr>
                <w:p>
                  <w:pPr>
                    <w:spacing w:line="240" w:lineRule="auto"/>
                    <w:jc w:val="center"/>
                    <w:rPr>
                      <w:color w:val="auto"/>
                      <w:sz w:val="21"/>
                      <w:szCs w:val="21"/>
                    </w:rPr>
                  </w:pPr>
                  <w:r>
                    <w:rPr>
                      <w:color w:val="auto"/>
                      <w:sz w:val="21"/>
                      <w:szCs w:val="21"/>
                    </w:rPr>
                    <w:t>不同的氟利昂制冷剂性质不同，其可燃性、毒性等与分子中的氯、氟、氢原子个数有关，氯原子数增加，毒性增加；氟原子数增加，毒性降低</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108" w:type="dxa"/>
                  <w:bottom w:w="28" w:type="dxa"/>
                  <w:right w:w="108" w:type="dxa"/>
                </w:tblCellMar>
              </w:tblPrEx>
              <w:trPr>
                <w:trHeight w:val="397" w:hRule="atLeast"/>
                <w:jc w:val="center"/>
              </w:trPr>
              <w:tc>
                <w:tcPr>
                  <w:tcW w:w="443" w:type="dxa"/>
                  <w:tcBorders>
                    <w:tl2br w:val="nil"/>
                    <w:tr2bl w:val="nil"/>
                  </w:tcBorders>
                  <w:vAlign w:val="center"/>
                </w:tcPr>
                <w:p>
                  <w:pPr>
                    <w:spacing w:line="240" w:lineRule="auto"/>
                    <w:jc w:val="center"/>
                    <w:rPr>
                      <w:rFonts w:hint="eastAsia"/>
                      <w:color w:val="auto"/>
                      <w:sz w:val="21"/>
                      <w:szCs w:val="21"/>
                    </w:rPr>
                  </w:pPr>
                  <w:r>
                    <w:rPr>
                      <w:rFonts w:hint="eastAsia"/>
                      <w:color w:val="auto"/>
                      <w:sz w:val="21"/>
                      <w:szCs w:val="21"/>
                    </w:rPr>
                    <w:t>6</w:t>
                  </w:r>
                </w:p>
              </w:tc>
              <w:tc>
                <w:tcPr>
                  <w:tcW w:w="512" w:type="dxa"/>
                  <w:tcBorders>
                    <w:tl2br w:val="nil"/>
                    <w:tr2bl w:val="nil"/>
                  </w:tcBorders>
                  <w:vAlign w:val="center"/>
                </w:tcPr>
                <w:p>
                  <w:pPr>
                    <w:spacing w:line="240" w:lineRule="auto"/>
                    <w:jc w:val="center"/>
                    <w:rPr>
                      <w:rFonts w:hint="eastAsia"/>
                      <w:color w:val="auto"/>
                      <w:sz w:val="21"/>
                      <w:szCs w:val="21"/>
                    </w:rPr>
                  </w:pPr>
                  <w:r>
                    <w:rPr>
                      <w:rFonts w:hint="eastAsia"/>
                      <w:color w:val="auto"/>
                      <w:sz w:val="21"/>
                      <w:szCs w:val="21"/>
                    </w:rPr>
                    <w:t>硫酸</w:t>
                  </w:r>
                </w:p>
              </w:tc>
              <w:tc>
                <w:tcPr>
                  <w:tcW w:w="774" w:type="dxa"/>
                  <w:tcBorders>
                    <w:tl2br w:val="nil"/>
                    <w:tr2bl w:val="nil"/>
                  </w:tcBorders>
                  <w:vAlign w:val="center"/>
                </w:tcPr>
                <w:p>
                  <w:pPr>
                    <w:spacing w:line="240" w:lineRule="auto"/>
                    <w:jc w:val="center"/>
                    <w:rPr>
                      <w:color w:val="auto"/>
                      <w:sz w:val="21"/>
                      <w:szCs w:val="21"/>
                    </w:rPr>
                  </w:pPr>
                  <w:r>
                    <w:rPr>
                      <w:rFonts w:hint="eastAsia" w:cs="宋体"/>
                      <w:color w:val="auto"/>
                      <w:sz w:val="21"/>
                      <w:szCs w:val="21"/>
                      <w:lang w:val="zh-CN" w:bidi="zh-CN"/>
                    </w:rPr>
                    <w:t>无色透明易燃液体</w:t>
                  </w:r>
                </w:p>
              </w:tc>
              <w:tc>
                <w:tcPr>
                  <w:tcW w:w="1924" w:type="dxa"/>
                  <w:tcBorders>
                    <w:tl2br w:val="nil"/>
                    <w:tr2bl w:val="nil"/>
                  </w:tcBorders>
                  <w:vAlign w:val="center"/>
                </w:tcPr>
                <w:p>
                  <w:pPr>
                    <w:widowControl/>
                    <w:spacing w:line="240" w:lineRule="auto"/>
                    <w:jc w:val="center"/>
                    <w:rPr>
                      <w:color w:val="auto"/>
                      <w:sz w:val="21"/>
                      <w:szCs w:val="21"/>
                    </w:rPr>
                  </w:pPr>
                  <w:r>
                    <w:rPr>
                      <w:rFonts w:cs="宋体"/>
                      <w:color w:val="auto"/>
                      <w:sz w:val="21"/>
                      <w:szCs w:val="21"/>
                      <w:lang w:val="zh-CN" w:bidi="zh-CN"/>
                    </w:rPr>
                    <w:t>硫酸</w:t>
                  </w:r>
                </w:p>
              </w:tc>
              <w:tc>
                <w:tcPr>
                  <w:tcW w:w="3191" w:type="dxa"/>
                  <w:tcBorders>
                    <w:tl2br w:val="nil"/>
                    <w:tr2bl w:val="nil"/>
                  </w:tcBorders>
                  <w:vAlign w:val="center"/>
                </w:tcPr>
                <w:p>
                  <w:pPr>
                    <w:widowControl/>
                    <w:spacing w:line="240" w:lineRule="auto"/>
                    <w:jc w:val="center"/>
                    <w:rPr>
                      <w:color w:val="auto"/>
                      <w:sz w:val="21"/>
                      <w:szCs w:val="21"/>
                    </w:rPr>
                  </w:pPr>
                  <w:r>
                    <w:rPr>
                      <w:rFonts w:hint="eastAsia" w:cs="宋体"/>
                      <w:color w:val="auto"/>
                      <w:sz w:val="21"/>
                      <w:szCs w:val="21"/>
                      <w:lang w:val="zh-CN" w:bidi="zh-CN"/>
                    </w:rPr>
                    <w:t>与易燃物(如苯)和有机物(如糖、纤维素等)接触会发生剧烈反应，甚至引起燃烧。能与一些活性金属粉末发生反应，放出氢气。遇水大量放热，可发生沸溅。具有强腐蚀性。能腐蚀绝大多数金属和塑料、橡胶及涂料。</w:t>
                  </w:r>
                </w:p>
              </w:tc>
              <w:tc>
                <w:tcPr>
                  <w:tcW w:w="2471" w:type="dxa"/>
                  <w:tcBorders>
                    <w:tl2br w:val="nil"/>
                    <w:tr2bl w:val="nil"/>
                  </w:tcBorders>
                  <w:vAlign w:val="center"/>
                </w:tcPr>
                <w:p>
                  <w:pPr>
                    <w:autoSpaceDE w:val="0"/>
                    <w:autoSpaceDN w:val="0"/>
                    <w:spacing w:line="240" w:lineRule="auto"/>
                    <w:rPr>
                      <w:rFonts w:hint="eastAsia" w:cs="宋体"/>
                      <w:color w:val="auto"/>
                      <w:sz w:val="21"/>
                      <w:szCs w:val="21"/>
                      <w:lang w:bidi="zh-CN"/>
                    </w:rPr>
                  </w:pPr>
                  <w:r>
                    <w:rPr>
                      <w:rFonts w:hint="eastAsia" w:cs="宋体"/>
                      <w:color w:val="auto"/>
                      <w:sz w:val="21"/>
                      <w:szCs w:val="21"/>
                      <w:lang w:val="zh-CN" w:bidi="zh-CN"/>
                    </w:rPr>
                    <w:t>一般毒物</w:t>
                  </w:r>
                  <w:r>
                    <w:rPr>
                      <w:rFonts w:hint="eastAsia" w:cs="宋体"/>
                      <w:color w:val="auto"/>
                      <w:sz w:val="21"/>
                      <w:szCs w:val="21"/>
                      <w:lang w:bidi="zh-CN"/>
                    </w:rPr>
                    <w:t>，LD</w:t>
                  </w:r>
                  <w:r>
                    <w:rPr>
                      <w:rFonts w:hint="eastAsia" w:cs="宋体"/>
                      <w:color w:val="auto"/>
                      <w:sz w:val="21"/>
                      <w:szCs w:val="21"/>
                      <w:vertAlign w:val="subscript"/>
                      <w:lang w:bidi="zh-CN"/>
                    </w:rPr>
                    <w:t>50</w:t>
                  </w:r>
                  <w:r>
                    <w:rPr>
                      <w:rFonts w:hint="eastAsia" w:cs="宋体"/>
                      <w:color w:val="auto"/>
                      <w:sz w:val="21"/>
                      <w:szCs w:val="21"/>
                      <w:lang w:bidi="zh-CN"/>
                    </w:rPr>
                    <w:t>：80mg/kg（</w:t>
                  </w:r>
                  <w:r>
                    <w:rPr>
                      <w:rFonts w:hint="eastAsia" w:cs="宋体"/>
                      <w:color w:val="auto"/>
                      <w:sz w:val="21"/>
                      <w:szCs w:val="21"/>
                      <w:lang w:val="zh-CN" w:bidi="zh-CN"/>
                    </w:rPr>
                    <w:t>大鼠经口</w:t>
                  </w:r>
                  <w:r>
                    <w:rPr>
                      <w:rFonts w:hint="eastAsia" w:cs="宋体"/>
                      <w:color w:val="auto"/>
                      <w:sz w:val="21"/>
                      <w:szCs w:val="21"/>
                      <w:lang w:bidi="zh-CN"/>
                    </w:rPr>
                    <w:t>）；LC</w:t>
                  </w:r>
                  <w:r>
                    <w:rPr>
                      <w:rFonts w:hint="eastAsia" w:cs="宋体"/>
                      <w:color w:val="auto"/>
                      <w:sz w:val="21"/>
                      <w:szCs w:val="21"/>
                      <w:vertAlign w:val="subscript"/>
                      <w:lang w:bidi="zh-CN"/>
                    </w:rPr>
                    <w:t>50</w:t>
                  </w:r>
                  <w:r>
                    <w:rPr>
                      <w:rFonts w:hint="eastAsia" w:cs="宋体"/>
                      <w:color w:val="auto"/>
                      <w:sz w:val="21"/>
                      <w:szCs w:val="21"/>
                      <w:lang w:bidi="zh-CN"/>
                    </w:rPr>
                    <w:t>：510mg/m（2</w:t>
                  </w:r>
                  <w:r>
                    <w:rPr>
                      <w:rFonts w:hint="eastAsia" w:cs="宋体"/>
                      <w:color w:val="auto"/>
                      <w:sz w:val="21"/>
                      <w:szCs w:val="21"/>
                      <w:lang w:val="zh-CN" w:bidi="zh-CN"/>
                    </w:rPr>
                    <w:t>小时大鼠吸入</w:t>
                  </w:r>
                  <w:r>
                    <w:rPr>
                      <w:rFonts w:hint="eastAsia" w:cs="宋体"/>
                      <w:color w:val="auto"/>
                      <w:sz w:val="21"/>
                      <w:szCs w:val="21"/>
                      <w:lang w:bidi="zh-CN"/>
                    </w:rPr>
                    <w:t>）</w:t>
                  </w:r>
                </w:p>
                <w:p>
                  <w:pPr>
                    <w:spacing w:line="240" w:lineRule="auto"/>
                    <w:jc w:val="center"/>
                    <w:rPr>
                      <w:color w:val="auto"/>
                      <w:sz w:val="21"/>
                      <w:szCs w:val="21"/>
                    </w:rPr>
                  </w:pPr>
                  <w:r>
                    <w:rPr>
                      <w:rFonts w:hint="eastAsia" w:cs="宋体"/>
                      <w:color w:val="auto"/>
                      <w:sz w:val="21"/>
                      <w:szCs w:val="21"/>
                      <w:lang w:bidi="zh-CN"/>
                    </w:rPr>
                    <w:t>320mg/m</w:t>
                  </w:r>
                  <w:r>
                    <w:rPr>
                      <w:rFonts w:hint="eastAsia" w:cs="宋体"/>
                      <w:color w:val="auto"/>
                      <w:sz w:val="21"/>
                      <w:szCs w:val="21"/>
                      <w:vertAlign w:val="superscript"/>
                      <w:lang w:bidi="zh-CN"/>
                    </w:rPr>
                    <w:t>3</w:t>
                  </w:r>
                  <w:r>
                    <w:rPr>
                      <w:rFonts w:hint="eastAsia" w:cs="宋体"/>
                      <w:color w:val="auto"/>
                      <w:sz w:val="21"/>
                      <w:szCs w:val="21"/>
                      <w:lang w:bidi="zh-CN"/>
                    </w:rPr>
                    <w:t>（2</w:t>
                  </w:r>
                  <w:r>
                    <w:rPr>
                      <w:rFonts w:hint="eastAsia" w:cs="宋体"/>
                      <w:color w:val="auto"/>
                      <w:sz w:val="21"/>
                      <w:szCs w:val="21"/>
                      <w:lang w:val="zh-CN" w:bidi="zh-CN"/>
                    </w:rPr>
                    <w:t>小时小鼠吸入</w:t>
                  </w:r>
                  <w:r>
                    <w:rPr>
                      <w:rFonts w:hint="eastAsia" w:cs="宋体"/>
                      <w:color w:val="auto"/>
                      <w:sz w:val="21"/>
                      <w:szCs w:val="21"/>
                      <w:lang w:bidi="zh-CN"/>
                    </w:rPr>
                    <w:t>）</w:t>
                  </w:r>
                  <w:r>
                    <w:rPr>
                      <w:rFonts w:hint="eastAsia" w:cs="宋体"/>
                      <w:color w:val="auto"/>
                      <w:sz w:val="21"/>
                      <w:szCs w:val="21"/>
                      <w:lang w:val="zh-CN" w:bidi="zh-CN"/>
                    </w:rPr>
                    <w:t>。酸性腐蚀品，具有酸性、腐蚀性、脱水性、还原性。</w:t>
                  </w:r>
                </w:p>
              </w:tc>
            </w:tr>
          </w:tbl>
          <w:p>
            <w:pPr>
              <w:keepNext w:val="0"/>
              <w:keepLines w:val="0"/>
              <w:pageBreakBefore w:val="0"/>
              <w:widowControl w:val="0"/>
              <w:kinsoku/>
              <w:wordWrap/>
              <w:overflowPunct/>
              <w:topLinePunct w:val="0"/>
              <w:autoSpaceDE w:val="0"/>
              <w:autoSpaceDN w:val="0"/>
              <w:bidi w:val="0"/>
              <w:adjustRightInd/>
              <w:snapToGrid/>
              <w:spacing w:line="360" w:lineRule="auto"/>
              <w:ind w:firstLine="482" w:firstLineChars="200"/>
              <w:textAlignment w:val="auto"/>
              <w:rPr>
                <w:rFonts w:hint="eastAsia" w:cs="宋体"/>
                <w:b/>
                <w:bCs/>
                <w:color w:val="auto"/>
                <w:sz w:val="24"/>
                <w:szCs w:val="24"/>
                <w:lang w:val="zh-CN" w:bidi="zh-CN"/>
              </w:rPr>
            </w:pPr>
            <w:r>
              <w:rPr>
                <w:rFonts w:hint="eastAsia" w:cs="宋体"/>
                <w:b/>
                <w:bCs/>
                <w:color w:val="auto"/>
                <w:sz w:val="24"/>
                <w:szCs w:val="24"/>
                <w:lang w:val="zh-CN" w:bidi="zh-CN"/>
              </w:rPr>
              <w:t>（</w:t>
            </w:r>
            <w:r>
              <w:rPr>
                <w:rFonts w:hint="eastAsia" w:cs="宋体"/>
                <w:b/>
                <w:bCs/>
                <w:color w:val="auto"/>
                <w:sz w:val="24"/>
                <w:szCs w:val="24"/>
                <w:lang w:val="en-US" w:bidi="zh-CN"/>
              </w:rPr>
              <w:t>2</w:t>
            </w:r>
            <w:r>
              <w:rPr>
                <w:rFonts w:hint="eastAsia" w:cs="宋体"/>
                <w:b/>
                <w:bCs/>
                <w:color w:val="auto"/>
                <w:sz w:val="24"/>
                <w:szCs w:val="24"/>
                <w:lang w:val="zh-CN" w:bidi="zh-CN"/>
              </w:rPr>
              <w:t>）生产设施风险识别</w:t>
            </w:r>
          </w:p>
          <w:p>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auto"/>
              <w:rPr>
                <w:rFonts w:hint="eastAsia" w:cs="宋体"/>
                <w:color w:val="auto"/>
                <w:sz w:val="24"/>
                <w:szCs w:val="24"/>
                <w:lang w:val="zh-CN" w:bidi="zh-CN"/>
              </w:rPr>
            </w:pPr>
            <w:r>
              <w:rPr>
                <w:rFonts w:hint="eastAsia" w:cs="宋体"/>
                <w:color w:val="auto"/>
                <w:sz w:val="24"/>
                <w:szCs w:val="24"/>
                <w:lang w:val="zh-CN" w:bidi="zh-CN"/>
              </w:rPr>
              <w:fldChar w:fldCharType="begin"/>
            </w:r>
            <w:r>
              <w:rPr>
                <w:rFonts w:hint="eastAsia" w:cs="宋体"/>
                <w:color w:val="auto"/>
                <w:sz w:val="24"/>
                <w:szCs w:val="24"/>
                <w:lang w:val="zh-CN" w:bidi="zh-CN"/>
              </w:rPr>
              <w:instrText xml:space="preserve"> = 1 \* GB3 \* MERGEFORMAT </w:instrText>
            </w:r>
            <w:r>
              <w:rPr>
                <w:rFonts w:hint="eastAsia" w:cs="宋体"/>
                <w:color w:val="auto"/>
                <w:sz w:val="24"/>
                <w:szCs w:val="24"/>
                <w:lang w:val="zh-CN" w:bidi="zh-CN"/>
              </w:rPr>
              <w:fldChar w:fldCharType="separate"/>
            </w:r>
            <w:r>
              <w:rPr>
                <w:rFonts w:cs="宋体"/>
                <w:color w:val="auto"/>
                <w:sz w:val="24"/>
                <w:szCs w:val="24"/>
                <w:lang w:val="zh-CN" w:bidi="zh-CN"/>
              </w:rPr>
              <w:t>①</w:t>
            </w:r>
            <w:r>
              <w:rPr>
                <w:rFonts w:hint="eastAsia" w:cs="宋体"/>
                <w:color w:val="auto"/>
                <w:sz w:val="24"/>
                <w:szCs w:val="24"/>
                <w:lang w:val="zh-CN" w:bidi="zh-CN"/>
              </w:rPr>
              <w:fldChar w:fldCharType="end"/>
            </w:r>
            <w:r>
              <w:rPr>
                <w:rFonts w:hint="eastAsia" w:cs="宋体"/>
                <w:color w:val="auto"/>
                <w:sz w:val="24"/>
                <w:szCs w:val="24"/>
                <w:lang w:val="zh-CN" w:bidi="zh-CN"/>
              </w:rPr>
              <w:t>生产过程</w:t>
            </w:r>
          </w:p>
          <w:p>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auto"/>
              <w:rPr>
                <w:rFonts w:hint="eastAsia" w:cs="宋体"/>
                <w:color w:val="auto"/>
                <w:sz w:val="24"/>
                <w:szCs w:val="24"/>
                <w:lang w:val="zh-CN" w:bidi="zh-CN"/>
              </w:rPr>
            </w:pPr>
            <w:r>
              <w:rPr>
                <w:rFonts w:hint="eastAsia" w:cs="宋体"/>
                <w:color w:val="auto"/>
                <w:sz w:val="24"/>
                <w:szCs w:val="24"/>
                <w:lang w:bidi="zh-CN"/>
              </w:rPr>
              <w:t>A</w:t>
            </w:r>
            <w:r>
              <w:rPr>
                <w:rFonts w:hint="eastAsia" w:cs="宋体"/>
                <w:color w:val="auto"/>
                <w:sz w:val="24"/>
                <w:szCs w:val="24"/>
                <w:lang w:val="zh-CN" w:bidi="zh-CN"/>
              </w:rPr>
              <w:t xml:space="preserve"> 机动车拆解车间地面有拆解过程滴漏的少量机油，报废的机动车传动装置、发动机等金属表面沾有少量的机油，遇火源可能发生火灾；拆解车间中塑料、橡胶的临时堆放点存在火灾风险；切割时采用的液化石油气遇火源可能发生火灾。</w:t>
            </w:r>
          </w:p>
          <w:p>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auto"/>
              <w:rPr>
                <w:rFonts w:hint="eastAsia" w:cs="宋体"/>
                <w:color w:val="auto"/>
                <w:sz w:val="24"/>
                <w:szCs w:val="24"/>
                <w:lang w:val="zh-CN" w:bidi="zh-CN"/>
              </w:rPr>
            </w:pPr>
            <w:r>
              <w:rPr>
                <w:rFonts w:hint="eastAsia" w:cs="宋体"/>
                <w:color w:val="auto"/>
                <w:sz w:val="24"/>
                <w:szCs w:val="24"/>
                <w:lang w:bidi="zh-CN"/>
              </w:rPr>
              <w:t>B</w:t>
            </w:r>
            <w:r>
              <w:rPr>
                <w:rFonts w:hint="eastAsia" w:cs="宋体"/>
                <w:color w:val="auto"/>
                <w:sz w:val="24"/>
                <w:szCs w:val="24"/>
                <w:lang w:val="zh-CN" w:bidi="zh-CN"/>
              </w:rPr>
              <w:t xml:space="preserve"> 报废汽车拆解中可能遇到破损的蓄电池，蓄电池破损后可能发生废酸和重金属的滴漏在车间地面的情况，可能发生污染物渗入地下、污染土壤和地下水的情况。</w:t>
            </w:r>
          </w:p>
          <w:p>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auto"/>
              <w:rPr>
                <w:rFonts w:hint="eastAsia" w:cs="宋体"/>
                <w:color w:val="auto"/>
                <w:sz w:val="24"/>
                <w:szCs w:val="24"/>
                <w:lang w:val="zh-CN" w:bidi="zh-CN"/>
              </w:rPr>
            </w:pPr>
            <w:r>
              <w:rPr>
                <w:rFonts w:hint="eastAsia" w:cs="宋体"/>
                <w:color w:val="auto"/>
                <w:sz w:val="24"/>
                <w:szCs w:val="24"/>
                <w:lang w:bidi="zh-CN"/>
              </w:rPr>
              <w:t>C</w:t>
            </w:r>
            <w:r>
              <w:rPr>
                <w:rFonts w:hint="eastAsia" w:cs="宋体"/>
                <w:color w:val="auto"/>
                <w:sz w:val="24"/>
                <w:szCs w:val="24"/>
                <w:lang w:val="zh-CN" w:bidi="zh-CN"/>
              </w:rPr>
              <w:t xml:space="preserve"> 火灾后产生的消防废水，以及废水处理设施进水水质不稳定、设备故障，致废水超标排放。消防废水中主要污染物石油、SS，厂区内设有初期雨水池(兼做事故水池)(</w:t>
            </w:r>
            <w:r>
              <w:rPr>
                <w:rFonts w:hint="eastAsia" w:cs="宋体"/>
                <w:color w:val="auto"/>
                <w:sz w:val="24"/>
                <w:szCs w:val="24"/>
                <w:lang w:val="en-US" w:bidi="zh-CN"/>
              </w:rPr>
              <w:t>180</w:t>
            </w:r>
            <w:r>
              <w:rPr>
                <w:rFonts w:hint="eastAsia" w:cs="宋体"/>
                <w:color w:val="auto"/>
                <w:sz w:val="24"/>
                <w:szCs w:val="24"/>
                <w:lang w:val="zh-CN" w:bidi="zh-CN"/>
              </w:rPr>
              <w:t>m</w:t>
            </w:r>
            <w:r>
              <w:rPr>
                <w:rFonts w:hint="eastAsia" w:cs="宋体"/>
                <w:color w:val="auto"/>
                <w:sz w:val="24"/>
                <w:szCs w:val="24"/>
                <w:vertAlign w:val="superscript"/>
                <w:lang w:bidi="zh-CN"/>
              </w:rPr>
              <w:t>3</w:t>
            </w:r>
            <w:r>
              <w:rPr>
                <w:rFonts w:hint="eastAsia" w:cs="宋体"/>
                <w:color w:val="auto"/>
                <w:sz w:val="24"/>
                <w:szCs w:val="24"/>
                <w:lang w:val="zh-CN" w:bidi="zh-CN"/>
              </w:rPr>
              <w:t>)，容量足够容纳本项目场区一次消防废水量，消防废水收集，经</w:t>
            </w:r>
            <w:r>
              <w:rPr>
                <w:rFonts w:hint="eastAsia" w:cs="宋体"/>
                <w:color w:val="auto"/>
                <w:sz w:val="24"/>
                <w:szCs w:val="24"/>
                <w:lang w:val="en-US" w:bidi="zh-CN"/>
              </w:rPr>
              <w:t>气浮机、</w:t>
            </w:r>
            <w:r>
              <w:rPr>
                <w:rFonts w:hint="eastAsia" w:cs="宋体"/>
                <w:color w:val="auto"/>
                <w:sz w:val="24"/>
                <w:szCs w:val="24"/>
                <w:lang w:val="zh-CN" w:bidi="zh-CN"/>
              </w:rPr>
              <w:t>油水分离器处理达标后排放，因此可将超标废水外排的风险控制在管理层面上。</w:t>
            </w:r>
          </w:p>
          <w:p>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auto"/>
              <w:rPr>
                <w:rFonts w:hint="eastAsia" w:cs="宋体"/>
                <w:color w:val="auto"/>
                <w:sz w:val="24"/>
                <w:szCs w:val="24"/>
                <w:lang w:val="zh-CN" w:bidi="zh-CN"/>
              </w:rPr>
            </w:pPr>
            <w:r>
              <w:rPr>
                <w:rFonts w:hint="eastAsia" w:cs="宋体"/>
                <w:color w:val="auto"/>
                <w:sz w:val="24"/>
                <w:szCs w:val="24"/>
                <w:lang w:val="zh-CN" w:bidi="zh-CN"/>
              </w:rPr>
              <w:fldChar w:fldCharType="begin"/>
            </w:r>
            <w:r>
              <w:rPr>
                <w:rFonts w:hint="eastAsia" w:cs="宋体"/>
                <w:color w:val="auto"/>
                <w:sz w:val="24"/>
                <w:szCs w:val="24"/>
                <w:lang w:val="zh-CN" w:bidi="zh-CN"/>
              </w:rPr>
              <w:instrText xml:space="preserve"> = 2 \* GB3 \* MERGEFORMAT </w:instrText>
            </w:r>
            <w:r>
              <w:rPr>
                <w:rFonts w:hint="eastAsia" w:cs="宋体"/>
                <w:color w:val="auto"/>
                <w:sz w:val="24"/>
                <w:szCs w:val="24"/>
                <w:lang w:val="zh-CN" w:bidi="zh-CN"/>
              </w:rPr>
              <w:fldChar w:fldCharType="separate"/>
            </w:r>
            <w:r>
              <w:rPr>
                <w:rFonts w:cs="宋体"/>
                <w:color w:val="auto"/>
                <w:sz w:val="24"/>
                <w:szCs w:val="24"/>
                <w:lang w:val="zh-CN" w:bidi="zh-CN"/>
              </w:rPr>
              <w:t>②</w:t>
            </w:r>
            <w:r>
              <w:rPr>
                <w:rFonts w:hint="eastAsia" w:cs="宋体"/>
                <w:color w:val="auto"/>
                <w:sz w:val="24"/>
                <w:szCs w:val="24"/>
                <w:lang w:val="zh-CN" w:bidi="zh-CN"/>
              </w:rPr>
              <w:fldChar w:fldCharType="end"/>
            </w:r>
            <w:r>
              <w:rPr>
                <w:rFonts w:hint="eastAsia" w:cs="宋体"/>
                <w:color w:val="auto"/>
                <w:sz w:val="24"/>
                <w:szCs w:val="24"/>
                <w:lang w:val="zh-CN" w:bidi="zh-CN"/>
              </w:rPr>
              <w:t>贮存过程</w:t>
            </w:r>
          </w:p>
          <w:p>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auto"/>
              <w:rPr>
                <w:rFonts w:hint="eastAsia" w:cs="宋体"/>
                <w:color w:val="auto"/>
                <w:sz w:val="24"/>
                <w:szCs w:val="24"/>
                <w:lang w:val="zh-CN" w:bidi="zh-CN"/>
              </w:rPr>
            </w:pPr>
            <w:r>
              <w:rPr>
                <w:rFonts w:hint="eastAsia" w:cs="宋体"/>
                <w:color w:val="auto"/>
                <w:sz w:val="24"/>
                <w:szCs w:val="24"/>
                <w:lang w:bidi="zh-CN"/>
              </w:rPr>
              <w:t>A</w:t>
            </w:r>
            <w:r>
              <w:rPr>
                <w:rFonts w:hint="eastAsia" w:cs="宋体"/>
                <w:color w:val="auto"/>
                <w:sz w:val="24"/>
                <w:szCs w:val="24"/>
                <w:lang w:val="zh-CN" w:bidi="zh-CN"/>
              </w:rPr>
              <w:t xml:space="preserve"> 装有废油液的储罐属于易燃易爆物质，若储罐发生破裂导致废油液的泄漏，遇到火源则发生火灾、爆炸事故，或遭受雷击也可能诱发火灾、爆炸事故。</w:t>
            </w:r>
          </w:p>
          <w:p>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auto"/>
              <w:rPr>
                <w:rFonts w:hint="eastAsia" w:cs="宋体"/>
                <w:color w:val="auto"/>
                <w:sz w:val="24"/>
                <w:szCs w:val="24"/>
                <w:lang w:val="zh-CN" w:bidi="zh-CN"/>
              </w:rPr>
            </w:pPr>
            <w:r>
              <w:rPr>
                <w:rFonts w:hint="eastAsia" w:cs="宋体"/>
                <w:color w:val="auto"/>
                <w:sz w:val="24"/>
                <w:szCs w:val="24"/>
                <w:lang w:bidi="zh-CN"/>
              </w:rPr>
              <w:t>B</w:t>
            </w:r>
            <w:r>
              <w:rPr>
                <w:rFonts w:hint="eastAsia" w:cs="宋体"/>
                <w:color w:val="auto"/>
                <w:sz w:val="24"/>
                <w:szCs w:val="24"/>
                <w:lang w:val="zh-CN" w:bidi="zh-CN"/>
              </w:rPr>
              <w:t xml:space="preserve"> 废蓄电池中的含有废酸为有毒腐蚀性物质、重金属,若存放的容器发生泄漏可能引发中毒事故、污染地下水。</w:t>
            </w:r>
          </w:p>
          <w:p>
            <w:pPr>
              <w:keepNext w:val="0"/>
              <w:keepLines w:val="0"/>
              <w:pageBreakBefore w:val="0"/>
              <w:widowControl w:val="0"/>
              <w:kinsoku/>
              <w:wordWrap/>
              <w:overflowPunct/>
              <w:topLinePunct w:val="0"/>
              <w:bidi w:val="0"/>
              <w:adjustRightInd/>
              <w:snapToGrid/>
              <w:ind w:firstLine="480" w:firstLineChars="200"/>
              <w:textAlignment w:val="auto"/>
              <w:rPr>
                <w:rFonts w:hint="eastAsia" w:ascii="Times New Roman" w:hAnsi="Times New Roman" w:eastAsia="宋体"/>
                <w:color w:val="auto"/>
                <w:sz w:val="24"/>
                <w:szCs w:val="24"/>
                <w:u w:val="none" w:color="auto"/>
                <w:lang w:val="en-US" w:eastAsia="zh-CN"/>
              </w:rPr>
            </w:pPr>
            <w:r>
              <w:rPr>
                <w:rFonts w:hint="eastAsia" w:cs="宋体"/>
                <w:color w:val="auto"/>
                <w:sz w:val="24"/>
                <w:szCs w:val="24"/>
                <w:lang w:bidi="zh-CN"/>
              </w:rPr>
              <w:t>C</w:t>
            </w:r>
            <w:r>
              <w:rPr>
                <w:rFonts w:hint="eastAsia" w:cs="宋体"/>
                <w:color w:val="auto"/>
                <w:sz w:val="24"/>
                <w:szCs w:val="24"/>
                <w:lang w:val="zh-CN" w:bidi="zh-CN"/>
              </w:rPr>
              <w:t xml:space="preserve"> 各类废油液、制冷剂受热后，因温度升高会发生体积膨胀，若容器灌装过满会导致容器的损坏，可能引起渗漏和外溢。另一方面，由于温度降低，体积收缩，容器内有可能出现负压，也会使容器变形损坏。</w:t>
            </w:r>
          </w:p>
          <w:p>
            <w:pPr>
              <w:keepNext w:val="0"/>
              <w:keepLines w:val="0"/>
              <w:pageBreakBefore w:val="0"/>
              <w:widowControl w:val="0"/>
              <w:kinsoku/>
              <w:wordWrap/>
              <w:overflowPunct/>
              <w:topLinePunct w:val="0"/>
              <w:autoSpaceDE w:val="0"/>
              <w:autoSpaceDN w:val="0"/>
              <w:bidi w:val="0"/>
              <w:adjustRightInd/>
              <w:snapToGrid/>
              <w:spacing w:line="360" w:lineRule="auto"/>
              <w:ind w:firstLine="482" w:firstLineChars="200"/>
              <w:textAlignment w:val="auto"/>
              <w:rPr>
                <w:rFonts w:hint="eastAsia" w:cs="宋体"/>
                <w:b/>
                <w:bCs/>
                <w:color w:val="auto"/>
                <w:sz w:val="24"/>
                <w:szCs w:val="24"/>
                <w:lang w:val="zh-CN" w:bidi="zh-CN"/>
              </w:rPr>
            </w:pPr>
            <w:r>
              <w:rPr>
                <w:rFonts w:hint="eastAsia" w:cs="宋体"/>
                <w:b/>
                <w:bCs/>
                <w:color w:val="auto"/>
                <w:sz w:val="24"/>
                <w:szCs w:val="24"/>
                <w:lang w:val="zh-CN" w:bidi="zh-CN"/>
              </w:rPr>
              <w:t>（</w:t>
            </w:r>
            <w:r>
              <w:rPr>
                <w:rFonts w:hint="eastAsia" w:cs="宋体"/>
                <w:b/>
                <w:bCs/>
                <w:color w:val="auto"/>
                <w:sz w:val="24"/>
                <w:szCs w:val="24"/>
                <w:lang w:bidi="zh-CN"/>
              </w:rPr>
              <w:t>3</w:t>
            </w:r>
            <w:r>
              <w:rPr>
                <w:rFonts w:hint="eastAsia" w:cs="宋体"/>
                <w:b/>
                <w:bCs/>
                <w:color w:val="auto"/>
                <w:sz w:val="24"/>
                <w:szCs w:val="24"/>
                <w:lang w:val="zh-CN" w:bidi="zh-CN"/>
              </w:rPr>
              <w:t>）环境风险分析</w:t>
            </w:r>
          </w:p>
          <w:p>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auto"/>
              <w:rPr>
                <w:rFonts w:hint="eastAsia" w:cs="宋体"/>
                <w:color w:val="auto"/>
                <w:sz w:val="24"/>
                <w:szCs w:val="24"/>
                <w:lang w:val="zh-CN" w:bidi="zh-CN"/>
              </w:rPr>
            </w:pPr>
            <w:r>
              <w:rPr>
                <w:rFonts w:hint="eastAsia" w:cs="宋体"/>
                <w:color w:val="auto"/>
                <w:sz w:val="24"/>
                <w:szCs w:val="24"/>
                <w:lang w:val="zh-CN" w:bidi="zh-CN"/>
              </w:rPr>
              <w:fldChar w:fldCharType="begin"/>
            </w:r>
            <w:r>
              <w:rPr>
                <w:rFonts w:hint="eastAsia" w:cs="宋体"/>
                <w:color w:val="auto"/>
                <w:sz w:val="24"/>
                <w:szCs w:val="24"/>
                <w:lang w:val="zh-CN" w:bidi="zh-CN"/>
              </w:rPr>
              <w:instrText xml:space="preserve"> = 1 \* GB3 \* MERGEFORMAT </w:instrText>
            </w:r>
            <w:r>
              <w:rPr>
                <w:rFonts w:hint="eastAsia" w:cs="宋体"/>
                <w:color w:val="auto"/>
                <w:sz w:val="24"/>
                <w:szCs w:val="24"/>
                <w:lang w:val="zh-CN" w:bidi="zh-CN"/>
              </w:rPr>
              <w:fldChar w:fldCharType="separate"/>
            </w:r>
            <w:r>
              <w:rPr>
                <w:rFonts w:cs="宋体"/>
                <w:color w:val="auto"/>
                <w:sz w:val="24"/>
                <w:szCs w:val="24"/>
                <w:lang w:val="zh-CN" w:bidi="zh-CN"/>
              </w:rPr>
              <w:t>①</w:t>
            </w:r>
            <w:r>
              <w:rPr>
                <w:rFonts w:hint="eastAsia" w:cs="宋体"/>
                <w:color w:val="auto"/>
                <w:sz w:val="24"/>
                <w:szCs w:val="24"/>
                <w:lang w:val="zh-CN" w:bidi="zh-CN"/>
              </w:rPr>
              <w:fldChar w:fldCharType="end"/>
            </w:r>
            <w:r>
              <w:rPr>
                <w:rFonts w:hint="eastAsia" w:cs="宋体"/>
                <w:color w:val="auto"/>
                <w:sz w:val="24"/>
                <w:szCs w:val="24"/>
                <w:lang w:val="zh-CN" w:bidi="zh-CN"/>
              </w:rPr>
              <w:t>源项分析</w:t>
            </w:r>
          </w:p>
          <w:p>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auto"/>
              <w:rPr>
                <w:rFonts w:hint="eastAsia" w:cs="宋体"/>
                <w:color w:val="auto"/>
                <w:sz w:val="24"/>
                <w:szCs w:val="24"/>
                <w:lang w:bidi="zh-CN"/>
              </w:rPr>
            </w:pPr>
            <w:r>
              <w:rPr>
                <w:rFonts w:hint="eastAsia" w:cs="宋体"/>
                <w:color w:val="auto"/>
                <w:sz w:val="24"/>
                <w:szCs w:val="24"/>
                <w:lang w:val="zh-CN" w:bidi="zh-CN"/>
              </w:rPr>
              <w:t>废旧车辆的拆解行业与石化、化工等行业相比，发生突发性事故风险的几率较小，事故风险影响、环境污染及危害性也比石化、化工等行业轻。考虑到拆解过程中，仍有突发性事故及环境污染的可能性，须有工程性及管理性的防范措施通过对该项目的风险源项的识别，判断发生风险事故的概率、估算发生风险事故时对外环境的影响、提出减少事故风险的措施，降低该项目的风险值，并使其达到本行业风险可接受的水平、得出风险评价结论为审批部门提供审批依据、提出相应的事故处理措施，最大限度的减少发生事故时对外环境的影响、结合该项目的实际提出可行的风险防范措施及应急预案。</w:t>
            </w:r>
          </w:p>
          <w:p>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auto"/>
              <w:rPr>
                <w:rFonts w:hint="eastAsia" w:cs="宋体"/>
                <w:color w:val="auto"/>
                <w:sz w:val="24"/>
                <w:szCs w:val="24"/>
                <w:lang w:val="zh-CN" w:bidi="zh-CN"/>
              </w:rPr>
            </w:pPr>
            <w:r>
              <w:rPr>
                <w:rFonts w:hint="eastAsia" w:cs="宋体"/>
                <w:color w:val="auto"/>
                <w:sz w:val="24"/>
                <w:szCs w:val="24"/>
                <w:lang w:bidi="zh-CN"/>
              </w:rPr>
              <w:t xml:space="preserve">A </w:t>
            </w:r>
            <w:r>
              <w:rPr>
                <w:rFonts w:hint="eastAsia" w:cs="宋体"/>
                <w:color w:val="auto"/>
                <w:sz w:val="24"/>
                <w:szCs w:val="24"/>
                <w:lang w:val="zh-CN" w:bidi="zh-CN"/>
              </w:rPr>
              <w:t>运输风险事故</w:t>
            </w:r>
          </w:p>
          <w:p>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auto"/>
              <w:rPr>
                <w:rFonts w:hint="eastAsia" w:cs="宋体"/>
                <w:color w:val="auto"/>
                <w:sz w:val="24"/>
                <w:szCs w:val="24"/>
                <w:lang w:val="zh-CN" w:bidi="zh-CN"/>
              </w:rPr>
            </w:pPr>
            <w:r>
              <w:rPr>
                <w:rFonts w:hint="eastAsia" w:cs="宋体"/>
                <w:color w:val="auto"/>
                <w:sz w:val="24"/>
                <w:szCs w:val="24"/>
                <w:lang w:val="zh-CN" w:bidi="zh-CN"/>
              </w:rPr>
              <w:t>项目拆解过程会产生汽油、机油等各类废油液、废蓄电池、废电容器等有毒有害物质，危废拟</w:t>
            </w:r>
            <w:r>
              <w:rPr>
                <w:rFonts w:hint="eastAsia" w:cs="宋体"/>
                <w:color w:val="auto"/>
                <w:sz w:val="24"/>
                <w:szCs w:val="24"/>
                <w:lang w:bidi="zh-CN"/>
              </w:rPr>
              <w:t>1月</w:t>
            </w:r>
            <w:r>
              <w:rPr>
                <w:rFonts w:hint="eastAsia" w:cs="宋体"/>
                <w:color w:val="auto"/>
                <w:sz w:val="24"/>
                <w:szCs w:val="24"/>
                <w:lang w:val="zh-CN" w:bidi="zh-CN"/>
              </w:rPr>
              <w:t>向有相应资质的危废处理机构转运一次。运输上述风险物质的车辆在运输过程中可能发生翻车、泄漏等意外事故。本项目危险废弃物由委托的危废单位进行运输，运输风险由危废运输单位承担。</w:t>
            </w:r>
          </w:p>
          <w:p>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auto"/>
              <w:rPr>
                <w:rFonts w:hint="eastAsia" w:cs="宋体"/>
                <w:color w:val="auto"/>
                <w:sz w:val="24"/>
                <w:szCs w:val="24"/>
                <w:lang w:val="zh-CN" w:bidi="zh-CN"/>
              </w:rPr>
            </w:pPr>
            <w:r>
              <w:rPr>
                <w:rFonts w:hint="eastAsia" w:cs="宋体"/>
                <w:color w:val="auto"/>
                <w:sz w:val="24"/>
                <w:szCs w:val="24"/>
                <w:lang w:bidi="zh-CN"/>
              </w:rPr>
              <w:t xml:space="preserve">B </w:t>
            </w:r>
            <w:r>
              <w:rPr>
                <w:rFonts w:hint="eastAsia" w:cs="宋体"/>
                <w:color w:val="auto"/>
                <w:sz w:val="24"/>
                <w:szCs w:val="24"/>
                <w:lang w:val="zh-CN" w:bidi="zh-CN"/>
              </w:rPr>
              <w:t>储存风险事故</w:t>
            </w:r>
          </w:p>
          <w:p>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auto"/>
              <w:rPr>
                <w:rFonts w:hint="eastAsia" w:cs="宋体"/>
                <w:color w:val="auto"/>
                <w:sz w:val="24"/>
                <w:szCs w:val="24"/>
                <w:lang w:val="zh-CN" w:bidi="zh-CN"/>
              </w:rPr>
            </w:pPr>
            <w:r>
              <w:rPr>
                <w:rFonts w:hint="eastAsia" w:cs="宋体"/>
                <w:color w:val="auto"/>
                <w:sz w:val="24"/>
                <w:szCs w:val="24"/>
                <w:lang w:val="zh-CN" w:bidi="zh-CN"/>
              </w:rPr>
              <w:t>危险物质储存期间，由于设备缺陷、储罐容器破损或误操作可能导致有毒有害物质泄漏的事故。经验表明：定期对设备检查维护、认真管理和提高操作人员的责任心是减少泄漏事故的关键。废油液采用密闭密闭储存桶暂存，收集储存在污染控制区内，一日发生泄漏，可能引发火灾其至爆炸事故。如果没有任何防范措施，消防废水将外泄，造成周边水体水质污染等火灾产生的次生/伴生污染。</w:t>
            </w:r>
          </w:p>
          <w:p>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auto"/>
              <w:rPr>
                <w:rFonts w:hint="eastAsia" w:cs="宋体"/>
                <w:color w:val="auto"/>
                <w:sz w:val="24"/>
                <w:szCs w:val="24"/>
                <w:lang w:val="zh-CN" w:bidi="zh-CN"/>
              </w:rPr>
            </w:pPr>
            <w:r>
              <w:rPr>
                <w:rFonts w:hint="eastAsia" w:cs="宋体"/>
                <w:color w:val="auto"/>
                <w:sz w:val="24"/>
                <w:szCs w:val="24"/>
                <w:lang w:bidi="zh-CN"/>
              </w:rPr>
              <w:t xml:space="preserve">C </w:t>
            </w:r>
            <w:r>
              <w:rPr>
                <w:rFonts w:hint="eastAsia" w:cs="宋体"/>
                <w:color w:val="auto"/>
                <w:sz w:val="24"/>
                <w:szCs w:val="24"/>
                <w:lang w:val="zh-CN" w:bidi="zh-CN"/>
              </w:rPr>
              <w:t>蓄电池泄漏事故</w:t>
            </w:r>
          </w:p>
          <w:p>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auto"/>
              <w:rPr>
                <w:rFonts w:hint="eastAsia" w:cs="宋体"/>
                <w:color w:val="auto"/>
                <w:sz w:val="24"/>
                <w:szCs w:val="24"/>
                <w:lang w:val="zh-CN" w:bidi="zh-CN"/>
              </w:rPr>
            </w:pPr>
            <w:r>
              <w:rPr>
                <w:rFonts w:hint="eastAsia" w:cs="宋体"/>
                <w:color w:val="auto"/>
                <w:sz w:val="24"/>
                <w:szCs w:val="24"/>
                <w:lang w:val="zh-CN" w:bidi="zh-CN"/>
              </w:rPr>
              <w:t>废机动车拆解下的蓄电池内含有稀硫酸，在拆解过程中，可能会发生蓄电池中的硫酸泄漏。按本项目的拆解工艺，蓄电池仅从车身上拆卸下来，并不对蓄电池本身进行拆解，当遇到破损的蓄电池才有可能出现泄漏的情况。在拆解、贮存过程中可能因泄漏、包装破损等因素而引发对水、大气、土壤的污染事故。因此本评价要求建设单位在蓄电池的危废储存间设置围堰，地面要有防渗层，当发生泄漏事故，由于围堰的作用，泄漏液体都集中在围堰内，发生事故性泄漏时并不会直接排入环境，故项目蓄电池发生泄漏时不会对周围土壤和水环境造成严重影响。</w:t>
            </w:r>
          </w:p>
          <w:p>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auto"/>
              <w:rPr>
                <w:rFonts w:hint="eastAsia" w:cs="宋体"/>
                <w:color w:val="auto"/>
                <w:sz w:val="24"/>
                <w:szCs w:val="24"/>
                <w:lang w:val="zh-CN" w:bidi="zh-CN"/>
              </w:rPr>
            </w:pPr>
            <w:r>
              <w:rPr>
                <w:rFonts w:hint="eastAsia" w:cs="宋体"/>
                <w:color w:val="auto"/>
                <w:sz w:val="24"/>
                <w:szCs w:val="24"/>
                <w:lang w:bidi="zh-CN"/>
              </w:rPr>
              <w:t xml:space="preserve">D </w:t>
            </w:r>
            <w:r>
              <w:rPr>
                <w:rFonts w:hint="eastAsia" w:cs="宋体"/>
                <w:color w:val="auto"/>
                <w:sz w:val="24"/>
                <w:szCs w:val="24"/>
                <w:lang w:val="zh-CN" w:bidi="zh-CN"/>
              </w:rPr>
              <w:t>最大可信事故</w:t>
            </w:r>
          </w:p>
          <w:p>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auto"/>
              <w:rPr>
                <w:rFonts w:hint="eastAsia" w:cs="宋体"/>
                <w:color w:val="auto"/>
                <w:sz w:val="24"/>
                <w:szCs w:val="24"/>
                <w:lang w:val="zh-CN" w:bidi="zh-CN"/>
              </w:rPr>
            </w:pPr>
            <w:r>
              <w:rPr>
                <w:rFonts w:hint="eastAsia" w:cs="宋体"/>
                <w:color w:val="auto"/>
                <w:sz w:val="24"/>
                <w:szCs w:val="24"/>
                <w:lang w:val="zh-CN" w:bidi="zh-CN"/>
              </w:rPr>
              <w:t>项目主要危险源均采用专用容器罐装、常温常压储存。结合风险识别及上述分析，鉴于汽油的危险性特征，参考统计资料及国内外同类装置事故调查资料，以最不利的情况考虑，确定本项目的最大可信事故为汽油存放区的火灾事故，以及产生的次生、伴生污染，物质材料燃烧对周边居民和环境空气造成一定影响，消防废水未能及时收集而直接进入周边地表水体造成的水质污染。本项目工程事故风险概率的确定采用类比法，参照国内石油化工企业事故统计情况，一般而言，危险物质存放区产生火灾事故概率约为1</w:t>
            </w:r>
            <w:r>
              <w:rPr>
                <w:rFonts w:ascii="Arial" w:hAnsi="Arial" w:cs="Arial"/>
                <w:color w:val="auto"/>
                <w:sz w:val="24"/>
                <w:szCs w:val="24"/>
                <w:lang w:val="zh-CN" w:bidi="zh-CN"/>
              </w:rPr>
              <w:t>×</w:t>
            </w:r>
            <w:r>
              <w:rPr>
                <w:rFonts w:hint="eastAsia" w:cs="宋体"/>
                <w:color w:val="auto"/>
                <w:sz w:val="24"/>
                <w:szCs w:val="24"/>
                <w:lang w:val="zh-CN" w:bidi="zh-CN"/>
              </w:rPr>
              <w:t>10</w:t>
            </w:r>
            <w:r>
              <w:rPr>
                <w:rFonts w:hint="eastAsia" w:cs="宋体"/>
                <w:color w:val="auto"/>
                <w:sz w:val="24"/>
                <w:szCs w:val="24"/>
                <w:vertAlign w:val="superscript"/>
                <w:lang w:bidi="zh-CN"/>
              </w:rPr>
              <w:t>-6</w:t>
            </w:r>
            <w:r>
              <w:rPr>
                <w:rFonts w:hint="eastAsia" w:cs="宋体"/>
                <w:color w:val="auto"/>
                <w:sz w:val="24"/>
                <w:szCs w:val="24"/>
                <w:lang w:val="zh-CN" w:bidi="zh-CN"/>
              </w:rPr>
              <w:t>年。</w:t>
            </w:r>
          </w:p>
          <w:p>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auto"/>
              <w:rPr>
                <w:rFonts w:hint="eastAsia" w:cs="宋体"/>
                <w:color w:val="auto"/>
                <w:sz w:val="24"/>
                <w:szCs w:val="24"/>
                <w:lang w:val="zh-CN" w:bidi="zh-CN"/>
              </w:rPr>
            </w:pPr>
            <w:r>
              <w:rPr>
                <w:rFonts w:hint="eastAsia" w:cs="宋体"/>
                <w:color w:val="auto"/>
                <w:sz w:val="24"/>
                <w:szCs w:val="24"/>
                <w:lang w:bidi="zh-CN"/>
              </w:rPr>
              <w:t xml:space="preserve">E </w:t>
            </w:r>
            <w:r>
              <w:rPr>
                <w:rFonts w:hint="eastAsia" w:cs="宋体"/>
                <w:color w:val="auto"/>
                <w:sz w:val="24"/>
                <w:szCs w:val="24"/>
                <w:lang w:val="zh-CN" w:bidi="zh-CN"/>
              </w:rPr>
              <w:t>火灾、爆炸风险防范措施</w:t>
            </w:r>
          </w:p>
          <w:p>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auto"/>
              <w:rPr>
                <w:rFonts w:hint="eastAsia" w:cs="宋体"/>
                <w:color w:val="auto"/>
                <w:sz w:val="24"/>
                <w:szCs w:val="24"/>
                <w:lang w:val="zh-CN" w:bidi="zh-CN"/>
              </w:rPr>
            </w:pPr>
            <w:r>
              <w:rPr>
                <w:rFonts w:hint="eastAsia" w:cs="宋体"/>
                <w:color w:val="auto"/>
                <w:sz w:val="24"/>
                <w:szCs w:val="24"/>
                <w:lang w:bidi="zh-CN"/>
              </w:rPr>
              <w:t>a</w:t>
            </w:r>
            <w:r>
              <w:rPr>
                <w:rFonts w:hint="eastAsia" w:cs="宋体"/>
                <w:color w:val="auto"/>
                <w:sz w:val="24"/>
                <w:szCs w:val="24"/>
                <w:lang w:val="zh-CN" w:bidi="zh-CN"/>
              </w:rPr>
              <w:t xml:space="preserve"> 建立健全防火安全规章制度并严格执行。防火、防爆安全制度主要有以下几种：</w:t>
            </w:r>
          </w:p>
          <w:p>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auto"/>
              <w:rPr>
                <w:rFonts w:hint="eastAsia" w:cs="宋体"/>
                <w:color w:val="auto"/>
                <w:sz w:val="24"/>
                <w:szCs w:val="24"/>
                <w:lang w:val="zh-CN" w:bidi="zh-CN"/>
              </w:rPr>
            </w:pPr>
            <w:r>
              <w:rPr>
                <w:rFonts w:hint="eastAsia" w:cs="宋体"/>
                <w:color w:val="auto"/>
                <w:sz w:val="24"/>
                <w:szCs w:val="24"/>
                <w:lang w:val="zh-CN" w:bidi="zh-CN"/>
              </w:rPr>
              <w:t>安全员责任制度：主要把每个工作人员在业务上、工作上与消防安全管理上的职责、责任明确；</w:t>
            </w:r>
          </w:p>
          <w:p>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auto"/>
              <w:rPr>
                <w:rFonts w:hint="eastAsia" w:cs="宋体"/>
                <w:color w:val="auto"/>
                <w:sz w:val="24"/>
                <w:szCs w:val="24"/>
                <w:lang w:val="zh-CN" w:bidi="zh-CN"/>
              </w:rPr>
            </w:pPr>
            <w:r>
              <w:rPr>
                <w:rFonts w:hint="eastAsia" w:cs="宋体"/>
                <w:color w:val="auto"/>
                <w:sz w:val="24"/>
                <w:szCs w:val="24"/>
                <w:lang w:val="zh-CN" w:bidi="zh-CN"/>
              </w:rPr>
              <w:t>防火防爆制度：是对各类火种、火源和有散发火花危险的机械设备、作业活动，以及可燃、易燃物品等的控制和管理；</w:t>
            </w:r>
          </w:p>
          <w:p>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auto"/>
              <w:rPr>
                <w:rFonts w:hint="eastAsia" w:cs="宋体"/>
                <w:color w:val="auto"/>
                <w:sz w:val="24"/>
                <w:szCs w:val="24"/>
                <w:lang w:val="zh-CN" w:bidi="zh-CN"/>
              </w:rPr>
            </w:pPr>
            <w:r>
              <w:rPr>
                <w:rFonts w:hint="eastAsia" w:cs="宋体"/>
                <w:color w:val="auto"/>
                <w:sz w:val="24"/>
                <w:szCs w:val="24"/>
                <w:lang w:val="zh-CN" w:bidi="zh-CN"/>
              </w:rPr>
              <w:t>用火审批制度：在非固定点进行明火作业时，必须根据用火场所危险程度大小以及各级防火责任人，规定批准权限；</w:t>
            </w:r>
          </w:p>
          <w:p>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auto"/>
              <w:rPr>
                <w:rFonts w:hint="eastAsia" w:cs="宋体"/>
                <w:color w:val="auto"/>
                <w:sz w:val="24"/>
                <w:szCs w:val="24"/>
                <w:lang w:val="zh-CN" w:bidi="zh-CN"/>
              </w:rPr>
            </w:pPr>
            <w:r>
              <w:rPr>
                <w:rFonts w:hint="eastAsia" w:cs="宋体"/>
                <w:color w:val="auto"/>
                <w:sz w:val="24"/>
                <w:szCs w:val="24"/>
                <w:lang w:val="zh-CN" w:bidi="zh-CN"/>
              </w:rPr>
              <w:t>安全检查制度：各类储存容器、输送设备、安全设施、消防器材，进行各种日常的、定期的、专业的防火安全检查，并将发现的问题定人、限期落实整改。</w:t>
            </w:r>
          </w:p>
          <w:p>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auto"/>
              <w:rPr>
                <w:rFonts w:hint="eastAsia" w:cs="宋体"/>
                <w:color w:val="auto"/>
                <w:sz w:val="24"/>
                <w:szCs w:val="24"/>
                <w:lang w:val="zh-CN" w:bidi="zh-CN"/>
              </w:rPr>
            </w:pPr>
            <w:r>
              <w:rPr>
                <w:rFonts w:hint="eastAsia" w:cs="宋体"/>
                <w:color w:val="auto"/>
                <w:sz w:val="24"/>
                <w:szCs w:val="24"/>
                <w:lang w:bidi="zh-CN"/>
              </w:rPr>
              <w:t>b</w:t>
            </w:r>
            <w:r>
              <w:rPr>
                <w:rFonts w:hint="eastAsia" w:cs="宋体"/>
                <w:color w:val="auto"/>
                <w:sz w:val="24"/>
                <w:szCs w:val="24"/>
                <w:lang w:val="zh-CN" w:bidi="zh-CN"/>
              </w:rPr>
              <w:t xml:space="preserve"> 采取防静电、明火控制等措施。</w:t>
            </w:r>
          </w:p>
          <w:p>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auto"/>
              <w:rPr>
                <w:rFonts w:hint="eastAsia" w:cs="宋体"/>
                <w:color w:val="auto"/>
                <w:sz w:val="24"/>
                <w:szCs w:val="24"/>
                <w:lang w:val="zh-CN" w:bidi="zh-CN"/>
              </w:rPr>
            </w:pPr>
            <w:r>
              <w:rPr>
                <w:rFonts w:hint="eastAsia" w:cs="宋体"/>
                <w:color w:val="auto"/>
                <w:sz w:val="24"/>
                <w:szCs w:val="24"/>
                <w:lang w:bidi="zh-CN"/>
              </w:rPr>
              <w:t>c</w:t>
            </w:r>
            <w:r>
              <w:rPr>
                <w:rFonts w:hint="eastAsia" w:cs="宋体"/>
                <w:color w:val="auto"/>
                <w:sz w:val="24"/>
                <w:szCs w:val="24"/>
                <w:lang w:val="zh-CN" w:bidi="zh-CN"/>
              </w:rPr>
              <w:t xml:space="preserve"> 设置火灾探测器及报警灭火控制设施，以便在火灾的初期阶段发出报警，并及时采取措施进行扑救。在易发生火灾的岗位除采用119电话报警外，另设置具有专用线路的火灾报警系统。</w:t>
            </w:r>
          </w:p>
          <w:p>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auto"/>
              <w:rPr>
                <w:rFonts w:hint="eastAsia" w:cs="宋体"/>
                <w:color w:val="auto"/>
                <w:sz w:val="24"/>
                <w:szCs w:val="24"/>
                <w:lang w:val="zh-CN" w:bidi="zh-CN"/>
              </w:rPr>
            </w:pPr>
            <w:r>
              <w:rPr>
                <w:rFonts w:hint="eastAsia" w:cs="宋体"/>
                <w:color w:val="auto"/>
                <w:sz w:val="24"/>
                <w:szCs w:val="24"/>
                <w:lang w:val="zh-CN" w:bidi="zh-CN"/>
              </w:rPr>
              <w:fldChar w:fldCharType="begin"/>
            </w:r>
            <w:r>
              <w:rPr>
                <w:rFonts w:hint="eastAsia" w:cs="宋体"/>
                <w:color w:val="auto"/>
                <w:sz w:val="24"/>
                <w:szCs w:val="24"/>
                <w:lang w:val="zh-CN" w:bidi="zh-CN"/>
              </w:rPr>
              <w:instrText xml:space="preserve"> = 2 \* GB3 \* MERGEFORMAT </w:instrText>
            </w:r>
            <w:r>
              <w:rPr>
                <w:rFonts w:hint="eastAsia" w:cs="宋体"/>
                <w:color w:val="auto"/>
                <w:sz w:val="24"/>
                <w:szCs w:val="24"/>
                <w:lang w:val="zh-CN" w:bidi="zh-CN"/>
              </w:rPr>
              <w:fldChar w:fldCharType="separate"/>
            </w:r>
            <w:r>
              <w:rPr>
                <w:rFonts w:cs="宋体"/>
                <w:color w:val="auto"/>
                <w:sz w:val="24"/>
                <w:szCs w:val="24"/>
                <w:lang w:val="zh-CN" w:bidi="zh-CN"/>
              </w:rPr>
              <w:t>②</w:t>
            </w:r>
            <w:r>
              <w:rPr>
                <w:rFonts w:hint="eastAsia" w:cs="宋体"/>
                <w:color w:val="auto"/>
                <w:sz w:val="24"/>
                <w:szCs w:val="24"/>
                <w:lang w:val="zh-CN" w:bidi="zh-CN"/>
              </w:rPr>
              <w:fldChar w:fldCharType="end"/>
            </w:r>
            <w:r>
              <w:rPr>
                <w:rFonts w:hint="eastAsia" w:cs="宋体"/>
                <w:color w:val="auto"/>
                <w:sz w:val="24"/>
                <w:szCs w:val="24"/>
                <w:lang w:val="zh-CN" w:bidi="zh-CN"/>
              </w:rPr>
              <w:t>事故影响分析</w:t>
            </w:r>
          </w:p>
          <w:p>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auto"/>
              <w:rPr>
                <w:rFonts w:hint="eastAsia" w:cs="宋体"/>
                <w:color w:val="auto"/>
                <w:sz w:val="24"/>
                <w:szCs w:val="24"/>
                <w:u w:val="none"/>
                <w:lang w:val="zh-CN" w:bidi="zh-CN"/>
              </w:rPr>
            </w:pPr>
            <w:r>
              <w:rPr>
                <w:rFonts w:hint="eastAsia" w:cs="宋体"/>
                <w:color w:val="auto"/>
                <w:sz w:val="24"/>
                <w:szCs w:val="24"/>
                <w:u w:val="none"/>
                <w:lang w:bidi="zh-CN"/>
              </w:rPr>
              <w:t xml:space="preserve">A </w:t>
            </w:r>
            <w:r>
              <w:rPr>
                <w:rFonts w:hint="eastAsia" w:cs="宋体"/>
                <w:color w:val="auto"/>
                <w:sz w:val="24"/>
                <w:szCs w:val="24"/>
                <w:u w:val="none"/>
                <w:lang w:val="zh-CN" w:bidi="zh-CN"/>
              </w:rPr>
              <w:t>有毒有害物质泄漏影响分析</w:t>
            </w:r>
          </w:p>
          <w:p>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auto"/>
              <w:rPr>
                <w:rFonts w:hint="eastAsia" w:cs="宋体"/>
                <w:color w:val="auto"/>
                <w:sz w:val="24"/>
                <w:szCs w:val="24"/>
                <w:u w:val="none"/>
                <w:lang w:val="zh-CN" w:bidi="zh-CN"/>
              </w:rPr>
            </w:pPr>
            <w:r>
              <w:rPr>
                <w:rFonts w:hint="eastAsia" w:cs="宋体"/>
                <w:color w:val="auto"/>
                <w:sz w:val="24"/>
                <w:szCs w:val="24"/>
                <w:u w:val="none"/>
                <w:lang w:val="zh-CN" w:bidi="zh-CN"/>
              </w:rPr>
              <w:t>项目拆解过程产生的各类废油液、废蓄电池等均采用专用的密闭容器分别盛装、在危废存放区内分区暂存。根据工程分析结果，定期由有相应资质的危废处理机构将危废转运一次。废油液可能由于容器的倾翻或破损而引起泄漏，遇到破损的蓄电池可能造成硫酸泄漏在车间地面，泄漏的有毒有害物质有可能直接进入厂区内污水管网、雨水管网，未经处理即外排，造成周边地表水环境、地下水环境污染和臭氧层的破坏。</w:t>
            </w:r>
          </w:p>
          <w:p>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auto"/>
              <w:rPr>
                <w:rFonts w:hint="eastAsia" w:cs="宋体"/>
                <w:color w:val="auto"/>
                <w:sz w:val="24"/>
                <w:szCs w:val="24"/>
                <w:u w:val="none"/>
                <w:lang w:val="zh-CN" w:bidi="zh-CN"/>
              </w:rPr>
            </w:pPr>
            <w:r>
              <w:rPr>
                <w:rFonts w:hint="eastAsia" w:cs="宋体"/>
                <w:color w:val="auto"/>
                <w:sz w:val="24"/>
                <w:szCs w:val="24"/>
                <w:u w:val="none"/>
                <w:lang w:val="zh-CN" w:bidi="zh-CN"/>
              </w:rPr>
              <w:t>因此要求建设单位在危废存放区外围建设围堰，由于厂内危废的存放量较小，围堰围挡能确保一旦发生泄漏事故，不会发生漫溢。</w:t>
            </w:r>
          </w:p>
          <w:p>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auto"/>
              <w:rPr>
                <w:rFonts w:hint="eastAsia" w:cs="宋体"/>
                <w:color w:val="auto"/>
                <w:sz w:val="24"/>
                <w:szCs w:val="24"/>
                <w:u w:val="none"/>
                <w:lang w:val="zh-CN" w:bidi="zh-CN"/>
              </w:rPr>
            </w:pPr>
            <w:r>
              <w:rPr>
                <w:rFonts w:hint="eastAsia" w:cs="宋体"/>
                <w:color w:val="auto"/>
                <w:sz w:val="24"/>
                <w:szCs w:val="24"/>
                <w:u w:val="none"/>
                <w:lang w:bidi="zh-CN"/>
              </w:rPr>
              <w:t xml:space="preserve">B </w:t>
            </w:r>
            <w:r>
              <w:rPr>
                <w:rFonts w:hint="eastAsia" w:cs="宋体"/>
                <w:color w:val="auto"/>
                <w:sz w:val="24"/>
                <w:szCs w:val="24"/>
                <w:u w:val="none"/>
                <w:lang w:val="zh-CN" w:bidi="zh-CN"/>
              </w:rPr>
              <w:t>火灾影响分析</w:t>
            </w:r>
          </w:p>
          <w:p>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auto"/>
              <w:rPr>
                <w:rFonts w:hint="eastAsia" w:cs="宋体"/>
                <w:color w:val="auto"/>
                <w:sz w:val="24"/>
                <w:szCs w:val="24"/>
                <w:u w:val="none"/>
                <w:lang w:val="zh-CN" w:bidi="zh-CN"/>
              </w:rPr>
            </w:pPr>
            <w:r>
              <w:rPr>
                <w:rFonts w:hint="eastAsia" w:cs="宋体"/>
                <w:color w:val="auto"/>
                <w:sz w:val="24"/>
                <w:szCs w:val="24"/>
                <w:u w:val="none"/>
                <w:lang w:val="zh-CN" w:bidi="zh-CN"/>
              </w:rPr>
              <w:t>由于车体拆解会产生汽油等各类易燃废油液及切割时用的液化石油气，可能引发火灾事故，燃烧后产物为CO等，对周边环境将造成一定的影响。</w:t>
            </w:r>
          </w:p>
          <w:p>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auto"/>
              <w:rPr>
                <w:rFonts w:hint="eastAsia" w:cs="宋体"/>
                <w:color w:val="auto"/>
                <w:sz w:val="24"/>
                <w:szCs w:val="24"/>
                <w:u w:val="none"/>
                <w:lang w:val="zh-CN" w:bidi="zh-CN"/>
              </w:rPr>
            </w:pPr>
            <w:r>
              <w:rPr>
                <w:rFonts w:hint="eastAsia" w:cs="宋体"/>
                <w:color w:val="auto"/>
                <w:sz w:val="24"/>
                <w:szCs w:val="24"/>
                <w:u w:val="none"/>
                <w:lang w:val="zh-CN" w:bidi="zh-CN"/>
              </w:rPr>
              <w:t>同时，项目厂区内仓库中存有塑料、橡胶等易燃物品，由于产生量较大，建设单位拟对拆解产生的塑料、橡胶等产品定期进行转运，故一旦仓库发生火灾时燃烧产生的热辐射通量较小，发生火灾事故时热辐射影响距离较小，且仓库内均配制消防灭火器，因此火灾事故对周围环境影响较小。</w:t>
            </w:r>
          </w:p>
          <w:p>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auto"/>
              <w:rPr>
                <w:rFonts w:hint="eastAsia" w:cs="宋体"/>
                <w:color w:val="auto"/>
                <w:sz w:val="24"/>
                <w:szCs w:val="24"/>
                <w:u w:val="none" w:color="auto"/>
                <w:lang w:val="zh-CN" w:bidi="zh-CN"/>
              </w:rPr>
            </w:pPr>
            <w:r>
              <w:rPr>
                <w:rFonts w:hint="eastAsia" w:cs="宋体"/>
                <w:color w:val="auto"/>
                <w:sz w:val="24"/>
                <w:szCs w:val="24"/>
                <w:u w:val="none" w:color="auto"/>
                <w:lang w:bidi="zh-CN"/>
              </w:rPr>
              <w:t xml:space="preserve">C </w:t>
            </w:r>
            <w:r>
              <w:rPr>
                <w:rFonts w:hint="eastAsia" w:cs="宋体"/>
                <w:color w:val="auto"/>
                <w:sz w:val="24"/>
                <w:szCs w:val="24"/>
                <w:u w:val="none" w:color="auto"/>
                <w:lang w:val="zh-CN" w:bidi="zh-CN"/>
              </w:rPr>
              <w:t>消防废水影响分析</w:t>
            </w:r>
          </w:p>
          <w:p>
            <w:pPr>
              <w:keepNext w:val="0"/>
              <w:keepLines w:val="0"/>
              <w:pageBreakBefore w:val="0"/>
              <w:widowControl w:val="0"/>
              <w:kinsoku/>
              <w:wordWrap/>
              <w:overflowPunct/>
              <w:topLinePunct w:val="0"/>
              <w:bidi w:val="0"/>
              <w:adjustRightInd/>
              <w:snapToGrid/>
              <w:ind w:firstLine="480" w:firstLineChars="200"/>
              <w:textAlignment w:val="auto"/>
              <w:rPr>
                <w:rFonts w:hint="eastAsia" w:cs="宋体"/>
                <w:color w:val="auto"/>
                <w:sz w:val="24"/>
                <w:szCs w:val="24"/>
                <w:u w:val="none" w:color="auto"/>
                <w:lang w:val="zh-CN" w:bidi="zh-CN"/>
              </w:rPr>
            </w:pPr>
            <w:r>
              <w:rPr>
                <w:rFonts w:hint="eastAsia" w:cs="宋体"/>
                <w:color w:val="auto"/>
                <w:sz w:val="24"/>
                <w:szCs w:val="24"/>
                <w:u w:val="none" w:color="auto"/>
                <w:lang w:val="zh-CN" w:bidi="zh-CN"/>
              </w:rPr>
              <w:t>火灾事故发生时，灭火产生消防废水可能受泄漏的物质污染，为防止消防废水外排至周边地表水体造成污染，项目设事故废水“三级防控”措施：</w:t>
            </w:r>
          </w:p>
          <w:p>
            <w:pPr>
              <w:keepNext w:val="0"/>
              <w:keepLines w:val="0"/>
              <w:pageBreakBefore w:val="0"/>
              <w:widowControl w:val="0"/>
              <w:kinsoku/>
              <w:wordWrap/>
              <w:overflowPunct/>
              <w:topLinePunct w:val="0"/>
              <w:bidi w:val="0"/>
              <w:adjustRightInd/>
              <w:snapToGrid/>
              <w:ind w:firstLine="480" w:firstLineChars="200"/>
              <w:textAlignment w:val="auto"/>
              <w:rPr>
                <w:rFonts w:hint="eastAsia" w:ascii="Times New Roman" w:hAnsi="Times New Roman" w:eastAsia="宋体"/>
                <w:color w:val="auto"/>
                <w:sz w:val="24"/>
                <w:szCs w:val="24"/>
                <w:u w:val="none" w:color="auto"/>
                <w:lang w:val="en-US" w:eastAsia="zh-CN"/>
              </w:rPr>
            </w:pPr>
            <w:r>
              <w:rPr>
                <w:rFonts w:hint="eastAsia" w:cs="宋体"/>
                <w:color w:val="auto"/>
                <w:sz w:val="24"/>
                <w:szCs w:val="24"/>
                <w:u w:val="none" w:color="auto"/>
                <w:lang w:val="en-US" w:bidi="zh-CN"/>
              </w:rPr>
              <w:t>厂区备用沙袋、消防沙等物资，应急情况下封堵住车间，作为第一级预防控制措施；</w:t>
            </w:r>
            <w:r>
              <w:rPr>
                <w:rFonts w:hint="eastAsia" w:cs="宋体"/>
                <w:color w:val="auto"/>
                <w:sz w:val="24"/>
                <w:szCs w:val="24"/>
                <w:u w:val="none" w:color="auto"/>
                <w:lang w:val="zh-CN" w:bidi="zh-CN"/>
              </w:rPr>
              <w:t>在厂</w:t>
            </w:r>
            <w:r>
              <w:rPr>
                <w:rFonts w:hint="eastAsia" w:cs="宋体"/>
                <w:color w:val="auto"/>
                <w:sz w:val="24"/>
                <w:szCs w:val="24"/>
                <w:u w:val="none" w:color="auto"/>
                <w:lang w:val="en-US" w:bidi="zh-CN"/>
              </w:rPr>
              <w:t>房及报废汽车堆场四周</w:t>
            </w:r>
            <w:r>
              <w:rPr>
                <w:rFonts w:hint="eastAsia" w:cs="宋体"/>
                <w:color w:val="auto"/>
                <w:sz w:val="24"/>
                <w:szCs w:val="24"/>
                <w:u w:val="none" w:color="auto"/>
                <w:lang w:val="zh-CN" w:bidi="zh-CN"/>
              </w:rPr>
              <w:t>设雨水沟渠，应急情况下堵住排口，事故废水收集在渠道内，</w:t>
            </w:r>
            <w:r>
              <w:rPr>
                <w:rFonts w:cs="宋体"/>
                <w:color w:val="auto"/>
                <w:sz w:val="24"/>
                <w:szCs w:val="24"/>
                <w:u w:val="none" w:color="auto"/>
                <w:lang w:val="zh-CN" w:bidi="zh-CN"/>
              </w:rPr>
              <w:t>作为</w:t>
            </w:r>
            <w:r>
              <w:rPr>
                <w:rFonts w:hint="eastAsia" w:cs="宋体"/>
                <w:color w:val="auto"/>
                <w:sz w:val="24"/>
                <w:szCs w:val="24"/>
                <w:u w:val="none" w:color="auto"/>
                <w:lang w:val="zh-CN" w:bidi="zh-CN"/>
              </w:rPr>
              <w:t>第</w:t>
            </w:r>
            <w:r>
              <w:rPr>
                <w:rFonts w:hint="eastAsia" w:cs="宋体"/>
                <w:color w:val="auto"/>
                <w:sz w:val="24"/>
                <w:szCs w:val="24"/>
                <w:u w:val="none" w:color="auto"/>
                <w:lang w:val="en-US" w:bidi="zh-CN"/>
              </w:rPr>
              <w:t>二</w:t>
            </w:r>
            <w:r>
              <w:rPr>
                <w:rFonts w:cs="宋体"/>
                <w:color w:val="auto"/>
                <w:sz w:val="24"/>
                <w:szCs w:val="24"/>
                <w:u w:val="none" w:color="auto"/>
                <w:lang w:val="zh-CN" w:bidi="zh-CN"/>
              </w:rPr>
              <w:t>级预防控制措施</w:t>
            </w:r>
            <w:r>
              <w:rPr>
                <w:rFonts w:hint="eastAsia" w:cs="宋体"/>
                <w:color w:val="auto"/>
                <w:sz w:val="24"/>
                <w:szCs w:val="24"/>
                <w:u w:val="none" w:color="auto"/>
                <w:lang w:val="zh-CN" w:bidi="zh-CN"/>
              </w:rPr>
              <w:t>；</w:t>
            </w:r>
            <w:r>
              <w:rPr>
                <w:rFonts w:hint="eastAsia" w:ascii="Times New Roman" w:hAnsi="Times New Roman" w:eastAsia="宋体" w:cs="宋体"/>
                <w:color w:val="auto"/>
                <w:sz w:val="24"/>
                <w:szCs w:val="24"/>
                <w:u w:val="none" w:color="auto"/>
                <w:lang w:val="en-US" w:bidi="zh-CN"/>
              </w:rPr>
              <w:t>设置</w:t>
            </w:r>
            <w:r>
              <w:rPr>
                <w:rFonts w:hint="eastAsia" w:ascii="Times New Roman" w:hAnsi="Times New Roman" w:eastAsia="宋体" w:cs="宋体"/>
                <w:color w:val="auto"/>
                <w:sz w:val="24"/>
                <w:szCs w:val="24"/>
                <w:u w:val="none" w:color="auto"/>
                <w:lang w:val="zh-CN" w:bidi="zh-CN"/>
              </w:rPr>
              <w:t>事故水池（</w:t>
            </w:r>
            <w:r>
              <w:rPr>
                <w:rFonts w:hint="eastAsia" w:ascii="Times New Roman" w:hAnsi="Times New Roman" w:eastAsia="宋体" w:cs="宋体"/>
                <w:color w:val="auto"/>
                <w:sz w:val="24"/>
                <w:szCs w:val="24"/>
                <w:u w:val="none" w:color="auto"/>
                <w:lang w:val="en-US" w:bidi="zh-CN"/>
              </w:rPr>
              <w:t>容积24m</w:t>
            </w:r>
            <w:r>
              <w:rPr>
                <w:rFonts w:hint="eastAsia" w:ascii="Times New Roman" w:hAnsi="Times New Roman" w:eastAsia="宋体" w:cs="宋体"/>
                <w:color w:val="auto"/>
                <w:sz w:val="24"/>
                <w:szCs w:val="24"/>
                <w:u w:val="none" w:color="auto"/>
                <w:vertAlign w:val="superscript"/>
                <w:lang w:val="en-US" w:bidi="zh-CN"/>
              </w:rPr>
              <w:t>3</w:t>
            </w:r>
            <w:r>
              <w:rPr>
                <w:rFonts w:hint="eastAsia" w:ascii="Times New Roman" w:hAnsi="Times New Roman" w:eastAsia="宋体" w:cs="宋体"/>
                <w:color w:val="auto"/>
                <w:sz w:val="24"/>
                <w:szCs w:val="24"/>
                <w:u w:val="none" w:color="auto"/>
                <w:lang w:val="zh-CN" w:bidi="zh-CN"/>
              </w:rPr>
              <w:t>），</w:t>
            </w:r>
            <w:r>
              <w:rPr>
                <w:rFonts w:hint="eastAsia" w:ascii="Times New Roman" w:hAnsi="Times New Roman" w:eastAsia="宋体" w:cs="宋体"/>
                <w:color w:val="auto"/>
                <w:sz w:val="24"/>
                <w:szCs w:val="24"/>
                <w:u w:val="none" w:color="auto"/>
                <w:lang w:val="en-US" w:bidi="zh-CN"/>
              </w:rPr>
              <w:t>必要时可将初期雨水收集池（容积180m</w:t>
            </w:r>
            <w:r>
              <w:rPr>
                <w:rFonts w:hint="eastAsia" w:ascii="Times New Roman" w:hAnsi="Times New Roman" w:eastAsia="宋体" w:cs="宋体"/>
                <w:color w:val="auto"/>
                <w:sz w:val="24"/>
                <w:szCs w:val="24"/>
                <w:u w:val="none" w:color="auto"/>
                <w:vertAlign w:val="superscript"/>
                <w:lang w:val="en-US" w:bidi="zh-CN"/>
              </w:rPr>
              <w:t>3</w:t>
            </w:r>
            <w:r>
              <w:rPr>
                <w:rFonts w:hint="eastAsia" w:ascii="Times New Roman" w:hAnsi="Times New Roman" w:eastAsia="宋体" w:cs="宋体"/>
                <w:color w:val="auto"/>
                <w:sz w:val="24"/>
                <w:szCs w:val="24"/>
                <w:u w:val="none" w:color="auto"/>
                <w:lang w:val="en-US" w:bidi="zh-CN"/>
              </w:rPr>
              <w:t>）作为事故水池的补充，作为</w:t>
            </w:r>
            <w:r>
              <w:rPr>
                <w:rFonts w:hint="eastAsia" w:ascii="Times New Roman" w:hAnsi="Times New Roman" w:eastAsia="宋体" w:cs="宋体"/>
                <w:color w:val="auto"/>
                <w:sz w:val="24"/>
                <w:szCs w:val="24"/>
                <w:u w:val="none" w:color="auto"/>
                <w:lang w:val="zh-CN" w:bidi="zh-CN"/>
              </w:rPr>
              <w:t>第</w:t>
            </w:r>
            <w:r>
              <w:rPr>
                <w:rFonts w:hint="eastAsia" w:ascii="Times New Roman" w:hAnsi="Times New Roman" w:eastAsia="宋体" w:cs="宋体"/>
                <w:color w:val="auto"/>
                <w:sz w:val="24"/>
                <w:szCs w:val="24"/>
                <w:u w:val="none" w:color="auto"/>
                <w:lang w:val="en-US" w:bidi="zh-CN"/>
              </w:rPr>
              <w:t>三</w:t>
            </w:r>
            <w:r>
              <w:rPr>
                <w:rFonts w:hint="eastAsia" w:ascii="Times New Roman" w:hAnsi="Times New Roman" w:eastAsia="宋体" w:cs="宋体"/>
                <w:color w:val="auto"/>
                <w:sz w:val="24"/>
                <w:szCs w:val="24"/>
                <w:u w:val="none" w:color="auto"/>
                <w:lang w:val="zh-CN" w:bidi="zh-CN"/>
              </w:rPr>
              <w:t>级防控措施。</w:t>
            </w:r>
          </w:p>
          <w:p>
            <w:pPr>
              <w:pageBreakBefore w:val="0"/>
              <w:kinsoku/>
              <w:overflowPunct/>
              <w:bidi w:val="0"/>
              <w:ind w:firstLine="482" w:firstLineChars="200"/>
              <w:rPr>
                <w:rFonts w:hint="default" w:ascii="Times New Roman" w:hAnsi="Times New Roman" w:eastAsia="宋体" w:cs="Times New Roman"/>
                <w:b/>
                <w:bCs/>
                <w:color w:val="auto"/>
                <w:sz w:val="24"/>
                <w:szCs w:val="24"/>
                <w:u w:val="none" w:color="auto"/>
                <w:lang w:val="en-US" w:eastAsia="zh-CN"/>
              </w:rPr>
            </w:pPr>
            <w:r>
              <w:rPr>
                <w:rFonts w:hint="eastAsia" w:cs="Times New Roman"/>
                <w:b/>
                <w:bCs/>
                <w:color w:val="auto"/>
                <w:sz w:val="24"/>
                <w:szCs w:val="24"/>
                <w:u w:val="none" w:color="auto"/>
                <w:lang w:val="en-US" w:eastAsia="zh-CN"/>
              </w:rPr>
              <w:t>（4）</w:t>
            </w:r>
            <w:r>
              <w:rPr>
                <w:rFonts w:hint="eastAsia" w:ascii="Times New Roman" w:hAnsi="Times New Roman" w:eastAsia="宋体" w:cs="Times New Roman"/>
                <w:b/>
                <w:bCs/>
                <w:color w:val="auto"/>
                <w:sz w:val="24"/>
                <w:szCs w:val="24"/>
                <w:u w:val="none" w:color="auto"/>
                <w:lang w:val="en-US" w:eastAsia="zh-CN"/>
              </w:rPr>
              <w:t>风险防范措施</w:t>
            </w:r>
          </w:p>
          <w:p>
            <w:pPr>
              <w:pageBreakBefore w:val="0"/>
              <w:kinsoku/>
              <w:overflowPunct/>
              <w:bidi w:val="0"/>
              <w:ind w:firstLine="480" w:firstLineChars="200"/>
              <w:rPr>
                <w:rFonts w:hint="eastAsia"/>
                <w:color w:val="auto"/>
                <w:sz w:val="24"/>
                <w:szCs w:val="24"/>
                <w:u w:val="none" w:color="auto"/>
                <w:lang w:val="en-US" w:eastAsia="zh-CN"/>
              </w:rPr>
            </w:pPr>
            <w:r>
              <w:rPr>
                <w:rFonts w:hint="eastAsia"/>
                <w:color w:val="auto"/>
                <w:sz w:val="24"/>
                <w:szCs w:val="24"/>
                <w:u w:val="none" w:color="auto"/>
                <w:lang w:eastAsia="zh-CN"/>
              </w:rPr>
              <w:t>（</w:t>
            </w:r>
            <w:r>
              <w:rPr>
                <w:rFonts w:hint="eastAsia"/>
                <w:color w:val="auto"/>
                <w:sz w:val="24"/>
                <w:szCs w:val="24"/>
                <w:u w:val="none" w:color="auto"/>
                <w:lang w:val="en-US" w:eastAsia="zh-CN"/>
              </w:rPr>
              <w:t>1</w:t>
            </w:r>
            <w:r>
              <w:rPr>
                <w:rFonts w:hint="eastAsia"/>
                <w:color w:val="auto"/>
                <w:sz w:val="24"/>
                <w:szCs w:val="24"/>
                <w:u w:val="none" w:color="auto"/>
                <w:lang w:eastAsia="zh-CN"/>
              </w:rPr>
              <w:t>）</w:t>
            </w:r>
            <w:r>
              <w:rPr>
                <w:rFonts w:hint="eastAsia"/>
                <w:color w:val="auto"/>
                <w:sz w:val="24"/>
                <w:szCs w:val="24"/>
                <w:u w:val="none" w:color="auto"/>
                <w:lang w:val="en-US" w:eastAsia="zh-CN"/>
              </w:rPr>
              <w:t>事故应急</w:t>
            </w:r>
          </w:p>
          <w:p>
            <w:pPr>
              <w:pageBreakBefore w:val="0"/>
              <w:kinsoku/>
              <w:overflowPunct/>
              <w:bidi w:val="0"/>
              <w:ind w:firstLine="480" w:firstLineChars="200"/>
              <w:rPr>
                <w:rFonts w:hint="default" w:ascii="Times New Roman" w:hAnsi="Times New Roman" w:eastAsia="宋体"/>
                <w:color w:val="auto"/>
                <w:sz w:val="24"/>
                <w:szCs w:val="24"/>
                <w:u w:val="none" w:color="auto"/>
                <w:lang w:val="en-US" w:eastAsia="zh-CN"/>
              </w:rPr>
            </w:pPr>
            <w:r>
              <w:rPr>
                <w:rFonts w:hint="eastAsia" w:cs="宋体"/>
                <w:color w:val="auto"/>
                <w:sz w:val="24"/>
                <w:szCs w:val="24"/>
                <w:lang w:val="zh-CN" w:bidi="zh-CN"/>
              </w:rPr>
              <w:t>车间内：为应对在作业、贮存等环节发生液态危险废物泄露事故时，能够及时收集，避免对外部环境造成影响。</w:t>
            </w:r>
            <w:r>
              <w:rPr>
                <w:rFonts w:hint="eastAsia" w:cs="宋体"/>
                <w:color w:val="auto"/>
                <w:sz w:val="24"/>
                <w:szCs w:val="24"/>
                <w:lang w:val="en-US" w:bidi="zh-CN"/>
              </w:rPr>
              <w:t>车间内拟设置收集井（1m</w:t>
            </w:r>
            <w:r>
              <w:rPr>
                <w:rFonts w:hint="eastAsia" w:cs="宋体"/>
                <w:color w:val="auto"/>
                <w:sz w:val="24"/>
                <w:szCs w:val="24"/>
                <w:vertAlign w:val="superscript"/>
                <w:lang w:val="en-US" w:bidi="zh-CN"/>
              </w:rPr>
              <w:t>3</w:t>
            </w:r>
            <w:r>
              <w:rPr>
                <w:rFonts w:hint="eastAsia" w:cs="宋体"/>
                <w:color w:val="auto"/>
                <w:sz w:val="24"/>
                <w:szCs w:val="24"/>
                <w:lang w:val="en-US" w:bidi="zh-CN"/>
              </w:rPr>
              <w:t>）进行收集。</w:t>
            </w:r>
            <w:r>
              <w:rPr>
                <w:rFonts w:hint="eastAsia"/>
                <w:color w:val="auto"/>
                <w:sz w:val="24"/>
                <w:szCs w:val="24"/>
                <w:u w:val="none" w:color="auto"/>
                <w:lang w:val="en-US" w:eastAsia="zh-CN"/>
              </w:rPr>
              <w:t xml:space="preserve"> </w:t>
            </w:r>
          </w:p>
          <w:p>
            <w:pPr>
              <w:pageBreakBefore w:val="0"/>
              <w:kinsoku/>
              <w:overflowPunct/>
              <w:bidi w:val="0"/>
              <w:ind w:firstLine="480" w:firstLineChars="200"/>
              <w:rPr>
                <w:rFonts w:hint="eastAsia"/>
                <w:color w:val="auto"/>
                <w:sz w:val="24"/>
                <w:szCs w:val="24"/>
                <w:u w:val="none" w:color="auto"/>
                <w:lang w:val="en-US" w:eastAsia="zh-CN"/>
              </w:rPr>
            </w:pPr>
            <w:r>
              <w:rPr>
                <w:rFonts w:hint="eastAsia"/>
                <w:color w:val="auto"/>
                <w:sz w:val="24"/>
                <w:szCs w:val="24"/>
                <w:u w:val="none" w:color="auto"/>
                <w:lang w:val="en-US" w:eastAsia="zh-CN"/>
              </w:rPr>
              <w:t>车间外：设置24m</w:t>
            </w:r>
            <w:r>
              <w:rPr>
                <w:rFonts w:hint="eastAsia"/>
                <w:color w:val="auto"/>
                <w:sz w:val="24"/>
                <w:szCs w:val="24"/>
                <w:u w:val="none" w:color="auto"/>
                <w:vertAlign w:val="superscript"/>
                <w:lang w:val="en-US" w:eastAsia="zh-CN"/>
              </w:rPr>
              <w:t>3</w:t>
            </w:r>
            <w:r>
              <w:rPr>
                <w:rFonts w:hint="eastAsia"/>
                <w:color w:val="auto"/>
                <w:sz w:val="24"/>
                <w:szCs w:val="24"/>
                <w:u w:val="none" w:color="auto"/>
                <w:lang w:val="en-US" w:eastAsia="zh-CN"/>
              </w:rPr>
              <w:t>事故水池，发生火灾事故时，关闭雨水阀门，将消防废水引入事故池和污水收集池、隔油池，集中处理，消除隐患后排放。</w:t>
            </w:r>
          </w:p>
          <w:p>
            <w:pPr>
              <w:pageBreakBefore w:val="0"/>
              <w:kinsoku/>
              <w:overflowPunct/>
              <w:bidi w:val="0"/>
              <w:ind w:firstLine="480" w:firstLineChars="200"/>
              <w:rPr>
                <w:rFonts w:hint="eastAsia" w:cs="宋体"/>
                <w:color w:val="auto"/>
                <w:sz w:val="24"/>
                <w:szCs w:val="24"/>
                <w:lang w:val="zh-CN" w:bidi="zh-CN"/>
              </w:rPr>
            </w:pPr>
            <w:r>
              <w:rPr>
                <w:rFonts w:hint="eastAsia" w:cs="宋体"/>
                <w:color w:val="auto"/>
                <w:sz w:val="24"/>
                <w:szCs w:val="24"/>
                <w:lang w:val="zh-CN" w:bidi="zh-CN"/>
              </w:rPr>
              <w:t>消防废水中主要污染物石油、SS，</w:t>
            </w:r>
            <w:r>
              <w:rPr>
                <w:rFonts w:hint="eastAsia" w:cs="宋体"/>
                <w:color w:val="auto"/>
                <w:sz w:val="24"/>
                <w:szCs w:val="24"/>
                <w:u w:val="none"/>
                <w:lang w:val="en-US" w:bidi="zh-CN"/>
              </w:rPr>
              <w:t>设置</w:t>
            </w:r>
            <w:r>
              <w:rPr>
                <w:rFonts w:hint="eastAsia" w:cs="宋体"/>
                <w:color w:val="auto"/>
                <w:sz w:val="24"/>
                <w:szCs w:val="24"/>
                <w:u w:val="none"/>
                <w:lang w:val="zh-CN" w:bidi="zh-CN"/>
              </w:rPr>
              <w:t>事故水池（</w:t>
            </w:r>
            <w:r>
              <w:rPr>
                <w:rFonts w:hint="eastAsia" w:cs="宋体"/>
                <w:color w:val="auto"/>
                <w:sz w:val="24"/>
                <w:szCs w:val="24"/>
                <w:u w:val="none"/>
                <w:lang w:val="en-US" w:bidi="zh-CN"/>
              </w:rPr>
              <w:t>容积24m</w:t>
            </w:r>
            <w:r>
              <w:rPr>
                <w:rFonts w:hint="eastAsia" w:cs="宋体"/>
                <w:color w:val="auto"/>
                <w:sz w:val="24"/>
                <w:szCs w:val="24"/>
                <w:u w:val="none"/>
                <w:vertAlign w:val="superscript"/>
                <w:lang w:val="en-US" w:bidi="zh-CN"/>
              </w:rPr>
              <w:t>3</w:t>
            </w:r>
            <w:r>
              <w:rPr>
                <w:rFonts w:hint="eastAsia" w:cs="宋体"/>
                <w:color w:val="auto"/>
                <w:sz w:val="24"/>
                <w:szCs w:val="24"/>
                <w:u w:val="none"/>
                <w:lang w:val="zh-CN" w:bidi="zh-CN"/>
              </w:rPr>
              <w:t>），</w:t>
            </w:r>
            <w:r>
              <w:rPr>
                <w:rFonts w:hint="eastAsia" w:cs="宋体"/>
                <w:color w:val="auto"/>
                <w:sz w:val="24"/>
                <w:szCs w:val="24"/>
                <w:u w:val="none"/>
                <w:lang w:val="en-US" w:bidi="zh-CN"/>
              </w:rPr>
              <w:t>必要时可将初期雨水收集池（容积180m</w:t>
            </w:r>
            <w:r>
              <w:rPr>
                <w:rFonts w:hint="eastAsia" w:cs="宋体"/>
                <w:color w:val="auto"/>
                <w:sz w:val="24"/>
                <w:szCs w:val="24"/>
                <w:u w:val="none"/>
                <w:vertAlign w:val="superscript"/>
                <w:lang w:val="en-US" w:bidi="zh-CN"/>
              </w:rPr>
              <w:t>3</w:t>
            </w:r>
            <w:r>
              <w:rPr>
                <w:rFonts w:hint="eastAsia" w:cs="宋体"/>
                <w:color w:val="auto"/>
                <w:sz w:val="24"/>
                <w:szCs w:val="24"/>
                <w:u w:val="none"/>
                <w:lang w:val="en-US" w:bidi="zh-CN"/>
              </w:rPr>
              <w:t>）作为事故水池的补充，</w:t>
            </w:r>
            <w:r>
              <w:rPr>
                <w:rFonts w:hint="eastAsia" w:cs="宋体"/>
                <w:color w:val="auto"/>
                <w:sz w:val="24"/>
                <w:szCs w:val="24"/>
                <w:lang w:val="zh-CN" w:bidi="zh-CN"/>
              </w:rPr>
              <w:t>容量足够容纳本项目场区一次消防废水量，消防废水收集，经</w:t>
            </w:r>
            <w:r>
              <w:rPr>
                <w:rFonts w:hint="eastAsia" w:cs="宋体"/>
                <w:color w:val="auto"/>
                <w:sz w:val="24"/>
                <w:szCs w:val="24"/>
                <w:lang w:val="en-US" w:bidi="zh-CN"/>
              </w:rPr>
              <w:t>污水处理站分批处理或者交有资质单位处置</w:t>
            </w:r>
            <w:r>
              <w:rPr>
                <w:rFonts w:hint="eastAsia" w:cs="宋体"/>
                <w:color w:val="auto"/>
                <w:sz w:val="24"/>
                <w:szCs w:val="24"/>
                <w:lang w:val="zh-CN" w:bidi="zh-CN"/>
              </w:rPr>
              <w:t>，因此可将超标废水外排的风险控制在管理层面上。</w:t>
            </w:r>
          </w:p>
          <w:p>
            <w:pPr>
              <w:pageBreakBefore w:val="0"/>
              <w:kinsoku/>
              <w:overflowPunct/>
              <w:bidi w:val="0"/>
              <w:ind w:firstLine="482" w:firstLineChars="200"/>
              <w:rPr>
                <w:rFonts w:hint="eastAsia"/>
                <w:b/>
                <w:bCs/>
                <w:lang w:val="en-US" w:eastAsia="zh-CN"/>
              </w:rPr>
            </w:pPr>
            <w:r>
              <w:rPr>
                <w:rFonts w:hint="eastAsia"/>
                <w:b/>
                <w:bCs/>
                <w:lang w:val="en-US" w:eastAsia="zh-CN"/>
              </w:rPr>
              <w:t>事故应急池容积分析：</w:t>
            </w:r>
          </w:p>
          <w:p>
            <w:pPr>
              <w:pStyle w:val="12"/>
              <w:keepNext w:val="0"/>
              <w:keepLines w:val="0"/>
              <w:pageBreakBefore w:val="0"/>
              <w:widowControl w:val="0"/>
              <w:kinsoku/>
              <w:wordWrap/>
              <w:overflowPunct/>
              <w:topLinePunct w:val="0"/>
              <w:autoSpaceDE/>
              <w:autoSpaceDN/>
              <w:bidi w:val="0"/>
              <w:adjustRightInd/>
              <w:snapToGrid/>
              <w:spacing w:after="0" w:afterLines="0" w:line="360" w:lineRule="auto"/>
              <w:textAlignment w:val="auto"/>
              <w:rPr>
                <w:rFonts w:hint="eastAsia" w:ascii="Times New Roman" w:hAnsi="Times New Roman" w:cs="Times New Roman"/>
                <w:b w:val="0"/>
                <w:bCs/>
                <w:color w:val="auto"/>
                <w:kern w:val="0"/>
                <w:sz w:val="24"/>
                <w:szCs w:val="24"/>
                <w:highlight w:val="none"/>
                <w:u w:val="none" w:color="auto"/>
                <w:lang w:eastAsia="zh-CN"/>
              </w:rPr>
            </w:pPr>
            <w:r>
              <w:rPr>
                <w:rFonts w:hint="eastAsia" w:ascii="Times New Roman" w:hAnsi="Times New Roman" w:cs="Times New Roman"/>
                <w:b w:val="0"/>
                <w:bCs/>
                <w:color w:val="auto"/>
                <w:kern w:val="0"/>
                <w:sz w:val="24"/>
                <w:szCs w:val="24"/>
                <w:highlight w:val="none"/>
                <w:u w:val="none" w:color="auto"/>
                <w:lang w:eastAsia="zh-CN"/>
              </w:rPr>
              <w:t>结合项目厂区布局，事故应急池容积计算过程如下：</w:t>
            </w:r>
          </w:p>
          <w:p>
            <w:pPr>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eastAsia"/>
                <w:color w:val="auto"/>
                <w:sz w:val="24"/>
                <w:szCs w:val="24"/>
                <w:highlight w:val="none"/>
                <w:u w:val="none" w:color="auto"/>
              </w:rPr>
            </w:pPr>
            <w:r>
              <w:rPr>
                <w:rFonts w:hint="eastAsia"/>
                <w:color w:val="auto"/>
                <w:sz w:val="24"/>
                <w:szCs w:val="24"/>
                <w:highlight w:val="none"/>
                <w:u w:val="none" w:color="auto"/>
              </w:rPr>
              <w:t>根据《水体污染防控紧急措施设计导则》中对事故应急池大小的规定：</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center"/>
              <w:textAlignment w:val="auto"/>
              <w:rPr>
                <w:rFonts w:hint="eastAsia"/>
                <w:color w:val="auto"/>
                <w:sz w:val="24"/>
                <w:szCs w:val="24"/>
                <w:highlight w:val="none"/>
                <w:u w:val="none" w:color="auto"/>
              </w:rPr>
            </w:pPr>
            <w:r>
              <w:rPr>
                <w:rFonts w:hint="eastAsia"/>
                <w:color w:val="auto"/>
                <w:sz w:val="24"/>
                <w:szCs w:val="24"/>
                <w:highlight w:val="none"/>
                <w:u w:val="none" w:color="auto"/>
              </w:rPr>
              <w:t>V</w:t>
            </w:r>
            <w:r>
              <w:rPr>
                <w:rFonts w:hint="eastAsia"/>
                <w:color w:val="auto"/>
                <w:sz w:val="24"/>
                <w:szCs w:val="24"/>
                <w:highlight w:val="none"/>
                <w:u w:val="none" w:color="auto"/>
                <w:vertAlign w:val="subscript"/>
              </w:rPr>
              <w:t>总</w:t>
            </w:r>
            <w:r>
              <w:rPr>
                <w:rFonts w:hint="eastAsia"/>
                <w:color w:val="auto"/>
                <w:sz w:val="24"/>
                <w:szCs w:val="24"/>
                <w:highlight w:val="none"/>
                <w:u w:val="none" w:color="auto"/>
              </w:rPr>
              <w:t>=（V</w:t>
            </w:r>
            <w:r>
              <w:rPr>
                <w:rFonts w:hint="eastAsia"/>
                <w:color w:val="auto"/>
                <w:sz w:val="24"/>
                <w:szCs w:val="24"/>
                <w:highlight w:val="none"/>
                <w:u w:val="none" w:color="auto"/>
                <w:vertAlign w:val="subscript"/>
              </w:rPr>
              <w:t>1</w:t>
            </w:r>
            <w:r>
              <w:rPr>
                <w:rFonts w:hint="eastAsia"/>
                <w:color w:val="auto"/>
                <w:sz w:val="24"/>
                <w:szCs w:val="24"/>
                <w:highlight w:val="none"/>
                <w:u w:val="none" w:color="auto"/>
              </w:rPr>
              <w:t>+V</w:t>
            </w:r>
            <w:r>
              <w:rPr>
                <w:rFonts w:hint="eastAsia"/>
                <w:color w:val="auto"/>
                <w:sz w:val="24"/>
                <w:szCs w:val="24"/>
                <w:highlight w:val="none"/>
                <w:u w:val="none" w:color="auto"/>
                <w:vertAlign w:val="subscript"/>
              </w:rPr>
              <w:t>2</w:t>
            </w:r>
            <w:r>
              <w:rPr>
                <w:rFonts w:hint="eastAsia"/>
                <w:color w:val="auto"/>
                <w:sz w:val="24"/>
                <w:szCs w:val="24"/>
                <w:highlight w:val="none"/>
                <w:u w:val="none" w:color="auto"/>
              </w:rPr>
              <w:t>-V</w:t>
            </w:r>
            <w:r>
              <w:rPr>
                <w:rFonts w:hint="eastAsia"/>
                <w:color w:val="auto"/>
                <w:sz w:val="24"/>
                <w:szCs w:val="24"/>
                <w:highlight w:val="none"/>
                <w:u w:val="none" w:color="auto"/>
                <w:vertAlign w:val="subscript"/>
              </w:rPr>
              <w:t>3</w:t>
            </w:r>
            <w:r>
              <w:rPr>
                <w:rFonts w:hint="eastAsia"/>
                <w:color w:val="auto"/>
                <w:sz w:val="24"/>
                <w:szCs w:val="24"/>
                <w:highlight w:val="none"/>
                <w:u w:val="none" w:color="auto"/>
              </w:rPr>
              <w:t>）</w:t>
            </w:r>
            <w:r>
              <w:rPr>
                <w:rFonts w:hint="eastAsia"/>
                <w:color w:val="auto"/>
                <w:sz w:val="24"/>
                <w:szCs w:val="24"/>
                <w:highlight w:val="none"/>
                <w:u w:val="none" w:color="auto"/>
                <w:vertAlign w:val="subscript"/>
              </w:rPr>
              <w:t>max</w:t>
            </w:r>
            <w:r>
              <w:rPr>
                <w:rFonts w:hint="eastAsia"/>
                <w:color w:val="auto"/>
                <w:sz w:val="24"/>
                <w:szCs w:val="24"/>
                <w:highlight w:val="none"/>
                <w:u w:val="none" w:color="auto"/>
              </w:rPr>
              <w:t>+V</w:t>
            </w:r>
            <w:r>
              <w:rPr>
                <w:rFonts w:hint="eastAsia"/>
                <w:color w:val="auto"/>
                <w:sz w:val="24"/>
                <w:szCs w:val="24"/>
                <w:highlight w:val="none"/>
                <w:u w:val="none" w:color="auto"/>
                <w:vertAlign w:val="subscript"/>
              </w:rPr>
              <w:t>4</w:t>
            </w:r>
            <w:r>
              <w:rPr>
                <w:rFonts w:hint="eastAsia"/>
                <w:color w:val="auto"/>
                <w:sz w:val="24"/>
                <w:szCs w:val="24"/>
                <w:highlight w:val="none"/>
                <w:u w:val="none" w:color="auto"/>
              </w:rPr>
              <w:t>+V</w:t>
            </w:r>
            <w:r>
              <w:rPr>
                <w:rFonts w:hint="eastAsia"/>
                <w:color w:val="auto"/>
                <w:sz w:val="24"/>
                <w:szCs w:val="24"/>
                <w:highlight w:val="none"/>
                <w:u w:val="none" w:color="auto"/>
                <w:vertAlign w:val="subscript"/>
              </w:rPr>
              <w:t>5</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highlight w:val="none"/>
                <w:u w:val="none" w:color="auto"/>
              </w:rPr>
            </w:pPr>
            <w:r>
              <w:rPr>
                <w:rFonts w:hint="eastAsia"/>
                <w:color w:val="auto"/>
                <w:sz w:val="24"/>
                <w:szCs w:val="24"/>
                <w:highlight w:val="none"/>
                <w:u w:val="none" w:color="auto"/>
              </w:rPr>
              <w:t>式中：（V</w:t>
            </w:r>
            <w:r>
              <w:rPr>
                <w:rFonts w:hint="eastAsia"/>
                <w:color w:val="auto"/>
                <w:sz w:val="24"/>
                <w:szCs w:val="24"/>
                <w:highlight w:val="none"/>
                <w:u w:val="none" w:color="auto"/>
                <w:vertAlign w:val="subscript"/>
              </w:rPr>
              <w:t>1</w:t>
            </w:r>
            <w:r>
              <w:rPr>
                <w:rFonts w:hint="eastAsia"/>
                <w:color w:val="auto"/>
                <w:sz w:val="24"/>
                <w:szCs w:val="24"/>
                <w:highlight w:val="none"/>
                <w:u w:val="none" w:color="auto"/>
              </w:rPr>
              <w:t>+V</w:t>
            </w:r>
            <w:r>
              <w:rPr>
                <w:rFonts w:hint="eastAsia"/>
                <w:color w:val="auto"/>
                <w:sz w:val="24"/>
                <w:szCs w:val="24"/>
                <w:highlight w:val="none"/>
                <w:u w:val="none" w:color="auto"/>
                <w:vertAlign w:val="subscript"/>
              </w:rPr>
              <w:t>2</w:t>
            </w:r>
            <w:r>
              <w:rPr>
                <w:rFonts w:hint="eastAsia"/>
                <w:color w:val="auto"/>
                <w:sz w:val="24"/>
                <w:szCs w:val="24"/>
                <w:highlight w:val="none"/>
                <w:u w:val="none" w:color="auto"/>
              </w:rPr>
              <w:t>-V</w:t>
            </w:r>
            <w:r>
              <w:rPr>
                <w:rFonts w:hint="eastAsia"/>
                <w:color w:val="auto"/>
                <w:sz w:val="24"/>
                <w:szCs w:val="24"/>
                <w:highlight w:val="none"/>
                <w:u w:val="none" w:color="auto"/>
                <w:vertAlign w:val="subscript"/>
              </w:rPr>
              <w:t>3</w:t>
            </w:r>
            <w:r>
              <w:rPr>
                <w:rFonts w:hint="eastAsia"/>
                <w:color w:val="auto"/>
                <w:sz w:val="24"/>
                <w:szCs w:val="24"/>
                <w:highlight w:val="none"/>
                <w:u w:val="none" w:color="auto"/>
              </w:rPr>
              <w:t>）</w:t>
            </w:r>
            <w:r>
              <w:rPr>
                <w:rFonts w:hint="eastAsia"/>
                <w:color w:val="auto"/>
                <w:sz w:val="24"/>
                <w:szCs w:val="24"/>
                <w:highlight w:val="none"/>
                <w:u w:val="none" w:color="auto"/>
                <w:vertAlign w:val="subscript"/>
              </w:rPr>
              <w:t>max</w:t>
            </w:r>
            <w:r>
              <w:rPr>
                <w:rFonts w:hint="eastAsia"/>
                <w:color w:val="auto"/>
                <w:sz w:val="24"/>
                <w:szCs w:val="24"/>
                <w:highlight w:val="none"/>
                <w:u w:val="none" w:color="auto"/>
              </w:rPr>
              <w:t>是指对收集系统范围内不同罐组或装置分别计算V</w:t>
            </w:r>
            <w:r>
              <w:rPr>
                <w:rFonts w:hint="eastAsia"/>
                <w:color w:val="auto"/>
                <w:sz w:val="24"/>
                <w:szCs w:val="24"/>
                <w:highlight w:val="none"/>
                <w:u w:val="none" w:color="auto"/>
                <w:vertAlign w:val="subscript"/>
              </w:rPr>
              <w:t>1</w:t>
            </w:r>
            <w:r>
              <w:rPr>
                <w:rFonts w:hint="eastAsia"/>
                <w:color w:val="auto"/>
                <w:sz w:val="24"/>
                <w:szCs w:val="24"/>
                <w:highlight w:val="none"/>
                <w:u w:val="none" w:color="auto"/>
              </w:rPr>
              <w:t>+V</w:t>
            </w:r>
            <w:r>
              <w:rPr>
                <w:rFonts w:hint="eastAsia"/>
                <w:color w:val="auto"/>
                <w:sz w:val="24"/>
                <w:szCs w:val="24"/>
                <w:highlight w:val="none"/>
                <w:u w:val="none" w:color="auto"/>
                <w:vertAlign w:val="subscript"/>
              </w:rPr>
              <w:t>2</w:t>
            </w:r>
            <w:r>
              <w:rPr>
                <w:rFonts w:hint="eastAsia"/>
                <w:color w:val="auto"/>
                <w:sz w:val="24"/>
                <w:szCs w:val="24"/>
                <w:highlight w:val="none"/>
                <w:u w:val="none" w:color="auto"/>
              </w:rPr>
              <w:t>-V</w:t>
            </w:r>
            <w:r>
              <w:rPr>
                <w:rFonts w:hint="eastAsia"/>
                <w:color w:val="auto"/>
                <w:sz w:val="24"/>
                <w:szCs w:val="24"/>
                <w:highlight w:val="none"/>
                <w:u w:val="none" w:color="auto"/>
                <w:vertAlign w:val="subscript"/>
              </w:rPr>
              <w:t>3</w:t>
            </w:r>
            <w:r>
              <w:rPr>
                <w:rFonts w:hint="eastAsia"/>
                <w:color w:val="auto"/>
                <w:sz w:val="24"/>
                <w:szCs w:val="24"/>
                <w:highlight w:val="none"/>
                <w:u w:val="none" w:color="auto"/>
              </w:rPr>
              <w:t>，取其中最大值。</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highlight w:val="none"/>
                <w:u w:val="none" w:color="auto"/>
              </w:rPr>
            </w:pPr>
            <w:r>
              <w:rPr>
                <w:rFonts w:hint="eastAsia"/>
                <w:color w:val="auto"/>
                <w:sz w:val="24"/>
                <w:szCs w:val="24"/>
                <w:highlight w:val="none"/>
                <w:u w:val="none" w:color="auto"/>
              </w:rPr>
              <w:t>V</w:t>
            </w:r>
            <w:r>
              <w:rPr>
                <w:rFonts w:hint="eastAsia"/>
                <w:color w:val="auto"/>
                <w:sz w:val="24"/>
                <w:szCs w:val="24"/>
                <w:highlight w:val="none"/>
                <w:u w:val="none" w:color="auto"/>
                <w:vertAlign w:val="subscript"/>
              </w:rPr>
              <w:t>1</w:t>
            </w:r>
            <w:r>
              <w:rPr>
                <w:rFonts w:hint="eastAsia"/>
                <w:color w:val="auto"/>
                <w:sz w:val="24"/>
                <w:szCs w:val="24"/>
                <w:highlight w:val="none"/>
                <w:u w:val="none" w:color="auto"/>
              </w:rPr>
              <w:t>——收集系统范围内发生事故的一个罐组或一套装置的物料量。V</w:t>
            </w:r>
            <w:r>
              <w:rPr>
                <w:rFonts w:hint="eastAsia"/>
                <w:color w:val="auto"/>
                <w:sz w:val="24"/>
                <w:szCs w:val="24"/>
                <w:highlight w:val="none"/>
                <w:u w:val="none" w:color="auto"/>
                <w:vertAlign w:val="subscript"/>
              </w:rPr>
              <w:t>1</w:t>
            </w:r>
            <w:r>
              <w:rPr>
                <w:rFonts w:hint="eastAsia"/>
                <w:color w:val="auto"/>
                <w:sz w:val="24"/>
                <w:szCs w:val="24"/>
                <w:highlight w:val="none"/>
                <w:u w:val="none" w:color="auto"/>
              </w:rPr>
              <w:t>取</w:t>
            </w:r>
            <w:r>
              <w:rPr>
                <w:rFonts w:hint="eastAsia"/>
                <w:color w:val="auto"/>
                <w:sz w:val="24"/>
                <w:szCs w:val="24"/>
                <w:highlight w:val="none"/>
                <w:u w:val="none" w:color="auto"/>
                <w:lang w:val="en-US" w:eastAsia="zh-CN"/>
              </w:rPr>
              <w:t>0.2</w:t>
            </w:r>
            <w:r>
              <w:rPr>
                <w:rFonts w:hint="eastAsia"/>
                <w:color w:val="auto"/>
                <w:sz w:val="24"/>
                <w:szCs w:val="24"/>
                <w:highlight w:val="none"/>
                <w:u w:val="none" w:color="auto"/>
              </w:rPr>
              <w:t>m</w:t>
            </w:r>
            <w:r>
              <w:rPr>
                <w:rFonts w:hint="eastAsia"/>
                <w:color w:val="auto"/>
                <w:sz w:val="24"/>
                <w:szCs w:val="24"/>
                <w:highlight w:val="none"/>
                <w:u w:val="none" w:color="auto"/>
                <w:vertAlign w:val="superscript"/>
              </w:rPr>
              <w:t>3</w:t>
            </w:r>
            <w:r>
              <w:rPr>
                <w:rFonts w:hint="eastAsia"/>
                <w:color w:val="auto"/>
                <w:sz w:val="24"/>
                <w:szCs w:val="24"/>
                <w:highlight w:val="none"/>
                <w:u w:val="none" w:color="auto"/>
              </w:rPr>
              <w:t>。</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highlight w:val="none"/>
                <w:u w:val="none" w:color="auto"/>
              </w:rPr>
            </w:pPr>
            <w:r>
              <w:rPr>
                <w:rFonts w:hint="eastAsia"/>
                <w:color w:val="auto"/>
                <w:sz w:val="24"/>
                <w:szCs w:val="24"/>
                <w:highlight w:val="none"/>
                <w:u w:val="none" w:color="auto"/>
              </w:rPr>
              <w:t>V</w:t>
            </w:r>
            <w:r>
              <w:rPr>
                <w:rFonts w:hint="eastAsia"/>
                <w:color w:val="auto"/>
                <w:sz w:val="24"/>
                <w:szCs w:val="24"/>
                <w:highlight w:val="none"/>
                <w:u w:val="none" w:color="auto"/>
                <w:vertAlign w:val="subscript"/>
              </w:rPr>
              <w:t>2</w:t>
            </w:r>
            <w:r>
              <w:rPr>
                <w:rFonts w:hint="eastAsia"/>
                <w:color w:val="auto"/>
                <w:sz w:val="24"/>
                <w:szCs w:val="24"/>
                <w:highlight w:val="none"/>
                <w:u w:val="none" w:color="auto"/>
              </w:rPr>
              <w:t>——发生事故的储罐或装置的消防水量，m</w:t>
            </w:r>
            <w:r>
              <w:rPr>
                <w:rFonts w:hint="eastAsia"/>
                <w:color w:val="auto"/>
                <w:sz w:val="24"/>
                <w:szCs w:val="24"/>
                <w:highlight w:val="none"/>
                <w:u w:val="none" w:color="auto"/>
                <w:vertAlign w:val="superscript"/>
              </w:rPr>
              <w:t>3</w:t>
            </w:r>
            <w:r>
              <w:rPr>
                <w:rFonts w:hint="eastAsia"/>
                <w:color w:val="auto"/>
                <w:sz w:val="24"/>
                <w:szCs w:val="24"/>
                <w:highlight w:val="none"/>
                <w:u w:val="none" w:color="auto"/>
              </w:rPr>
              <w:t>。</w:t>
            </w:r>
            <w:r>
              <w:rPr>
                <w:rFonts w:hint="default"/>
                <w:color w:val="auto"/>
                <w:sz w:val="24"/>
                <w:szCs w:val="24"/>
                <w:highlight w:val="none"/>
                <w:lang w:val="en-US" w:eastAsia="zh-CN"/>
              </w:rPr>
              <w:t>根据《石油化工企业设计防火规范》（GB50160-2008）以及《建筑设计防火规范》（GB50016-2006）</w:t>
            </w:r>
            <w:r>
              <w:rPr>
                <w:rFonts w:hint="eastAsia"/>
                <w:color w:val="auto"/>
                <w:sz w:val="24"/>
                <w:szCs w:val="24"/>
                <w:highlight w:val="none"/>
                <w:lang w:val="en-US" w:eastAsia="zh-CN"/>
              </w:rPr>
              <w:t>，</w:t>
            </w:r>
            <w:r>
              <w:rPr>
                <w:rFonts w:hint="default"/>
                <w:color w:val="auto"/>
                <w:sz w:val="24"/>
                <w:szCs w:val="24"/>
                <w:highlight w:val="none"/>
                <w:lang w:val="en-US" w:eastAsia="zh-CN"/>
              </w:rPr>
              <w:t>室内消防水量按10L/S计，室外消防水量按25L/S计</w:t>
            </w:r>
            <w:r>
              <w:rPr>
                <w:rFonts w:hint="eastAsia"/>
                <w:color w:val="auto"/>
                <w:sz w:val="24"/>
                <w:szCs w:val="24"/>
                <w:highlight w:val="none"/>
                <w:lang w:val="en-US" w:eastAsia="zh-CN"/>
              </w:rPr>
              <w:t>。</w:t>
            </w:r>
            <w:r>
              <w:rPr>
                <w:rFonts w:hint="eastAsia"/>
                <w:color w:val="auto"/>
                <w:sz w:val="24"/>
                <w:szCs w:val="24"/>
                <w:highlight w:val="none"/>
                <w:u w:val="none" w:color="auto"/>
              </w:rPr>
              <w:t>本项目</w:t>
            </w:r>
            <w:r>
              <w:rPr>
                <w:rFonts w:hint="eastAsia"/>
                <w:color w:val="auto"/>
                <w:sz w:val="24"/>
                <w:szCs w:val="24"/>
                <w:highlight w:val="none"/>
                <w:u w:val="none" w:color="auto"/>
                <w:lang w:eastAsia="zh-CN"/>
              </w:rPr>
              <w:t>为室内，</w:t>
            </w:r>
            <w:r>
              <w:rPr>
                <w:rFonts w:hint="eastAsia"/>
                <w:color w:val="auto"/>
                <w:sz w:val="24"/>
                <w:szCs w:val="24"/>
                <w:highlight w:val="none"/>
                <w:u w:val="none" w:color="auto"/>
              </w:rPr>
              <w:t>厂区消防给水量</w:t>
            </w:r>
            <w:r>
              <w:rPr>
                <w:rFonts w:hint="eastAsia"/>
                <w:color w:val="auto"/>
                <w:sz w:val="24"/>
                <w:szCs w:val="24"/>
                <w:highlight w:val="none"/>
                <w:u w:val="none" w:color="auto"/>
                <w:lang w:eastAsia="zh-CN"/>
              </w:rPr>
              <w:t>取</w:t>
            </w:r>
            <w:r>
              <w:rPr>
                <w:rFonts w:hint="eastAsia"/>
                <w:color w:val="auto"/>
                <w:sz w:val="24"/>
                <w:szCs w:val="24"/>
                <w:highlight w:val="none"/>
                <w:u w:val="none" w:color="auto"/>
                <w:lang w:val="en-US" w:eastAsia="zh-CN"/>
              </w:rPr>
              <w:t>1</w:t>
            </w:r>
            <w:r>
              <w:rPr>
                <w:rFonts w:hint="eastAsia"/>
                <w:color w:val="auto"/>
                <w:sz w:val="24"/>
                <w:szCs w:val="24"/>
                <w:highlight w:val="none"/>
                <w:u w:val="none" w:color="auto"/>
              </w:rPr>
              <w:t>0L/s，一次火灾延续时间按</w:t>
            </w:r>
            <w:r>
              <w:rPr>
                <w:rFonts w:hint="eastAsia"/>
                <w:color w:val="auto"/>
                <w:sz w:val="24"/>
                <w:szCs w:val="24"/>
                <w:highlight w:val="none"/>
                <w:u w:val="none" w:color="auto"/>
                <w:lang w:val="en-US" w:eastAsia="zh-CN"/>
              </w:rPr>
              <w:t>2</w:t>
            </w:r>
            <w:r>
              <w:rPr>
                <w:rFonts w:hint="eastAsia"/>
                <w:color w:val="auto"/>
                <w:sz w:val="24"/>
                <w:szCs w:val="24"/>
                <w:highlight w:val="none"/>
                <w:u w:val="none" w:color="auto"/>
              </w:rPr>
              <w:t>h计算，则项目</w:t>
            </w:r>
            <w:r>
              <w:rPr>
                <w:rFonts w:hint="eastAsia"/>
                <w:color w:val="auto"/>
                <w:sz w:val="24"/>
                <w:szCs w:val="24"/>
                <w:highlight w:val="none"/>
                <w:u w:val="none" w:color="auto"/>
                <w:lang w:val="en-US" w:eastAsia="zh-CN"/>
              </w:rPr>
              <w:t>单个车间</w:t>
            </w:r>
            <w:r>
              <w:rPr>
                <w:rFonts w:hint="eastAsia"/>
                <w:color w:val="auto"/>
                <w:sz w:val="24"/>
                <w:szCs w:val="24"/>
                <w:highlight w:val="none"/>
                <w:u w:val="none" w:color="auto"/>
              </w:rPr>
              <w:t>一次火灾灭火污水量为</w:t>
            </w:r>
            <w:r>
              <w:rPr>
                <w:rFonts w:hint="eastAsia"/>
                <w:color w:val="auto"/>
                <w:sz w:val="24"/>
                <w:szCs w:val="24"/>
                <w:highlight w:val="none"/>
                <w:u w:val="none" w:color="auto"/>
                <w:lang w:val="en-US" w:eastAsia="zh-CN"/>
              </w:rPr>
              <w:t>72</w:t>
            </w:r>
            <w:r>
              <w:rPr>
                <w:rFonts w:hint="eastAsia"/>
                <w:color w:val="auto"/>
                <w:sz w:val="24"/>
                <w:szCs w:val="24"/>
                <w:highlight w:val="none"/>
                <w:u w:val="none" w:color="auto"/>
              </w:rPr>
              <w:t>m</w:t>
            </w:r>
            <w:r>
              <w:rPr>
                <w:rFonts w:hint="eastAsia"/>
                <w:color w:val="auto"/>
                <w:sz w:val="24"/>
                <w:szCs w:val="24"/>
                <w:highlight w:val="none"/>
                <w:u w:val="none" w:color="auto"/>
                <w:vertAlign w:val="superscript"/>
              </w:rPr>
              <w:t>3</w:t>
            </w:r>
            <w:r>
              <w:rPr>
                <w:rFonts w:hint="eastAsia"/>
                <w:color w:val="auto"/>
                <w:sz w:val="24"/>
                <w:szCs w:val="24"/>
                <w:highlight w:val="none"/>
                <w:u w:val="none" w:color="auto"/>
              </w:rPr>
              <w:t>。</w:t>
            </w:r>
          </w:p>
          <w:p>
            <w:pPr>
              <w:keepNext w:val="0"/>
              <w:keepLines w:val="0"/>
              <w:pageBreakBefore w:val="0"/>
              <w:widowControl w:val="0"/>
              <w:kinsoku/>
              <w:wordWrap/>
              <w:overflowPunct/>
              <w:topLinePunct w:val="0"/>
              <w:bidi w:val="0"/>
              <w:snapToGrid/>
              <w:spacing w:line="360" w:lineRule="auto"/>
              <w:ind w:firstLine="480" w:firstLineChars="200"/>
              <w:textAlignment w:val="auto"/>
              <w:rPr>
                <w:rFonts w:hint="eastAsia"/>
                <w:color w:val="auto"/>
                <w:sz w:val="24"/>
                <w:szCs w:val="24"/>
                <w:highlight w:val="none"/>
                <w:u w:val="none" w:color="auto"/>
              </w:rPr>
            </w:pPr>
            <w:r>
              <w:rPr>
                <w:rFonts w:hint="eastAsia"/>
                <w:color w:val="auto"/>
                <w:sz w:val="24"/>
                <w:szCs w:val="24"/>
                <w:highlight w:val="none"/>
                <w:u w:val="none" w:color="auto"/>
              </w:rPr>
              <w:t>V</w:t>
            </w:r>
            <w:r>
              <w:rPr>
                <w:rFonts w:hint="eastAsia"/>
                <w:color w:val="auto"/>
                <w:sz w:val="24"/>
                <w:szCs w:val="24"/>
                <w:highlight w:val="none"/>
                <w:u w:val="none" w:color="auto"/>
                <w:vertAlign w:val="subscript"/>
              </w:rPr>
              <w:t>3</w:t>
            </w:r>
            <w:r>
              <w:rPr>
                <w:rFonts w:hint="eastAsia"/>
                <w:color w:val="auto"/>
                <w:sz w:val="24"/>
                <w:szCs w:val="24"/>
                <w:highlight w:val="none"/>
                <w:u w:val="none" w:color="auto"/>
              </w:rPr>
              <w:t>——发生事故时可以转输到其他储存或处理设施的物料量，m</w:t>
            </w:r>
            <w:r>
              <w:rPr>
                <w:rFonts w:hint="eastAsia"/>
                <w:color w:val="auto"/>
                <w:sz w:val="24"/>
                <w:szCs w:val="24"/>
                <w:highlight w:val="none"/>
                <w:u w:val="none" w:color="auto"/>
                <w:vertAlign w:val="superscript"/>
              </w:rPr>
              <w:t>3</w:t>
            </w:r>
            <w:r>
              <w:rPr>
                <w:rFonts w:hint="eastAsia"/>
                <w:color w:val="auto"/>
                <w:sz w:val="24"/>
                <w:szCs w:val="24"/>
                <w:highlight w:val="none"/>
                <w:u w:val="none" w:color="auto"/>
              </w:rPr>
              <w:t>。</w:t>
            </w:r>
            <w:r>
              <w:rPr>
                <w:rFonts w:hint="eastAsia" w:cs="宋体"/>
                <w:color w:val="auto"/>
                <w:sz w:val="24"/>
                <w:szCs w:val="24"/>
                <w:u w:val="none"/>
                <w:lang w:val="en-US" w:bidi="zh-CN"/>
              </w:rPr>
              <w:t>污水收集池（容积180m</w:t>
            </w:r>
            <w:r>
              <w:rPr>
                <w:rFonts w:hint="eastAsia" w:cs="宋体"/>
                <w:color w:val="auto"/>
                <w:sz w:val="24"/>
                <w:szCs w:val="24"/>
                <w:u w:val="none"/>
                <w:vertAlign w:val="superscript"/>
                <w:lang w:val="en-US" w:bidi="zh-CN"/>
              </w:rPr>
              <w:t>3</w:t>
            </w:r>
            <w:r>
              <w:rPr>
                <w:rFonts w:hint="eastAsia" w:cs="宋体"/>
                <w:color w:val="auto"/>
                <w:sz w:val="24"/>
                <w:szCs w:val="24"/>
                <w:u w:val="none"/>
                <w:lang w:val="en-US" w:bidi="zh-CN"/>
              </w:rPr>
              <w:t>），项目污水收集池主要用于收集拖把清洗废水和初期雨水，拖把清洗废水量约为0.187</w:t>
            </w:r>
            <w:r>
              <w:rPr>
                <w:rFonts w:hint="default" w:ascii="Times New Roman" w:hAnsi="Times New Roman" w:eastAsia="宋体" w:cs="Times New Roman"/>
                <w:color w:val="auto"/>
                <w:sz w:val="24"/>
                <w:szCs w:val="24"/>
                <w:u w:color="auto"/>
              </w:rPr>
              <w:t>m</w:t>
            </w:r>
            <w:r>
              <w:rPr>
                <w:rFonts w:hint="default" w:ascii="Times New Roman" w:hAnsi="Times New Roman" w:eastAsia="宋体" w:cs="Times New Roman"/>
                <w:color w:val="auto"/>
                <w:sz w:val="24"/>
                <w:szCs w:val="24"/>
                <w:u w:color="auto"/>
                <w:vertAlign w:val="superscript"/>
              </w:rPr>
              <w:t>3</w:t>
            </w:r>
            <w:r>
              <w:rPr>
                <w:rFonts w:hint="default" w:ascii="Times New Roman" w:hAnsi="Times New Roman" w:eastAsia="宋体" w:cs="Times New Roman"/>
                <w:color w:val="auto"/>
                <w:sz w:val="24"/>
                <w:szCs w:val="24"/>
                <w:u w:color="auto"/>
              </w:rPr>
              <w:t>/d</w:t>
            </w:r>
            <w:r>
              <w:rPr>
                <w:rFonts w:hint="eastAsia" w:ascii="Times New Roman" w:hAnsi="Times New Roman" w:eastAsia="宋体" w:cs="Times New Roman"/>
                <w:color w:val="auto"/>
                <w:sz w:val="24"/>
                <w:szCs w:val="24"/>
                <w:u w:color="auto"/>
                <w:lang w:eastAsia="zh-CN"/>
              </w:rPr>
              <w:t>，</w:t>
            </w:r>
            <w:r>
              <w:rPr>
                <w:rFonts w:hint="eastAsia" w:ascii="Times New Roman" w:hAnsi="Times New Roman" w:eastAsia="宋体" w:cs="Times New Roman"/>
                <w:color w:val="auto"/>
                <w:sz w:val="24"/>
                <w:szCs w:val="24"/>
                <w:u w:color="auto"/>
                <w:lang w:val="en-US" w:eastAsia="zh-CN"/>
              </w:rPr>
              <w:t>因此污水收集池也可以用于收集初期雨水和事故废水。</w:t>
            </w:r>
            <w:r>
              <w:rPr>
                <w:rFonts w:hint="eastAsia"/>
                <w:color w:val="auto"/>
                <w:sz w:val="24"/>
                <w:szCs w:val="24"/>
                <w:highlight w:val="none"/>
                <w:u w:val="none" w:color="auto"/>
              </w:rPr>
              <w:t>V</w:t>
            </w:r>
            <w:r>
              <w:rPr>
                <w:rFonts w:hint="eastAsia"/>
                <w:color w:val="auto"/>
                <w:sz w:val="24"/>
                <w:szCs w:val="24"/>
                <w:highlight w:val="none"/>
                <w:u w:val="none" w:color="auto"/>
                <w:vertAlign w:val="subscript"/>
                <w:lang w:val="en-US" w:eastAsia="zh-CN"/>
              </w:rPr>
              <w:t>3</w:t>
            </w:r>
            <w:r>
              <w:rPr>
                <w:rFonts w:hint="eastAsia"/>
                <w:color w:val="auto"/>
                <w:sz w:val="24"/>
                <w:szCs w:val="24"/>
                <w:highlight w:val="none"/>
                <w:u w:val="none" w:color="auto"/>
              </w:rPr>
              <w:t>取</w:t>
            </w:r>
            <w:r>
              <w:rPr>
                <w:rFonts w:hint="eastAsia"/>
                <w:color w:val="auto"/>
                <w:sz w:val="24"/>
                <w:szCs w:val="24"/>
                <w:highlight w:val="none"/>
                <w:u w:val="none" w:color="auto"/>
                <w:lang w:val="en-US" w:eastAsia="zh-CN"/>
              </w:rPr>
              <w:t>180</w:t>
            </w:r>
            <w:r>
              <w:rPr>
                <w:rFonts w:hint="eastAsia"/>
                <w:color w:val="auto"/>
                <w:sz w:val="24"/>
                <w:szCs w:val="24"/>
                <w:highlight w:val="none"/>
                <w:u w:val="none" w:color="auto"/>
              </w:rPr>
              <w:t>m</w:t>
            </w:r>
            <w:r>
              <w:rPr>
                <w:rFonts w:hint="eastAsia"/>
                <w:color w:val="auto"/>
                <w:sz w:val="24"/>
                <w:szCs w:val="24"/>
                <w:highlight w:val="none"/>
                <w:u w:val="none" w:color="auto"/>
                <w:vertAlign w:val="superscript"/>
              </w:rPr>
              <w:t>3</w:t>
            </w:r>
          </w:p>
          <w:p>
            <w:pPr>
              <w:keepNext w:val="0"/>
              <w:keepLines w:val="0"/>
              <w:pageBreakBefore w:val="0"/>
              <w:widowControl w:val="0"/>
              <w:kinsoku/>
              <w:wordWrap/>
              <w:overflowPunct/>
              <w:topLinePunct w:val="0"/>
              <w:bidi w:val="0"/>
              <w:snapToGrid/>
              <w:spacing w:line="360" w:lineRule="auto"/>
              <w:ind w:firstLine="480" w:firstLineChars="200"/>
              <w:textAlignment w:val="auto"/>
              <w:rPr>
                <w:rFonts w:hint="eastAsia"/>
                <w:color w:val="auto"/>
                <w:sz w:val="24"/>
                <w:szCs w:val="24"/>
                <w:highlight w:val="none"/>
                <w:u w:val="none" w:color="auto"/>
              </w:rPr>
            </w:pPr>
            <w:r>
              <w:rPr>
                <w:rFonts w:hint="eastAsia"/>
                <w:color w:val="auto"/>
                <w:sz w:val="24"/>
                <w:szCs w:val="24"/>
                <w:highlight w:val="none"/>
                <w:u w:val="none" w:color="auto"/>
              </w:rPr>
              <w:t>V</w:t>
            </w:r>
            <w:r>
              <w:rPr>
                <w:rFonts w:hint="eastAsia"/>
                <w:color w:val="auto"/>
                <w:sz w:val="24"/>
                <w:szCs w:val="24"/>
                <w:highlight w:val="none"/>
                <w:u w:val="none" w:color="auto"/>
                <w:vertAlign w:val="subscript"/>
              </w:rPr>
              <w:t>4</w:t>
            </w:r>
            <w:r>
              <w:rPr>
                <w:rFonts w:hint="eastAsia"/>
                <w:color w:val="auto"/>
                <w:sz w:val="24"/>
                <w:szCs w:val="24"/>
                <w:highlight w:val="none"/>
                <w:u w:val="none" w:color="auto"/>
              </w:rPr>
              <w:t>——发生事故时仍必须进入该收集系统的生产废水量，m</w:t>
            </w:r>
            <w:r>
              <w:rPr>
                <w:rFonts w:hint="eastAsia"/>
                <w:color w:val="auto"/>
                <w:sz w:val="24"/>
                <w:szCs w:val="24"/>
                <w:highlight w:val="none"/>
                <w:u w:val="none" w:color="auto"/>
                <w:vertAlign w:val="superscript"/>
              </w:rPr>
              <w:t>3</w:t>
            </w:r>
            <w:r>
              <w:rPr>
                <w:rFonts w:hint="eastAsia"/>
                <w:color w:val="auto"/>
                <w:sz w:val="24"/>
                <w:szCs w:val="24"/>
                <w:highlight w:val="none"/>
                <w:u w:val="none" w:color="auto"/>
              </w:rPr>
              <w:t>。本项目生产废水无需进入事故应急池</w:t>
            </w:r>
            <w:r>
              <w:rPr>
                <w:rFonts w:hint="eastAsia"/>
                <w:color w:val="auto"/>
                <w:sz w:val="24"/>
                <w:szCs w:val="24"/>
                <w:highlight w:val="none"/>
                <w:u w:val="none" w:color="auto"/>
                <w:lang w:eastAsia="zh-CN"/>
              </w:rPr>
              <w:t>，</w:t>
            </w:r>
            <w:r>
              <w:rPr>
                <w:rFonts w:hint="eastAsia"/>
                <w:color w:val="auto"/>
                <w:sz w:val="24"/>
                <w:szCs w:val="24"/>
                <w:highlight w:val="none"/>
                <w:u w:val="none" w:color="auto"/>
              </w:rPr>
              <w:t>V</w:t>
            </w:r>
            <w:r>
              <w:rPr>
                <w:rFonts w:hint="eastAsia"/>
                <w:color w:val="auto"/>
                <w:sz w:val="24"/>
                <w:szCs w:val="24"/>
                <w:highlight w:val="none"/>
                <w:u w:val="none" w:color="auto"/>
                <w:vertAlign w:val="subscript"/>
              </w:rPr>
              <w:t>4</w:t>
            </w:r>
            <w:r>
              <w:rPr>
                <w:rFonts w:hint="eastAsia"/>
                <w:color w:val="auto"/>
                <w:sz w:val="24"/>
                <w:szCs w:val="24"/>
                <w:highlight w:val="none"/>
                <w:u w:val="none" w:color="auto"/>
              </w:rPr>
              <w:t>取0 m</w:t>
            </w:r>
            <w:r>
              <w:rPr>
                <w:rFonts w:hint="eastAsia"/>
                <w:color w:val="auto"/>
                <w:sz w:val="24"/>
                <w:szCs w:val="24"/>
                <w:highlight w:val="none"/>
                <w:u w:val="none" w:color="auto"/>
                <w:vertAlign w:val="superscript"/>
              </w:rPr>
              <w:t>3</w:t>
            </w:r>
            <w:r>
              <w:rPr>
                <w:rFonts w:hint="eastAsia"/>
                <w:color w:val="auto"/>
                <w:sz w:val="24"/>
                <w:szCs w:val="24"/>
                <w:highlight w:val="none"/>
                <w:u w:val="none" w:color="auto"/>
              </w:rPr>
              <w:t>。</w:t>
            </w:r>
          </w:p>
          <w:p>
            <w:pPr>
              <w:keepNext w:val="0"/>
              <w:keepLines w:val="0"/>
              <w:pageBreakBefore w:val="0"/>
              <w:widowControl w:val="0"/>
              <w:kinsoku/>
              <w:wordWrap/>
              <w:overflowPunct/>
              <w:topLinePunct w:val="0"/>
              <w:bidi w:val="0"/>
              <w:snapToGrid/>
              <w:spacing w:line="360" w:lineRule="auto"/>
              <w:ind w:firstLine="480" w:firstLineChars="200"/>
              <w:textAlignment w:val="auto"/>
              <w:rPr>
                <w:rFonts w:hint="default" w:eastAsia="宋体"/>
                <w:color w:val="auto"/>
                <w:sz w:val="24"/>
                <w:szCs w:val="24"/>
                <w:highlight w:val="none"/>
                <w:u w:val="none" w:color="auto"/>
                <w:lang w:val="en-US" w:eastAsia="zh-CN"/>
              </w:rPr>
            </w:pPr>
            <w:r>
              <w:rPr>
                <w:rFonts w:hint="eastAsia"/>
                <w:color w:val="auto"/>
                <w:sz w:val="24"/>
                <w:szCs w:val="24"/>
                <w:highlight w:val="none"/>
                <w:u w:val="none" w:color="auto"/>
              </w:rPr>
              <w:t>V5——发生事故时可能进入该收集系统的降雨量，m</w:t>
            </w:r>
            <w:r>
              <w:rPr>
                <w:rFonts w:hint="eastAsia"/>
                <w:color w:val="auto"/>
                <w:sz w:val="24"/>
                <w:szCs w:val="24"/>
                <w:highlight w:val="none"/>
                <w:u w:val="none" w:color="auto"/>
                <w:vertAlign w:val="superscript"/>
              </w:rPr>
              <w:t>3</w:t>
            </w:r>
            <w:r>
              <w:rPr>
                <w:rFonts w:hint="eastAsia"/>
                <w:color w:val="auto"/>
                <w:sz w:val="24"/>
                <w:szCs w:val="24"/>
                <w:highlight w:val="none"/>
                <w:u w:val="none" w:color="auto"/>
              </w:rPr>
              <w:t>。</w:t>
            </w:r>
            <w:r>
              <w:rPr>
                <w:rFonts w:hint="eastAsia"/>
                <w:color w:val="auto"/>
                <w:sz w:val="24"/>
                <w:szCs w:val="24"/>
                <w:highlight w:val="none"/>
                <w:u w:val="none" w:color="auto"/>
                <w:lang w:val="en-US" w:eastAsia="zh-CN"/>
              </w:rPr>
              <w:t>本根据初期雨水量核算，进入该收集系统的降雨量为34.29m</w:t>
            </w:r>
            <w:r>
              <w:rPr>
                <w:rFonts w:hint="eastAsia"/>
                <w:color w:val="auto"/>
                <w:sz w:val="24"/>
                <w:szCs w:val="24"/>
                <w:highlight w:val="none"/>
                <w:u w:val="none" w:color="auto"/>
                <w:vertAlign w:val="superscript"/>
                <w:lang w:val="en-US" w:eastAsia="zh-CN"/>
              </w:rPr>
              <w:t>3</w:t>
            </w:r>
            <w:r>
              <w:rPr>
                <w:rFonts w:hint="eastAsia"/>
                <w:color w:val="auto"/>
                <w:sz w:val="24"/>
                <w:szCs w:val="24"/>
                <w:highlight w:val="none"/>
                <w:u w:val="none" w:color="auto"/>
                <w:lang w:val="en-US" w:eastAsia="zh-CN"/>
              </w:rPr>
              <w:t>。</w:t>
            </w:r>
            <w:r>
              <w:rPr>
                <w:rFonts w:hint="eastAsia"/>
                <w:color w:val="auto"/>
                <w:sz w:val="24"/>
                <w:szCs w:val="24"/>
                <w:highlight w:val="none"/>
                <w:u w:val="none" w:color="auto"/>
              </w:rPr>
              <w:t>V5</w:t>
            </w:r>
            <w:r>
              <w:rPr>
                <w:rFonts w:hint="eastAsia"/>
                <w:color w:val="auto"/>
                <w:sz w:val="24"/>
                <w:szCs w:val="24"/>
                <w:highlight w:val="none"/>
                <w:u w:val="none" w:color="auto"/>
                <w:lang w:val="en-US" w:eastAsia="zh-CN"/>
              </w:rPr>
              <w:t>取34.29</w:t>
            </w:r>
            <w:r>
              <w:rPr>
                <w:rFonts w:hint="eastAsia"/>
                <w:sz w:val="24"/>
                <w:szCs w:val="24"/>
              </w:rPr>
              <w:t>m</w:t>
            </w:r>
            <w:r>
              <w:rPr>
                <w:rFonts w:hint="eastAsia"/>
                <w:sz w:val="24"/>
                <w:szCs w:val="24"/>
                <w:vertAlign w:val="superscript"/>
              </w:rPr>
              <w:t>3</w:t>
            </w:r>
            <w:r>
              <w:rPr>
                <w:rFonts w:hint="eastAsia"/>
                <w:color w:val="auto"/>
                <w:sz w:val="24"/>
                <w:szCs w:val="24"/>
                <w:highlight w:val="none"/>
                <w:u w:val="none" w:color="auto"/>
                <w:lang w:val="en-US" w:eastAsia="zh-CN"/>
              </w:rPr>
              <w:t>。</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textAlignment w:val="auto"/>
              <w:rPr>
                <w:rFonts w:hint="eastAsia"/>
                <w:color w:val="auto"/>
                <w:sz w:val="24"/>
                <w:szCs w:val="24"/>
                <w:highlight w:val="none"/>
                <w:u w:val="none" w:color="auto"/>
              </w:rPr>
            </w:pPr>
            <w:r>
              <w:rPr>
                <w:rFonts w:hint="default"/>
                <w:color w:val="auto"/>
                <w:sz w:val="24"/>
                <w:szCs w:val="24"/>
                <w:highlight w:val="none"/>
                <w:lang w:val="en-US" w:eastAsia="zh-CN"/>
              </w:rPr>
              <w:t>事故储存能力核算V</w:t>
            </w:r>
            <w:r>
              <w:rPr>
                <w:rFonts w:hint="default"/>
                <w:color w:val="auto"/>
                <w:sz w:val="24"/>
                <w:szCs w:val="24"/>
                <w:highlight w:val="none"/>
                <w:vertAlign w:val="subscript"/>
                <w:lang w:val="en-US" w:eastAsia="zh-CN"/>
              </w:rPr>
              <w:t>总</w:t>
            </w:r>
            <w:r>
              <w:rPr>
                <w:rFonts w:hint="default"/>
                <w:color w:val="auto"/>
                <w:sz w:val="24"/>
                <w:szCs w:val="24"/>
                <w:highlight w:val="none"/>
                <w:lang w:val="en-US" w:eastAsia="zh-CN"/>
              </w:rPr>
              <w:t>=</w:t>
            </w:r>
            <w:r>
              <w:rPr>
                <w:rFonts w:hint="eastAsia"/>
                <w:color w:val="auto"/>
                <w:sz w:val="24"/>
                <w:szCs w:val="24"/>
                <w:highlight w:val="none"/>
                <w:u w:val="none" w:color="auto"/>
              </w:rPr>
              <w:t>（V</w:t>
            </w:r>
            <w:r>
              <w:rPr>
                <w:rFonts w:hint="eastAsia"/>
                <w:color w:val="auto"/>
                <w:sz w:val="24"/>
                <w:szCs w:val="24"/>
                <w:highlight w:val="none"/>
                <w:u w:val="none" w:color="auto"/>
                <w:vertAlign w:val="subscript"/>
              </w:rPr>
              <w:t>1</w:t>
            </w:r>
            <w:r>
              <w:rPr>
                <w:rFonts w:hint="eastAsia"/>
                <w:color w:val="auto"/>
                <w:sz w:val="24"/>
                <w:szCs w:val="24"/>
                <w:highlight w:val="none"/>
                <w:u w:val="none" w:color="auto"/>
              </w:rPr>
              <w:t>+V</w:t>
            </w:r>
            <w:r>
              <w:rPr>
                <w:rFonts w:hint="eastAsia"/>
                <w:color w:val="auto"/>
                <w:sz w:val="24"/>
                <w:szCs w:val="24"/>
                <w:highlight w:val="none"/>
                <w:u w:val="none" w:color="auto"/>
                <w:vertAlign w:val="subscript"/>
              </w:rPr>
              <w:t>2</w:t>
            </w:r>
            <w:r>
              <w:rPr>
                <w:rFonts w:hint="eastAsia"/>
                <w:color w:val="auto"/>
                <w:sz w:val="24"/>
                <w:szCs w:val="24"/>
                <w:highlight w:val="none"/>
                <w:u w:val="none" w:color="auto"/>
              </w:rPr>
              <w:t>-V</w:t>
            </w:r>
            <w:r>
              <w:rPr>
                <w:rFonts w:hint="eastAsia"/>
                <w:color w:val="auto"/>
                <w:sz w:val="24"/>
                <w:szCs w:val="24"/>
                <w:highlight w:val="none"/>
                <w:u w:val="none" w:color="auto"/>
                <w:vertAlign w:val="subscript"/>
              </w:rPr>
              <w:t>3</w:t>
            </w:r>
            <w:r>
              <w:rPr>
                <w:rFonts w:hint="eastAsia"/>
                <w:color w:val="auto"/>
                <w:sz w:val="24"/>
                <w:szCs w:val="24"/>
                <w:highlight w:val="none"/>
                <w:u w:val="none" w:color="auto"/>
              </w:rPr>
              <w:t>）</w:t>
            </w:r>
            <w:r>
              <w:rPr>
                <w:rFonts w:hint="eastAsia"/>
                <w:color w:val="auto"/>
                <w:sz w:val="24"/>
                <w:szCs w:val="24"/>
                <w:highlight w:val="none"/>
                <w:u w:val="none" w:color="auto"/>
                <w:vertAlign w:val="subscript"/>
              </w:rPr>
              <w:t>max</w:t>
            </w:r>
            <w:r>
              <w:rPr>
                <w:rFonts w:hint="eastAsia"/>
                <w:color w:val="auto"/>
                <w:sz w:val="24"/>
                <w:szCs w:val="24"/>
                <w:highlight w:val="none"/>
                <w:u w:val="none" w:color="auto"/>
              </w:rPr>
              <w:t>+V</w:t>
            </w:r>
            <w:r>
              <w:rPr>
                <w:rFonts w:hint="eastAsia"/>
                <w:color w:val="auto"/>
                <w:sz w:val="24"/>
                <w:szCs w:val="24"/>
                <w:highlight w:val="none"/>
                <w:u w:val="none" w:color="auto"/>
                <w:vertAlign w:val="subscript"/>
              </w:rPr>
              <w:t>4</w:t>
            </w:r>
            <w:r>
              <w:rPr>
                <w:rFonts w:hint="eastAsia"/>
                <w:color w:val="auto"/>
                <w:sz w:val="24"/>
                <w:szCs w:val="24"/>
                <w:highlight w:val="none"/>
                <w:u w:val="none" w:color="auto"/>
              </w:rPr>
              <w:t>+V</w:t>
            </w:r>
            <w:r>
              <w:rPr>
                <w:rFonts w:hint="eastAsia"/>
                <w:color w:val="auto"/>
                <w:sz w:val="24"/>
                <w:szCs w:val="24"/>
                <w:highlight w:val="none"/>
                <w:u w:val="none" w:color="auto"/>
                <w:vertAlign w:val="subscript"/>
              </w:rPr>
              <w:t>5</w:t>
            </w:r>
            <w:r>
              <w:rPr>
                <w:rFonts w:hint="eastAsia"/>
                <w:color w:val="auto"/>
                <w:sz w:val="24"/>
                <w:szCs w:val="24"/>
                <w:highlight w:val="none"/>
                <w:lang w:val="en-US" w:eastAsia="zh-CN"/>
              </w:rPr>
              <w:t>=</w:t>
            </w:r>
            <w:r>
              <w:rPr>
                <w:rFonts w:hint="eastAsia"/>
                <w:color w:val="auto"/>
                <w:sz w:val="24"/>
                <w:szCs w:val="24"/>
                <w:highlight w:val="none"/>
                <w:u w:val="none" w:color="auto"/>
              </w:rPr>
              <w:t>（</w:t>
            </w:r>
            <w:r>
              <w:rPr>
                <w:rFonts w:hint="eastAsia"/>
                <w:color w:val="auto"/>
                <w:sz w:val="24"/>
                <w:szCs w:val="24"/>
                <w:highlight w:val="none"/>
                <w:u w:val="none" w:color="auto"/>
                <w:lang w:val="en-US" w:eastAsia="zh-CN"/>
              </w:rPr>
              <w:t>0.2</w:t>
            </w:r>
            <w:r>
              <w:rPr>
                <w:rFonts w:hint="eastAsia"/>
                <w:color w:val="auto"/>
                <w:sz w:val="24"/>
                <w:szCs w:val="24"/>
                <w:highlight w:val="none"/>
                <w:u w:val="none" w:color="auto"/>
              </w:rPr>
              <w:t>+</w:t>
            </w:r>
            <w:r>
              <w:rPr>
                <w:rFonts w:hint="eastAsia"/>
                <w:color w:val="auto"/>
                <w:sz w:val="24"/>
                <w:szCs w:val="24"/>
                <w:highlight w:val="none"/>
                <w:u w:val="none" w:color="auto"/>
                <w:lang w:val="en-US" w:eastAsia="zh-CN"/>
              </w:rPr>
              <w:t>72</w:t>
            </w:r>
            <w:r>
              <w:rPr>
                <w:rFonts w:hint="eastAsia"/>
                <w:color w:val="auto"/>
                <w:sz w:val="24"/>
                <w:szCs w:val="24"/>
                <w:highlight w:val="none"/>
                <w:u w:val="none" w:color="auto"/>
              </w:rPr>
              <w:t>-</w:t>
            </w:r>
            <w:r>
              <w:rPr>
                <w:rFonts w:hint="eastAsia"/>
                <w:color w:val="auto"/>
                <w:sz w:val="24"/>
                <w:szCs w:val="24"/>
                <w:highlight w:val="none"/>
                <w:u w:val="none" w:color="auto"/>
                <w:lang w:val="en-US" w:eastAsia="zh-CN"/>
              </w:rPr>
              <w:t>96</w:t>
            </w:r>
            <w:r>
              <w:rPr>
                <w:rFonts w:hint="eastAsia"/>
                <w:color w:val="auto"/>
                <w:sz w:val="24"/>
                <w:szCs w:val="24"/>
                <w:highlight w:val="none"/>
                <w:u w:val="none" w:color="auto"/>
              </w:rPr>
              <w:t>）</w:t>
            </w:r>
            <w:r>
              <w:rPr>
                <w:rFonts w:hint="eastAsia"/>
                <w:color w:val="auto"/>
                <w:sz w:val="24"/>
                <w:szCs w:val="24"/>
                <w:highlight w:val="none"/>
                <w:u w:val="none" w:color="auto"/>
                <w:vertAlign w:val="subscript"/>
              </w:rPr>
              <w:t>max</w:t>
            </w:r>
            <w:r>
              <w:rPr>
                <w:rFonts w:hint="eastAsia"/>
                <w:color w:val="auto"/>
                <w:sz w:val="24"/>
                <w:szCs w:val="24"/>
                <w:highlight w:val="none"/>
                <w:u w:val="none" w:color="auto"/>
              </w:rPr>
              <w:t>+</w:t>
            </w:r>
            <w:r>
              <w:rPr>
                <w:rFonts w:hint="eastAsia"/>
                <w:color w:val="auto"/>
                <w:sz w:val="24"/>
                <w:szCs w:val="24"/>
                <w:highlight w:val="none"/>
                <w:u w:val="none" w:color="auto"/>
                <w:lang w:val="en-US" w:eastAsia="zh-CN"/>
              </w:rPr>
              <w:t>0</w:t>
            </w:r>
            <w:r>
              <w:rPr>
                <w:rFonts w:hint="eastAsia"/>
                <w:color w:val="auto"/>
                <w:sz w:val="24"/>
                <w:szCs w:val="24"/>
                <w:highlight w:val="none"/>
                <w:u w:val="none" w:color="auto"/>
              </w:rPr>
              <w:t>+</w:t>
            </w:r>
            <w:r>
              <w:rPr>
                <w:rFonts w:hint="eastAsia"/>
                <w:color w:val="auto"/>
                <w:sz w:val="24"/>
                <w:szCs w:val="24"/>
                <w:highlight w:val="none"/>
                <w:u w:val="none" w:color="auto"/>
                <w:lang w:val="en-US" w:eastAsia="zh-CN"/>
              </w:rPr>
              <w:t>34.29=</w:t>
            </w:r>
            <w:r>
              <w:rPr>
                <w:rFonts w:hint="eastAsia"/>
                <w:color w:val="auto"/>
                <w:sz w:val="24"/>
                <w:szCs w:val="24"/>
                <w:highlight w:val="none"/>
                <w:lang w:val="en-US" w:eastAsia="zh-CN"/>
              </w:rPr>
              <w:t>10.49m</w:t>
            </w:r>
            <w:r>
              <w:rPr>
                <w:rFonts w:hint="eastAsia"/>
                <w:color w:val="auto"/>
                <w:sz w:val="24"/>
                <w:szCs w:val="24"/>
                <w:highlight w:val="none"/>
                <w:vertAlign w:val="superscript"/>
                <w:lang w:val="en-US" w:eastAsia="zh-CN"/>
              </w:rPr>
              <w:t>3</w:t>
            </w:r>
            <w:r>
              <w:rPr>
                <w:rFonts w:hint="eastAsia"/>
                <w:color w:val="auto"/>
                <w:sz w:val="24"/>
                <w:szCs w:val="24"/>
                <w:highlight w:val="none"/>
                <w:u w:val="none" w:color="auto"/>
              </w:rPr>
              <w:t>。</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textAlignment w:val="auto"/>
              <w:rPr>
                <w:rFonts w:hint="eastAsia" w:ascii="Times New Roman" w:hAnsi="Times New Roman" w:cs="Times New Roman"/>
                <w:b w:val="0"/>
                <w:bCs/>
                <w:kern w:val="0"/>
                <w:sz w:val="24"/>
                <w:szCs w:val="24"/>
                <w:lang w:eastAsia="zh-CN"/>
              </w:rPr>
            </w:pPr>
            <w:r>
              <w:rPr>
                <w:rFonts w:hint="eastAsia" w:ascii="Times New Roman" w:hAnsi="Times New Roman" w:cs="Times New Roman"/>
                <w:b w:val="0"/>
                <w:bCs/>
                <w:kern w:val="0"/>
                <w:sz w:val="24"/>
                <w:szCs w:val="24"/>
                <w:lang w:eastAsia="zh-CN"/>
              </w:rPr>
              <w:t>计算结果表明，</w:t>
            </w:r>
            <w:r>
              <w:rPr>
                <w:rFonts w:hint="eastAsia" w:ascii="Times New Roman" w:hAnsi="Times New Roman" w:cs="Times New Roman"/>
                <w:b w:val="0"/>
                <w:bCs/>
                <w:kern w:val="0"/>
                <w:sz w:val="24"/>
                <w:szCs w:val="24"/>
                <w:lang w:val="en-US" w:eastAsia="zh-CN"/>
              </w:rPr>
              <w:t>在可以利用</w:t>
            </w:r>
            <w:r>
              <w:rPr>
                <w:rFonts w:hint="eastAsia" w:cs="宋体"/>
                <w:color w:val="auto"/>
                <w:sz w:val="24"/>
                <w:szCs w:val="24"/>
                <w:u w:val="none"/>
                <w:lang w:val="en-US" w:bidi="zh-CN"/>
              </w:rPr>
              <w:t>初期雨水收集池（容积180m</w:t>
            </w:r>
            <w:r>
              <w:rPr>
                <w:rFonts w:hint="eastAsia" w:cs="宋体"/>
                <w:color w:val="auto"/>
                <w:sz w:val="24"/>
                <w:szCs w:val="24"/>
                <w:u w:val="none"/>
                <w:vertAlign w:val="superscript"/>
                <w:lang w:val="en-US" w:bidi="zh-CN"/>
              </w:rPr>
              <w:t>3</w:t>
            </w:r>
            <w:r>
              <w:rPr>
                <w:rFonts w:hint="eastAsia" w:cs="宋体"/>
                <w:color w:val="auto"/>
                <w:sz w:val="24"/>
                <w:szCs w:val="24"/>
                <w:u w:val="none"/>
                <w:lang w:val="en-US" w:bidi="zh-CN"/>
              </w:rPr>
              <w:t>）</w:t>
            </w:r>
            <w:r>
              <w:rPr>
                <w:rFonts w:hint="eastAsia" w:ascii="Times New Roman" w:hAnsi="Times New Roman" w:cs="Times New Roman"/>
                <w:b w:val="0"/>
                <w:bCs/>
                <w:kern w:val="0"/>
                <w:sz w:val="24"/>
                <w:szCs w:val="24"/>
                <w:lang w:val="en-US" w:eastAsia="zh-CN"/>
              </w:rPr>
              <w:t>作为消防废水应急收集设施的前提下，</w:t>
            </w:r>
            <w:r>
              <w:rPr>
                <w:rFonts w:hint="eastAsia" w:ascii="Times New Roman" w:hAnsi="Times New Roman" w:cs="Times New Roman"/>
                <w:b w:val="0"/>
                <w:bCs/>
                <w:kern w:val="0"/>
                <w:sz w:val="24"/>
                <w:szCs w:val="24"/>
                <w:lang w:eastAsia="zh-CN"/>
              </w:rPr>
              <w:t>建设单位需设置事故应急池的最小有效容积为</w:t>
            </w:r>
            <w:r>
              <w:rPr>
                <w:rFonts w:hint="eastAsia" w:cs="Times New Roman"/>
                <w:b w:val="0"/>
                <w:bCs/>
                <w:kern w:val="0"/>
                <w:sz w:val="24"/>
                <w:szCs w:val="24"/>
                <w:lang w:val="en-US" w:eastAsia="zh-CN"/>
              </w:rPr>
              <w:t>10.49</w:t>
            </w:r>
            <w:r>
              <w:rPr>
                <w:rFonts w:hint="eastAsia" w:ascii="Times New Roman" w:hAnsi="Times New Roman" w:cs="Times New Roman"/>
                <w:b w:val="0"/>
                <w:bCs/>
                <w:kern w:val="0"/>
                <w:sz w:val="24"/>
                <w:szCs w:val="24"/>
                <w:lang w:eastAsia="zh-CN"/>
              </w:rPr>
              <w:t>m</w:t>
            </w:r>
            <w:r>
              <w:rPr>
                <w:rFonts w:hint="eastAsia" w:ascii="Times New Roman" w:hAnsi="Times New Roman" w:cs="Times New Roman"/>
                <w:b w:val="0"/>
                <w:bCs/>
                <w:kern w:val="0"/>
                <w:sz w:val="24"/>
                <w:szCs w:val="24"/>
                <w:vertAlign w:val="superscript"/>
                <w:lang w:eastAsia="zh-CN"/>
              </w:rPr>
              <w:t>3</w:t>
            </w:r>
            <w:r>
              <w:rPr>
                <w:rFonts w:hint="eastAsia" w:ascii="Times New Roman" w:hAnsi="Times New Roman" w:cs="Times New Roman"/>
                <w:b w:val="0"/>
                <w:bCs/>
                <w:kern w:val="0"/>
                <w:sz w:val="24"/>
                <w:szCs w:val="24"/>
                <w:lang w:eastAsia="zh-CN"/>
              </w:rPr>
              <w:t>，建设单位拟</w:t>
            </w:r>
            <w:r>
              <w:rPr>
                <w:rFonts w:hint="eastAsia" w:ascii="Times New Roman" w:hAnsi="Times New Roman" w:cs="Times New Roman"/>
                <w:b w:val="0"/>
                <w:bCs/>
                <w:kern w:val="0"/>
                <w:sz w:val="24"/>
                <w:szCs w:val="24"/>
                <w:lang w:val="en-US" w:eastAsia="zh-CN"/>
              </w:rPr>
              <w:t>在污水处理站</w:t>
            </w:r>
            <w:r>
              <w:rPr>
                <w:rFonts w:hint="eastAsia" w:ascii="Times New Roman" w:hAnsi="Times New Roman" w:cs="Times New Roman"/>
                <w:b w:val="0"/>
                <w:bCs/>
                <w:kern w:val="0"/>
                <w:sz w:val="24"/>
                <w:szCs w:val="24"/>
                <w:lang w:eastAsia="zh-CN"/>
              </w:rPr>
              <w:t>建设一座事故应急池，容积为</w:t>
            </w:r>
            <w:r>
              <w:rPr>
                <w:rFonts w:hint="eastAsia" w:cs="Times New Roman"/>
                <w:b w:val="0"/>
                <w:bCs/>
                <w:kern w:val="0"/>
                <w:sz w:val="24"/>
                <w:szCs w:val="24"/>
                <w:lang w:val="en-US" w:eastAsia="zh-CN"/>
              </w:rPr>
              <w:t>24</w:t>
            </w:r>
            <w:r>
              <w:rPr>
                <w:rFonts w:hint="eastAsia" w:ascii="Times New Roman" w:hAnsi="Times New Roman" w:cs="Times New Roman"/>
                <w:b w:val="0"/>
                <w:bCs/>
                <w:kern w:val="0"/>
                <w:sz w:val="24"/>
                <w:szCs w:val="24"/>
                <w:lang w:eastAsia="zh-CN"/>
              </w:rPr>
              <w:t>m³，足以容纳事故废水，</w:t>
            </w:r>
            <w:r>
              <w:rPr>
                <w:rFonts w:hint="eastAsia" w:ascii="Times New Roman" w:hAnsi="Times New Roman" w:cs="Times New Roman"/>
                <w:b w:val="0"/>
                <w:bCs/>
                <w:kern w:val="0"/>
                <w:sz w:val="24"/>
                <w:szCs w:val="24"/>
                <w:lang w:val="en-US" w:eastAsia="zh-CN"/>
              </w:rPr>
              <w:t>可以</w:t>
            </w:r>
            <w:r>
              <w:rPr>
                <w:rFonts w:hint="eastAsia" w:ascii="Times New Roman" w:hAnsi="Times New Roman" w:cs="Times New Roman"/>
                <w:b w:val="0"/>
                <w:bCs/>
                <w:kern w:val="0"/>
                <w:sz w:val="24"/>
                <w:szCs w:val="24"/>
                <w:lang w:eastAsia="zh-CN"/>
              </w:rPr>
              <w:t>防止事故废水外排。</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textAlignment w:val="auto"/>
              <w:rPr>
                <w:rFonts w:hint="eastAsia" w:ascii="Times New Roman" w:hAnsi="Times New Roman" w:eastAsia="宋体" w:cs="Times New Roman"/>
                <w:color w:val="auto"/>
                <w:sz w:val="24"/>
                <w:szCs w:val="24"/>
                <w:u w:val="none"/>
                <w:lang w:val="en-US" w:eastAsia="zh-CN"/>
              </w:rPr>
            </w:pPr>
            <w:r>
              <w:rPr>
                <w:rFonts w:hint="eastAsia" w:ascii="Times New Roman" w:hAnsi="Times New Roman" w:cs="Times New Roman"/>
                <w:b w:val="0"/>
                <w:bCs/>
                <w:kern w:val="0"/>
                <w:sz w:val="24"/>
                <w:szCs w:val="24"/>
                <w:lang w:val="en-US" w:eastAsia="zh-CN"/>
              </w:rPr>
              <w:t>建议建设单位准备沙袋等封堵物资，必要时可以在厂房门口构建0.1m高漫坡，利用厂房和漫堤收集事故状态下消防废水，进一步确保</w:t>
            </w:r>
            <w:r>
              <w:rPr>
                <w:rFonts w:hint="eastAsia" w:ascii="Times New Roman" w:hAnsi="Times New Roman" w:eastAsia="宋体" w:cs="Times New Roman"/>
                <w:color w:val="auto"/>
                <w:sz w:val="24"/>
                <w:szCs w:val="24"/>
                <w:u w:val="none"/>
                <w:lang w:val="en-US" w:eastAsia="zh-CN"/>
              </w:rPr>
              <w:t>事故废水可控制在厂区内，</w:t>
            </w:r>
            <w:r>
              <w:rPr>
                <w:rFonts w:hint="default" w:ascii="Times New Roman" w:hAnsi="Times New Roman" w:eastAsia="宋体" w:cs="Times New Roman"/>
                <w:color w:val="auto"/>
                <w:sz w:val="24"/>
                <w:szCs w:val="24"/>
                <w:u w:val="none"/>
              </w:rPr>
              <w:t>不会</w:t>
            </w:r>
            <w:r>
              <w:rPr>
                <w:rFonts w:hint="eastAsia" w:ascii="Times New Roman" w:hAnsi="Times New Roman" w:eastAsia="宋体" w:cs="Times New Roman"/>
                <w:color w:val="auto"/>
                <w:sz w:val="24"/>
                <w:szCs w:val="24"/>
                <w:u w:val="none"/>
                <w:lang w:val="en-US" w:eastAsia="zh-CN"/>
              </w:rPr>
              <w:t>对周边地表水体造成影响。</w:t>
            </w:r>
          </w:p>
          <w:p>
            <w:pPr>
              <w:pageBreakBefore w:val="0"/>
              <w:kinsoku/>
              <w:overflowPunct/>
              <w:bidi w:val="0"/>
              <w:ind w:firstLine="480" w:firstLineChars="200"/>
              <w:rPr>
                <w:rFonts w:hint="eastAsia" w:ascii="Times New Roman" w:hAnsi="Times New Roman" w:eastAsia="宋体"/>
                <w:color w:val="auto"/>
                <w:sz w:val="24"/>
                <w:szCs w:val="24"/>
                <w:u w:val="none" w:color="auto"/>
              </w:rPr>
            </w:pPr>
            <w:r>
              <w:rPr>
                <w:rFonts w:hint="eastAsia" w:ascii="Times New Roman" w:hAnsi="Times New Roman" w:eastAsia="宋体"/>
                <w:color w:val="auto"/>
                <w:sz w:val="24"/>
                <w:szCs w:val="24"/>
                <w:u w:val="none" w:color="auto"/>
              </w:rPr>
              <w:t>（</w:t>
            </w:r>
            <w:r>
              <w:rPr>
                <w:rFonts w:hint="eastAsia"/>
                <w:color w:val="auto"/>
                <w:sz w:val="24"/>
                <w:szCs w:val="24"/>
                <w:u w:val="none" w:color="auto"/>
                <w:lang w:val="en-US" w:eastAsia="zh-CN"/>
              </w:rPr>
              <w:t>2</w:t>
            </w:r>
            <w:r>
              <w:rPr>
                <w:rFonts w:hint="eastAsia" w:ascii="Times New Roman" w:hAnsi="Times New Roman" w:eastAsia="宋体"/>
                <w:color w:val="auto"/>
                <w:sz w:val="24"/>
                <w:szCs w:val="24"/>
                <w:u w:val="none" w:color="auto"/>
              </w:rPr>
              <w:t>）危险废物储存运输过程中风险防范措施</w:t>
            </w:r>
          </w:p>
          <w:p>
            <w:pPr>
              <w:pageBreakBefore w:val="0"/>
              <w:kinsoku/>
              <w:overflowPunct/>
              <w:bidi w:val="0"/>
              <w:ind w:firstLine="480" w:firstLineChars="200"/>
              <w:rPr>
                <w:rFonts w:hint="eastAsia" w:ascii="Times New Roman" w:hAnsi="Times New Roman" w:eastAsia="宋体"/>
                <w:color w:val="auto"/>
                <w:sz w:val="24"/>
                <w:szCs w:val="24"/>
                <w:u w:val="none" w:color="auto"/>
              </w:rPr>
            </w:pPr>
            <w:r>
              <w:rPr>
                <w:rFonts w:hint="eastAsia" w:ascii="Times New Roman" w:hAnsi="Times New Roman" w:eastAsia="宋体"/>
                <w:color w:val="auto"/>
                <w:sz w:val="24"/>
                <w:szCs w:val="24"/>
                <w:u w:val="none" w:color="auto"/>
              </w:rPr>
              <w:t>贮存要求：</w:t>
            </w:r>
          </w:p>
          <w:p>
            <w:pPr>
              <w:pageBreakBefore w:val="0"/>
              <w:kinsoku/>
              <w:overflowPunct/>
              <w:bidi w:val="0"/>
              <w:ind w:firstLine="480" w:firstLineChars="200"/>
              <w:rPr>
                <w:rFonts w:hint="eastAsia" w:ascii="Times New Roman" w:hAnsi="Times New Roman" w:eastAsia="宋体"/>
                <w:color w:val="auto"/>
                <w:sz w:val="24"/>
                <w:szCs w:val="24"/>
                <w:u w:val="none" w:color="auto"/>
              </w:rPr>
            </w:pPr>
            <w:r>
              <w:rPr>
                <w:rFonts w:hint="eastAsia" w:ascii="Times New Roman" w:hAnsi="Times New Roman" w:eastAsia="宋体"/>
                <w:color w:val="auto"/>
                <w:sz w:val="24"/>
                <w:szCs w:val="24"/>
                <w:u w:val="none" w:color="auto"/>
              </w:rPr>
              <w:t>①危险废物暂存间门口需张贴标注规范的危险废物标识和信息板，屋内张贴《危险废物管理制度》；</w:t>
            </w:r>
          </w:p>
          <w:p>
            <w:pPr>
              <w:pageBreakBefore w:val="0"/>
              <w:kinsoku/>
              <w:overflowPunct/>
              <w:bidi w:val="0"/>
              <w:ind w:firstLine="480" w:firstLineChars="200"/>
              <w:rPr>
                <w:rFonts w:hint="eastAsia" w:ascii="Times New Roman" w:hAnsi="Times New Roman" w:eastAsia="宋体"/>
                <w:color w:val="auto"/>
                <w:sz w:val="24"/>
                <w:szCs w:val="24"/>
                <w:u w:val="none" w:color="auto"/>
              </w:rPr>
            </w:pPr>
            <w:r>
              <w:rPr>
                <w:rFonts w:hint="eastAsia" w:ascii="Times New Roman" w:hAnsi="Times New Roman" w:eastAsia="宋体"/>
                <w:color w:val="auto"/>
                <w:sz w:val="24"/>
                <w:szCs w:val="24"/>
                <w:u w:val="none" w:color="auto"/>
              </w:rPr>
              <w:t>②不同的危险废物应有明显的区域划分，液态危险废物需盛装在完好的容器内，并将容器防治在防泄漏托盘内，并在容器粘贴危险废物信息标签；固态危险废物需包装完好无破损，并系挂危险废物信息标签。</w:t>
            </w:r>
          </w:p>
          <w:p>
            <w:pPr>
              <w:pageBreakBefore w:val="0"/>
              <w:kinsoku/>
              <w:overflowPunct/>
              <w:bidi w:val="0"/>
              <w:ind w:firstLine="480" w:firstLineChars="200"/>
              <w:rPr>
                <w:rFonts w:hint="eastAsia" w:ascii="Times New Roman" w:hAnsi="Times New Roman" w:eastAsia="宋体"/>
                <w:color w:val="auto"/>
                <w:sz w:val="24"/>
                <w:szCs w:val="24"/>
                <w:u w:val="none" w:color="auto"/>
              </w:rPr>
            </w:pPr>
            <w:r>
              <w:rPr>
                <w:rFonts w:hint="eastAsia" w:ascii="Times New Roman" w:hAnsi="Times New Roman" w:eastAsia="宋体"/>
                <w:color w:val="auto"/>
                <w:sz w:val="24"/>
                <w:szCs w:val="24"/>
                <w:u w:val="none" w:color="auto"/>
              </w:rPr>
              <w:t>③需按危险废物转移三联单的要求做好危险废物台账，危险废物暂存间内禁止存放陈危险废物及应急工具以外的其他物品。产生的危险废物应每个月都进行转移处理。危险废物的储存、处置过程中必须严格执行国家《危险废物贮存污染控制标准》(GB18597-2001)及《危险化学品安全管理条例》的有关规定。</w:t>
            </w:r>
          </w:p>
          <w:p>
            <w:pPr>
              <w:pageBreakBefore w:val="0"/>
              <w:kinsoku/>
              <w:overflowPunct/>
              <w:bidi w:val="0"/>
              <w:ind w:firstLine="480" w:firstLineChars="200"/>
              <w:rPr>
                <w:rFonts w:hint="eastAsia" w:ascii="Times New Roman" w:hAnsi="Times New Roman" w:eastAsia="宋体"/>
                <w:color w:val="auto"/>
                <w:sz w:val="24"/>
                <w:szCs w:val="24"/>
                <w:u w:val="none" w:color="auto"/>
              </w:rPr>
            </w:pPr>
            <w:r>
              <w:rPr>
                <w:rFonts w:hint="eastAsia" w:ascii="Times New Roman" w:hAnsi="Times New Roman" w:eastAsia="宋体"/>
                <w:color w:val="auto"/>
                <w:sz w:val="24"/>
                <w:szCs w:val="24"/>
                <w:u w:val="none" w:color="auto"/>
              </w:rPr>
              <w:t>泄漏措施：</w:t>
            </w:r>
          </w:p>
          <w:p>
            <w:pPr>
              <w:pageBreakBefore w:val="0"/>
              <w:kinsoku/>
              <w:overflowPunct/>
              <w:bidi w:val="0"/>
              <w:ind w:firstLine="480" w:firstLineChars="200"/>
              <w:rPr>
                <w:rFonts w:hint="eastAsia" w:ascii="Times New Roman" w:hAnsi="Times New Roman" w:eastAsia="宋体"/>
                <w:color w:val="auto"/>
                <w:sz w:val="24"/>
                <w:szCs w:val="24"/>
                <w:u w:val="none" w:color="auto"/>
              </w:rPr>
            </w:pPr>
            <w:r>
              <w:rPr>
                <w:rFonts w:hint="eastAsia" w:ascii="Times New Roman" w:hAnsi="Times New Roman" w:eastAsia="宋体"/>
                <w:color w:val="auto"/>
                <w:sz w:val="24"/>
                <w:szCs w:val="24"/>
                <w:u w:val="none" w:color="auto"/>
              </w:rPr>
              <w:t>①一旦发生泄漏，首先要疏散无关人员，隔离泄漏污染区，如果是小量的泄漏，且物料不具有危险性，同时能为该工作区的人员所控制时，则由该工作区的人员佩戴使用相应的个人防护用品,参照危险化学品安全技术说明书及标签上的安全信息采取控制措施;如果泄漏易燃品，则必须立即消除泄漏污染区域内的各种火源。</w:t>
            </w:r>
          </w:p>
          <w:p>
            <w:pPr>
              <w:pageBreakBefore w:val="0"/>
              <w:kinsoku/>
              <w:overflowPunct/>
              <w:bidi w:val="0"/>
              <w:ind w:firstLine="480" w:firstLineChars="200"/>
              <w:rPr>
                <w:rFonts w:hint="eastAsia" w:ascii="Times New Roman" w:hAnsi="Times New Roman" w:eastAsia="宋体"/>
                <w:color w:val="auto"/>
                <w:sz w:val="24"/>
                <w:szCs w:val="24"/>
                <w:u w:val="none" w:color="auto"/>
              </w:rPr>
            </w:pPr>
            <w:r>
              <w:rPr>
                <w:rFonts w:hint="eastAsia" w:ascii="Times New Roman" w:hAnsi="Times New Roman" w:eastAsia="宋体"/>
                <w:color w:val="auto"/>
                <w:sz w:val="24"/>
                <w:szCs w:val="24"/>
                <w:u w:val="none" w:color="auto"/>
              </w:rPr>
              <w:t>②容器发生泄漏，应根据实际情况，采取措施堵塞和修补裂口，制止进一步泄漏，或转换容器（利用包装空桶闲置储缸）。</w:t>
            </w:r>
          </w:p>
          <w:p>
            <w:pPr>
              <w:pageBreakBefore w:val="0"/>
              <w:kinsoku/>
              <w:overflowPunct/>
              <w:bidi w:val="0"/>
              <w:ind w:firstLine="480" w:firstLineChars="200"/>
              <w:rPr>
                <w:rFonts w:hint="eastAsia" w:ascii="Times New Roman" w:hAnsi="Times New Roman" w:eastAsia="宋体"/>
                <w:color w:val="auto"/>
                <w:sz w:val="24"/>
                <w:szCs w:val="24"/>
                <w:u w:val="none" w:color="auto"/>
              </w:rPr>
            </w:pPr>
            <w:r>
              <w:rPr>
                <w:rFonts w:hint="eastAsia" w:ascii="Times New Roman" w:hAnsi="Times New Roman" w:eastAsia="宋体"/>
                <w:color w:val="auto"/>
                <w:sz w:val="24"/>
                <w:szCs w:val="24"/>
                <w:u w:val="none" w:color="auto"/>
              </w:rPr>
              <w:t>③拆解区以及危险品仓库四周均设置导流槽，将泄漏物质导流入应急池，得以有效的处理，避免危险有毒物质流入外界造成环境污染。</w:t>
            </w:r>
          </w:p>
          <w:p>
            <w:pPr>
              <w:pageBreakBefore w:val="0"/>
              <w:kinsoku/>
              <w:overflowPunct/>
              <w:bidi w:val="0"/>
              <w:ind w:firstLine="480" w:firstLineChars="200"/>
              <w:rPr>
                <w:rFonts w:hint="eastAsia" w:ascii="Times New Roman" w:hAnsi="Times New Roman" w:eastAsia="宋体"/>
                <w:color w:val="auto"/>
                <w:sz w:val="24"/>
                <w:szCs w:val="24"/>
                <w:u w:val="none" w:color="auto"/>
                <w:lang w:eastAsia="zh-CN"/>
              </w:rPr>
            </w:pPr>
            <w:r>
              <w:rPr>
                <w:rFonts w:hint="eastAsia" w:ascii="Times New Roman" w:hAnsi="Times New Roman" w:eastAsia="宋体"/>
                <w:color w:val="auto"/>
                <w:sz w:val="24"/>
                <w:szCs w:val="24"/>
                <w:u w:val="none" w:color="auto"/>
              </w:rPr>
              <w:t>④对于发生泄漏引起火灾等事故应把消防产生的废水收集在应急池中，灭火处理完毕后将该废水送至有资质的公司处理，严禁泄漏到环境中去，造成环境风险事故</w:t>
            </w:r>
            <w:r>
              <w:rPr>
                <w:rFonts w:hint="eastAsia" w:ascii="Times New Roman" w:hAnsi="Times New Roman" w:eastAsia="宋体"/>
                <w:color w:val="auto"/>
                <w:sz w:val="24"/>
                <w:szCs w:val="24"/>
                <w:u w:val="none" w:color="auto"/>
                <w:lang w:eastAsia="zh-CN"/>
              </w:rPr>
              <w:t>。</w:t>
            </w:r>
          </w:p>
          <w:p>
            <w:pPr>
              <w:pageBreakBefore w:val="0"/>
              <w:kinsoku/>
              <w:overflowPunct/>
              <w:bidi w:val="0"/>
              <w:ind w:firstLine="480" w:firstLineChars="200"/>
              <w:rPr>
                <w:rFonts w:hint="eastAsia" w:ascii="Times New Roman" w:hAnsi="Times New Roman" w:eastAsia="宋体"/>
                <w:color w:val="auto"/>
                <w:sz w:val="24"/>
                <w:szCs w:val="24"/>
                <w:u w:val="none" w:color="auto"/>
              </w:rPr>
            </w:pPr>
            <w:r>
              <w:rPr>
                <w:rFonts w:hint="eastAsia" w:ascii="Times New Roman" w:hAnsi="Times New Roman" w:eastAsia="宋体"/>
                <w:color w:val="auto"/>
                <w:sz w:val="24"/>
                <w:szCs w:val="24"/>
                <w:u w:val="none" w:color="auto"/>
              </w:rPr>
              <w:t>⑤当拆解过程中发生单个蓄电池破损、电解液泄漏，及时用收集容器对泄漏液体进行收集、密封保存，少量滴落的电解液采用石灰等吸附材料覆盖，吸附材料收集后作为危废交由有资质的单位处置。当处理储存箱内泄漏电解液，需将破损的和完好的电池取出、分开隔离贮存，箱内电解液采用专用收集容器收集、密封保存。处理事故的工作人员在进行清理工作时须穿戴防护服、防腐蚀手套、口罩等防护用品，避免在操作中受到伤害。</w:t>
            </w:r>
          </w:p>
          <w:p>
            <w:pPr>
              <w:pageBreakBefore w:val="0"/>
              <w:kinsoku/>
              <w:overflowPunct/>
              <w:bidi w:val="0"/>
              <w:ind w:firstLine="480" w:firstLineChars="200"/>
              <w:rPr>
                <w:rFonts w:hint="eastAsia" w:ascii="Times New Roman" w:hAnsi="Times New Roman" w:eastAsia="宋体"/>
                <w:color w:val="auto"/>
                <w:sz w:val="24"/>
                <w:szCs w:val="24"/>
                <w:u w:val="none" w:color="auto"/>
              </w:rPr>
            </w:pPr>
            <w:r>
              <w:rPr>
                <w:rFonts w:hint="eastAsia" w:ascii="Times New Roman" w:hAnsi="Times New Roman" w:eastAsia="宋体"/>
                <w:color w:val="auto"/>
                <w:sz w:val="24"/>
                <w:szCs w:val="24"/>
                <w:u w:val="none" w:color="auto"/>
              </w:rPr>
              <w:t>（</w:t>
            </w:r>
            <w:r>
              <w:rPr>
                <w:rFonts w:hint="eastAsia"/>
                <w:color w:val="auto"/>
                <w:sz w:val="24"/>
                <w:szCs w:val="24"/>
                <w:u w:val="none" w:color="auto"/>
                <w:lang w:val="en-US" w:eastAsia="zh-CN"/>
              </w:rPr>
              <w:t>3</w:t>
            </w:r>
            <w:r>
              <w:rPr>
                <w:rFonts w:hint="eastAsia" w:ascii="Times New Roman" w:hAnsi="Times New Roman" w:eastAsia="宋体"/>
                <w:color w:val="auto"/>
                <w:sz w:val="24"/>
                <w:szCs w:val="24"/>
                <w:u w:val="none" w:color="auto"/>
              </w:rPr>
              <w:t>）消防及火灾报警系统</w:t>
            </w:r>
          </w:p>
          <w:p>
            <w:pPr>
              <w:pageBreakBefore w:val="0"/>
              <w:kinsoku/>
              <w:overflowPunct/>
              <w:bidi w:val="0"/>
              <w:ind w:firstLine="480" w:firstLineChars="200"/>
              <w:rPr>
                <w:rFonts w:hint="eastAsia" w:ascii="Times New Roman" w:hAnsi="Times New Roman" w:eastAsia="宋体"/>
                <w:color w:val="auto"/>
                <w:sz w:val="24"/>
                <w:szCs w:val="24"/>
                <w:u w:val="none" w:color="auto"/>
              </w:rPr>
            </w:pPr>
            <w:r>
              <w:rPr>
                <w:rFonts w:hint="eastAsia" w:ascii="Times New Roman" w:hAnsi="Times New Roman" w:eastAsia="宋体"/>
                <w:color w:val="auto"/>
                <w:sz w:val="24"/>
                <w:szCs w:val="24"/>
                <w:u w:val="none" w:color="auto"/>
              </w:rPr>
              <w:t>①拆解车间内严禁明火，严禁在未排空废油液的情况下进行油箱拆解。</w:t>
            </w:r>
          </w:p>
          <w:p>
            <w:pPr>
              <w:pageBreakBefore w:val="0"/>
              <w:kinsoku/>
              <w:overflowPunct/>
              <w:bidi w:val="0"/>
              <w:ind w:firstLine="480" w:firstLineChars="200"/>
              <w:rPr>
                <w:rFonts w:hint="eastAsia" w:ascii="Times New Roman" w:hAnsi="Times New Roman" w:eastAsia="宋体"/>
                <w:color w:val="auto"/>
                <w:sz w:val="24"/>
                <w:szCs w:val="24"/>
                <w:u w:val="none" w:color="auto"/>
              </w:rPr>
            </w:pPr>
            <w:r>
              <w:rPr>
                <w:rFonts w:hint="eastAsia" w:ascii="Times New Roman" w:hAnsi="Times New Roman" w:eastAsia="宋体"/>
                <w:color w:val="auto"/>
                <w:sz w:val="24"/>
                <w:szCs w:val="24"/>
                <w:u w:val="none" w:color="auto"/>
              </w:rPr>
              <w:t>②厂内配备满足GB 50016规定的消防设施设备（灭火器、消火栓、消防沙等），设置消防</w:t>
            </w:r>
            <w:r>
              <w:rPr>
                <w:rFonts w:hint="eastAsia"/>
                <w:color w:val="auto"/>
                <w:sz w:val="24"/>
                <w:szCs w:val="24"/>
                <w:u w:val="none" w:color="auto"/>
                <w:lang w:val="en-US" w:eastAsia="zh-CN"/>
              </w:rPr>
              <w:t>水</w:t>
            </w:r>
            <w:r>
              <w:rPr>
                <w:rFonts w:hint="eastAsia" w:ascii="Times New Roman" w:hAnsi="Times New Roman" w:eastAsia="宋体"/>
                <w:color w:val="auto"/>
                <w:sz w:val="24"/>
                <w:szCs w:val="24"/>
                <w:u w:val="none" w:color="auto"/>
              </w:rPr>
              <w:t>池（</w:t>
            </w:r>
            <w:r>
              <w:rPr>
                <w:rFonts w:hint="eastAsia"/>
                <w:color w:val="auto"/>
                <w:sz w:val="24"/>
                <w:szCs w:val="24"/>
                <w:u w:val="none" w:color="auto"/>
                <w:lang w:val="en-US" w:eastAsia="zh-CN"/>
              </w:rPr>
              <w:t>6</w:t>
            </w:r>
            <w:r>
              <w:rPr>
                <w:rFonts w:hint="eastAsia" w:ascii="Times New Roman" w:hAnsi="Times New Roman" w:eastAsia="宋体"/>
                <w:color w:val="auto"/>
                <w:sz w:val="24"/>
                <w:szCs w:val="24"/>
                <w:u w:val="none" w:color="auto"/>
              </w:rPr>
              <w:t>0m</w:t>
            </w:r>
            <w:r>
              <w:rPr>
                <w:rFonts w:hint="eastAsia" w:ascii="Times New Roman" w:hAnsi="Times New Roman" w:eastAsia="宋体"/>
                <w:color w:val="auto"/>
                <w:sz w:val="24"/>
                <w:szCs w:val="24"/>
                <w:u w:val="none" w:color="auto"/>
                <w:vertAlign w:val="superscript"/>
              </w:rPr>
              <w:t>3</w:t>
            </w:r>
            <w:r>
              <w:rPr>
                <w:rFonts w:hint="eastAsia" w:ascii="Times New Roman" w:hAnsi="Times New Roman" w:eastAsia="宋体"/>
                <w:color w:val="auto"/>
                <w:sz w:val="24"/>
                <w:szCs w:val="24"/>
                <w:u w:val="none" w:color="auto"/>
              </w:rPr>
              <w:t>），每年对灭火器材、设施进行检查，如有损坏或压力不足应及时维修更新。检测内容、时间、人员应有记录保存。安全检测应根据设备的安全性、危险性设定检测频次。在消防器材、设施放置处，安排相应的管理者负责。</w:t>
            </w:r>
          </w:p>
          <w:p>
            <w:pPr>
              <w:pageBreakBefore w:val="0"/>
              <w:kinsoku/>
              <w:overflowPunct/>
              <w:bidi w:val="0"/>
              <w:ind w:firstLine="480" w:firstLineChars="200"/>
              <w:rPr>
                <w:rFonts w:hint="eastAsia" w:ascii="Times New Roman" w:hAnsi="Times New Roman" w:eastAsia="宋体"/>
                <w:color w:val="auto"/>
                <w:sz w:val="24"/>
                <w:szCs w:val="24"/>
                <w:u w:val="none" w:color="auto"/>
              </w:rPr>
            </w:pPr>
            <w:r>
              <w:rPr>
                <w:rFonts w:hint="eastAsia" w:ascii="Times New Roman" w:hAnsi="Times New Roman" w:eastAsia="宋体"/>
                <w:color w:val="auto"/>
                <w:sz w:val="24"/>
                <w:szCs w:val="24"/>
                <w:u w:val="none" w:color="auto"/>
              </w:rPr>
              <w:t>③保持消防器材的完整齐备，严禁将消防器材挪做它用，特殊情况必须经相关管理部门的同意。</w:t>
            </w:r>
          </w:p>
          <w:p>
            <w:pPr>
              <w:pageBreakBefore w:val="0"/>
              <w:kinsoku/>
              <w:overflowPunct/>
              <w:bidi w:val="0"/>
              <w:ind w:firstLine="480" w:firstLineChars="200"/>
              <w:rPr>
                <w:rFonts w:hint="eastAsia" w:ascii="Times New Roman" w:hAnsi="Times New Roman" w:eastAsia="宋体"/>
                <w:color w:val="auto"/>
                <w:sz w:val="24"/>
                <w:szCs w:val="24"/>
                <w:u w:val="none" w:color="auto"/>
                <w:lang w:eastAsia="zh-CN"/>
              </w:rPr>
            </w:pPr>
            <w:r>
              <w:rPr>
                <w:rFonts w:hint="eastAsia"/>
                <w:color w:val="auto"/>
                <w:sz w:val="24"/>
                <w:szCs w:val="24"/>
                <w:u w:val="none" w:color="auto"/>
                <w:lang w:eastAsia="zh-CN"/>
              </w:rPr>
              <w:t>（</w:t>
            </w:r>
            <w:r>
              <w:rPr>
                <w:rFonts w:hint="eastAsia"/>
                <w:color w:val="auto"/>
                <w:sz w:val="24"/>
                <w:szCs w:val="24"/>
                <w:u w:val="none" w:color="auto"/>
                <w:lang w:val="en-US" w:eastAsia="zh-CN"/>
              </w:rPr>
              <w:t>4</w:t>
            </w:r>
            <w:r>
              <w:rPr>
                <w:rFonts w:hint="eastAsia"/>
                <w:color w:val="auto"/>
                <w:sz w:val="24"/>
                <w:szCs w:val="24"/>
                <w:u w:val="none" w:color="auto"/>
                <w:lang w:eastAsia="zh-CN"/>
              </w:rPr>
              <w:t>）消防废水</w:t>
            </w:r>
          </w:p>
          <w:p>
            <w:pPr>
              <w:keepNext w:val="0"/>
              <w:keepLines w:val="0"/>
              <w:pageBreakBefore w:val="0"/>
              <w:widowControl w:val="0"/>
              <w:kinsoku/>
              <w:wordWrap/>
              <w:overflowPunct/>
              <w:topLinePunct w:val="0"/>
              <w:bidi w:val="0"/>
              <w:adjustRightInd/>
              <w:snapToGrid/>
              <w:ind w:firstLine="480" w:firstLineChars="200"/>
              <w:textAlignment w:val="auto"/>
              <w:rPr>
                <w:rFonts w:hint="eastAsia" w:cs="宋体"/>
                <w:color w:val="auto"/>
                <w:sz w:val="24"/>
                <w:szCs w:val="24"/>
                <w:u w:color="auto"/>
                <w:lang w:val="zh-CN" w:bidi="zh-CN"/>
              </w:rPr>
            </w:pPr>
            <w:r>
              <w:rPr>
                <w:rFonts w:hint="eastAsia" w:cs="宋体"/>
                <w:color w:val="auto"/>
                <w:sz w:val="24"/>
                <w:szCs w:val="24"/>
                <w:u w:color="auto"/>
                <w:lang w:val="zh-CN" w:bidi="zh-CN"/>
              </w:rPr>
              <w:t>火灾事故发生时，灭火产生消防废水可能受泄漏的物质污染，为防止消防废水外排至周边地表水体造成污染，项目设事故废水“三级防控”措施：</w:t>
            </w:r>
          </w:p>
          <w:p>
            <w:pPr>
              <w:keepNext w:val="0"/>
              <w:keepLines w:val="0"/>
              <w:pageBreakBefore w:val="0"/>
              <w:widowControl w:val="0"/>
              <w:kinsoku/>
              <w:wordWrap/>
              <w:overflowPunct/>
              <w:topLinePunct w:val="0"/>
              <w:bidi w:val="0"/>
              <w:adjustRightInd/>
              <w:snapToGrid/>
              <w:ind w:firstLine="480" w:firstLineChars="200"/>
              <w:textAlignment w:val="auto"/>
              <w:rPr>
                <w:rFonts w:hint="eastAsia" w:ascii="Times New Roman" w:hAnsi="Times New Roman" w:eastAsia="宋体"/>
                <w:color w:val="auto"/>
                <w:sz w:val="24"/>
                <w:szCs w:val="24"/>
                <w:u w:color="auto"/>
                <w:lang w:val="en-US" w:eastAsia="zh-CN"/>
              </w:rPr>
            </w:pPr>
            <w:r>
              <w:rPr>
                <w:rFonts w:hint="eastAsia" w:cs="宋体"/>
                <w:color w:val="auto"/>
                <w:sz w:val="24"/>
                <w:szCs w:val="24"/>
                <w:u w:color="auto"/>
                <w:lang w:val="en-US" w:bidi="zh-CN"/>
              </w:rPr>
              <w:t>厂区备用沙袋、消防沙等物资，应急情况下封堵住车间，作为第一级预防控制措施；</w:t>
            </w:r>
            <w:r>
              <w:rPr>
                <w:rFonts w:hint="eastAsia" w:cs="宋体"/>
                <w:color w:val="auto"/>
                <w:sz w:val="24"/>
                <w:szCs w:val="24"/>
                <w:u w:color="auto"/>
                <w:lang w:val="zh-CN" w:bidi="zh-CN"/>
              </w:rPr>
              <w:t>在厂</w:t>
            </w:r>
            <w:r>
              <w:rPr>
                <w:rFonts w:hint="eastAsia" w:cs="宋体"/>
                <w:color w:val="auto"/>
                <w:sz w:val="24"/>
                <w:szCs w:val="24"/>
                <w:u w:color="auto"/>
                <w:lang w:val="en-US" w:bidi="zh-CN"/>
              </w:rPr>
              <w:t>房及报废汽车堆场四周</w:t>
            </w:r>
            <w:r>
              <w:rPr>
                <w:rFonts w:hint="eastAsia" w:cs="宋体"/>
                <w:color w:val="auto"/>
                <w:sz w:val="24"/>
                <w:szCs w:val="24"/>
                <w:u w:color="auto"/>
                <w:lang w:val="zh-CN" w:bidi="zh-CN"/>
              </w:rPr>
              <w:t>设雨水沟渠，应急情况下堵住排口，事故废水收集在渠道内，</w:t>
            </w:r>
            <w:r>
              <w:rPr>
                <w:rFonts w:cs="宋体"/>
                <w:color w:val="auto"/>
                <w:sz w:val="24"/>
                <w:szCs w:val="24"/>
                <w:u w:color="auto"/>
                <w:lang w:val="zh-CN" w:bidi="zh-CN"/>
              </w:rPr>
              <w:t>作为</w:t>
            </w:r>
            <w:r>
              <w:rPr>
                <w:rFonts w:hint="eastAsia" w:cs="宋体"/>
                <w:color w:val="auto"/>
                <w:sz w:val="24"/>
                <w:szCs w:val="24"/>
                <w:u w:color="auto"/>
                <w:lang w:val="zh-CN" w:bidi="zh-CN"/>
              </w:rPr>
              <w:t>第</w:t>
            </w:r>
            <w:r>
              <w:rPr>
                <w:rFonts w:hint="eastAsia" w:cs="宋体"/>
                <w:color w:val="auto"/>
                <w:sz w:val="24"/>
                <w:szCs w:val="24"/>
                <w:u w:color="auto"/>
                <w:lang w:val="en-US" w:bidi="zh-CN"/>
              </w:rPr>
              <w:t>二</w:t>
            </w:r>
            <w:r>
              <w:rPr>
                <w:rFonts w:cs="宋体"/>
                <w:color w:val="auto"/>
                <w:sz w:val="24"/>
                <w:szCs w:val="24"/>
                <w:u w:color="auto"/>
                <w:lang w:val="zh-CN" w:bidi="zh-CN"/>
              </w:rPr>
              <w:t>级预防控制措施</w:t>
            </w:r>
            <w:r>
              <w:rPr>
                <w:rFonts w:hint="eastAsia" w:cs="宋体"/>
                <w:color w:val="auto"/>
                <w:sz w:val="24"/>
                <w:szCs w:val="24"/>
                <w:u w:color="auto"/>
                <w:lang w:val="zh-CN" w:bidi="zh-CN"/>
              </w:rPr>
              <w:t>；</w:t>
            </w:r>
            <w:r>
              <w:rPr>
                <w:rFonts w:hint="eastAsia" w:cs="宋体"/>
                <w:color w:val="auto"/>
                <w:sz w:val="24"/>
                <w:szCs w:val="24"/>
                <w:u w:color="auto"/>
                <w:lang w:val="en-US" w:bidi="zh-CN"/>
              </w:rPr>
              <w:t>设置</w:t>
            </w:r>
            <w:r>
              <w:rPr>
                <w:rFonts w:hint="eastAsia" w:cs="宋体"/>
                <w:color w:val="auto"/>
                <w:sz w:val="24"/>
                <w:szCs w:val="24"/>
                <w:u w:color="auto"/>
                <w:lang w:val="zh-CN" w:bidi="zh-CN"/>
              </w:rPr>
              <w:t>事故水池（</w:t>
            </w:r>
            <w:r>
              <w:rPr>
                <w:rFonts w:hint="eastAsia" w:cs="宋体"/>
                <w:color w:val="auto"/>
                <w:sz w:val="24"/>
                <w:szCs w:val="24"/>
                <w:u w:color="auto"/>
                <w:lang w:val="en-US" w:bidi="zh-CN"/>
              </w:rPr>
              <w:t>容积24m</w:t>
            </w:r>
            <w:r>
              <w:rPr>
                <w:rFonts w:hint="eastAsia" w:cs="宋体"/>
                <w:color w:val="auto"/>
                <w:sz w:val="24"/>
                <w:szCs w:val="24"/>
                <w:u w:color="auto"/>
                <w:vertAlign w:val="superscript"/>
                <w:lang w:val="en-US" w:bidi="zh-CN"/>
              </w:rPr>
              <w:t>3</w:t>
            </w:r>
            <w:r>
              <w:rPr>
                <w:rFonts w:hint="eastAsia" w:cs="宋体"/>
                <w:color w:val="auto"/>
                <w:sz w:val="24"/>
                <w:szCs w:val="24"/>
                <w:u w:color="auto"/>
                <w:lang w:val="zh-CN" w:bidi="zh-CN"/>
              </w:rPr>
              <w:t>），</w:t>
            </w:r>
            <w:r>
              <w:rPr>
                <w:rFonts w:hint="eastAsia" w:cs="宋体"/>
                <w:color w:val="auto"/>
                <w:sz w:val="24"/>
                <w:szCs w:val="24"/>
                <w:u w:color="auto"/>
                <w:lang w:val="en-US" w:bidi="zh-CN"/>
              </w:rPr>
              <w:t>必要时可将初期雨水收集池（容积180m</w:t>
            </w:r>
            <w:r>
              <w:rPr>
                <w:rFonts w:hint="eastAsia" w:cs="宋体"/>
                <w:color w:val="auto"/>
                <w:sz w:val="24"/>
                <w:szCs w:val="24"/>
                <w:u w:color="auto"/>
                <w:vertAlign w:val="superscript"/>
                <w:lang w:val="en-US" w:bidi="zh-CN"/>
              </w:rPr>
              <w:t>3</w:t>
            </w:r>
            <w:r>
              <w:rPr>
                <w:rFonts w:hint="eastAsia" w:cs="宋体"/>
                <w:color w:val="auto"/>
                <w:sz w:val="24"/>
                <w:szCs w:val="24"/>
                <w:u w:color="auto"/>
                <w:lang w:val="en-US" w:bidi="zh-CN"/>
              </w:rPr>
              <w:t>）作为事故水池的补充，作为</w:t>
            </w:r>
            <w:r>
              <w:rPr>
                <w:rFonts w:hint="eastAsia" w:cs="宋体"/>
                <w:color w:val="auto"/>
                <w:sz w:val="24"/>
                <w:szCs w:val="24"/>
                <w:u w:color="auto"/>
                <w:lang w:val="zh-CN" w:bidi="zh-CN"/>
              </w:rPr>
              <w:t>第</w:t>
            </w:r>
            <w:r>
              <w:rPr>
                <w:rFonts w:hint="eastAsia" w:cs="宋体"/>
                <w:color w:val="auto"/>
                <w:sz w:val="24"/>
                <w:szCs w:val="24"/>
                <w:u w:color="auto"/>
                <w:lang w:val="en-US" w:bidi="zh-CN"/>
              </w:rPr>
              <w:t>三</w:t>
            </w:r>
            <w:r>
              <w:rPr>
                <w:rFonts w:hint="eastAsia" w:cs="宋体"/>
                <w:color w:val="auto"/>
                <w:sz w:val="24"/>
                <w:szCs w:val="24"/>
                <w:u w:color="auto"/>
                <w:lang w:val="zh-CN" w:bidi="zh-CN"/>
              </w:rPr>
              <w:t>级防控措施。</w:t>
            </w:r>
          </w:p>
          <w:p>
            <w:pPr>
              <w:pageBreakBefore w:val="0"/>
              <w:kinsoku/>
              <w:overflowPunct/>
              <w:bidi w:val="0"/>
              <w:ind w:firstLine="480" w:firstLineChars="200"/>
              <w:rPr>
                <w:rFonts w:hint="eastAsia" w:ascii="Times New Roman" w:hAnsi="Times New Roman" w:eastAsia="宋体"/>
                <w:color w:val="auto"/>
                <w:sz w:val="24"/>
                <w:szCs w:val="24"/>
                <w:u w:val="none" w:color="auto"/>
              </w:rPr>
            </w:pPr>
            <w:r>
              <w:rPr>
                <w:rFonts w:hint="eastAsia" w:ascii="Times New Roman" w:hAnsi="Times New Roman" w:eastAsia="宋体"/>
                <w:color w:val="auto"/>
                <w:sz w:val="24"/>
                <w:szCs w:val="24"/>
                <w:u w:val="none" w:color="auto"/>
              </w:rPr>
              <w:t>（</w:t>
            </w:r>
            <w:r>
              <w:rPr>
                <w:rFonts w:hint="eastAsia"/>
                <w:color w:val="auto"/>
                <w:sz w:val="24"/>
                <w:szCs w:val="24"/>
                <w:u w:val="none" w:color="auto"/>
                <w:lang w:val="en-US" w:eastAsia="zh-CN"/>
              </w:rPr>
              <w:t>5</w:t>
            </w:r>
            <w:r>
              <w:rPr>
                <w:rFonts w:hint="eastAsia" w:ascii="Times New Roman" w:hAnsi="Times New Roman" w:eastAsia="宋体"/>
                <w:color w:val="auto"/>
                <w:sz w:val="24"/>
                <w:szCs w:val="24"/>
                <w:u w:val="none" w:color="auto"/>
              </w:rPr>
              <w:t>）风险防范综合措施</w:t>
            </w:r>
          </w:p>
          <w:p>
            <w:pPr>
              <w:pageBreakBefore w:val="0"/>
              <w:kinsoku/>
              <w:overflowPunct/>
              <w:bidi w:val="0"/>
              <w:ind w:firstLine="480" w:firstLineChars="200"/>
              <w:rPr>
                <w:rFonts w:hint="eastAsia" w:ascii="Times New Roman" w:hAnsi="Times New Roman" w:eastAsia="宋体"/>
                <w:color w:val="auto"/>
                <w:sz w:val="24"/>
                <w:szCs w:val="24"/>
                <w:u w:val="none" w:color="auto"/>
              </w:rPr>
            </w:pPr>
            <w:r>
              <w:rPr>
                <w:rFonts w:hint="eastAsia" w:ascii="Times New Roman" w:hAnsi="Times New Roman" w:eastAsia="宋体"/>
                <w:color w:val="auto"/>
                <w:sz w:val="24"/>
                <w:szCs w:val="24"/>
                <w:u w:val="none" w:color="auto"/>
              </w:rPr>
              <w:t>①强化安全生产管理，必须制订岗位责任制，将责任落实到部门和个人严格遵守操作规程，严格遵守《化学危险品管理条例》及国家、地方关于易燃、易爆、有毒有害物料的储运使用安全规定。</w:t>
            </w:r>
          </w:p>
          <w:p>
            <w:pPr>
              <w:pageBreakBefore w:val="0"/>
              <w:kinsoku/>
              <w:overflowPunct/>
              <w:bidi w:val="0"/>
              <w:ind w:firstLine="480" w:firstLineChars="200"/>
              <w:rPr>
                <w:rFonts w:hint="eastAsia" w:ascii="Times New Roman" w:hAnsi="Times New Roman" w:eastAsia="宋体"/>
                <w:color w:val="auto"/>
                <w:sz w:val="24"/>
                <w:szCs w:val="24"/>
                <w:u w:val="none" w:color="auto"/>
              </w:rPr>
            </w:pPr>
            <w:r>
              <w:rPr>
                <w:rFonts w:hint="eastAsia" w:ascii="Times New Roman" w:hAnsi="Times New Roman" w:eastAsia="宋体"/>
                <w:color w:val="auto"/>
                <w:sz w:val="24"/>
                <w:szCs w:val="24"/>
                <w:u w:val="none" w:color="auto"/>
              </w:rPr>
              <w:t>②建立健全环保及安全管理部门，该部门应加强监督检查，按规定监测厂内外空气及水体中的有毒有害物质，及时发现，立即处理，避免污染。</w:t>
            </w:r>
          </w:p>
          <w:p>
            <w:pPr>
              <w:pageBreakBefore w:val="0"/>
              <w:kinsoku/>
              <w:overflowPunct/>
              <w:bidi w:val="0"/>
              <w:ind w:firstLine="480" w:firstLineChars="200"/>
              <w:rPr>
                <w:rFonts w:hint="eastAsia" w:ascii="Times New Roman" w:hAnsi="Times New Roman" w:eastAsia="宋体"/>
                <w:color w:val="auto"/>
                <w:sz w:val="24"/>
                <w:szCs w:val="24"/>
                <w:u w:val="none" w:color="auto"/>
              </w:rPr>
            </w:pPr>
            <w:r>
              <w:rPr>
                <w:rFonts w:hint="eastAsia" w:ascii="Times New Roman" w:hAnsi="Times New Roman" w:eastAsia="宋体"/>
                <w:color w:val="auto"/>
                <w:sz w:val="24"/>
                <w:szCs w:val="24"/>
                <w:u w:val="none" w:color="auto"/>
              </w:rPr>
              <w:t>③建设单位应编制建设项目环境风险应急预案，报环保部门批准后生产中实施，并安排环境风险应急预案及风险污染处置演练，进行应急处置宣传、教育。</w:t>
            </w:r>
          </w:p>
          <w:p>
            <w:pPr>
              <w:pageBreakBefore w:val="0"/>
              <w:kinsoku/>
              <w:overflowPunct/>
              <w:bidi w:val="0"/>
              <w:ind w:firstLine="480" w:firstLineChars="200"/>
              <w:rPr>
                <w:rFonts w:hint="eastAsia" w:ascii="Times New Roman" w:hAnsi="Times New Roman" w:eastAsia="宋体"/>
                <w:color w:val="auto"/>
                <w:sz w:val="24"/>
                <w:szCs w:val="24"/>
                <w:u w:val="none" w:color="auto"/>
              </w:rPr>
            </w:pPr>
            <w:r>
              <w:rPr>
                <w:rFonts w:hint="eastAsia" w:ascii="Times New Roman" w:hAnsi="Times New Roman" w:eastAsia="宋体"/>
                <w:color w:val="auto"/>
                <w:sz w:val="24"/>
                <w:szCs w:val="24"/>
                <w:u w:val="none" w:color="auto"/>
              </w:rPr>
              <w:t>④成立事故应急处理小组，由车间安全负责人担任事故应急小组组长，一旦发火灾等事故，应立即启动事故应急预案，并向有关环境管理部门汇报情况，协助环境管理部门进行应急监测等工作。</w:t>
            </w:r>
          </w:p>
          <w:p>
            <w:pPr>
              <w:autoSpaceDE w:val="0"/>
              <w:autoSpaceDN w:val="0"/>
              <w:spacing w:line="360" w:lineRule="auto"/>
              <w:ind w:firstLine="480" w:firstLineChars="200"/>
              <w:rPr>
                <w:rFonts w:hint="eastAsia" w:cs="宋体"/>
                <w:color w:val="auto"/>
                <w:sz w:val="24"/>
                <w:szCs w:val="24"/>
                <w:lang w:val="zh-CN" w:bidi="zh-CN"/>
              </w:rPr>
            </w:pPr>
            <w:r>
              <w:rPr>
                <w:rFonts w:hint="eastAsia" w:cs="宋体"/>
                <w:color w:val="auto"/>
                <w:sz w:val="24"/>
                <w:szCs w:val="24"/>
                <w:lang w:val="zh-CN" w:bidi="zh-CN"/>
              </w:rPr>
              <w:t>事故应急救援预案是一种事故发生之前就已经预先制定好的事故救援方案。事故往往有突发性，一旦发生，正常的工作秩序被打乱，人们的思想出现慌乱，往往会出现领导或者临时成立的抢救组制定不出有效的抢救措施、事先物质准备不充分、抢救人员迟迟不到位以及其他种种现象。由于这些原因，往往延误了抢救的最佳时机，导致事故扩大。如果事先制定并实施了事故救援预案，可以避免上述情况发生，采用应急处理程序和方法，快速反应、处理事故或将事故消灭在萌芽状态，采用预定现场抢救方式，及时、有效、正确地实施现场抢救和其它各种救援措施，最大限度地减少人员伤亡和财产损失。企业应尽快将本项目纳入全厂应急预案管理中，统一进行管理。</w:t>
            </w:r>
          </w:p>
          <w:p>
            <w:pPr>
              <w:autoSpaceDE w:val="0"/>
              <w:autoSpaceDN w:val="0"/>
              <w:spacing w:line="360" w:lineRule="auto"/>
              <w:ind w:firstLine="480" w:firstLineChars="200"/>
              <w:rPr>
                <w:rFonts w:cs="宋体"/>
                <w:color w:val="auto"/>
                <w:sz w:val="24"/>
                <w:szCs w:val="24"/>
                <w:lang w:bidi="zh-CN"/>
              </w:rPr>
            </w:pPr>
            <w:r>
              <w:rPr>
                <w:rFonts w:hint="eastAsia" w:cs="宋体"/>
                <w:color w:val="auto"/>
                <w:sz w:val="24"/>
                <w:szCs w:val="24"/>
                <w:lang w:val="zh-CN" w:bidi="zh-CN"/>
              </w:rPr>
              <w:t>应急预案主要内容见表</w:t>
            </w:r>
            <w:r>
              <w:rPr>
                <w:rFonts w:hint="eastAsia" w:cs="宋体"/>
                <w:color w:val="auto"/>
                <w:sz w:val="24"/>
                <w:szCs w:val="24"/>
                <w:lang w:bidi="zh-CN"/>
              </w:rPr>
              <w:t>4-</w:t>
            </w:r>
            <w:r>
              <w:rPr>
                <w:rFonts w:hint="eastAsia" w:cs="宋体"/>
                <w:color w:val="auto"/>
                <w:sz w:val="24"/>
                <w:szCs w:val="24"/>
                <w:lang w:val="en-US" w:bidi="zh-CN"/>
              </w:rPr>
              <w:t>21</w:t>
            </w:r>
            <w:r>
              <w:rPr>
                <w:rFonts w:hint="eastAsia" w:cs="宋体"/>
                <w:color w:val="auto"/>
                <w:sz w:val="24"/>
                <w:szCs w:val="24"/>
                <w:lang w:bidi="zh-CN"/>
              </w:rPr>
              <w:t>。</w:t>
            </w:r>
          </w:p>
          <w:p>
            <w:pPr>
              <w:pStyle w:val="15"/>
              <w:keepNext w:val="0"/>
              <w:keepLines w:val="0"/>
              <w:pageBreakBefore w:val="0"/>
              <w:widowControl/>
              <w:kinsoku/>
              <w:wordWrap/>
              <w:overflowPunct/>
              <w:topLinePunct w:val="0"/>
              <w:autoSpaceDE/>
              <w:autoSpaceDN/>
              <w:bidi w:val="0"/>
              <w:adjustRightInd/>
              <w:snapToGrid/>
              <w:spacing w:before="0" w:beforeAutospacing="0" w:after="0" w:afterAutospacing="0" w:line="240" w:lineRule="auto"/>
              <w:jc w:val="center"/>
              <w:textAlignment w:val="auto"/>
              <w:outlineLvl w:val="0"/>
              <w:rPr>
                <w:rFonts w:hint="eastAsia" w:ascii="Times New Roman" w:hAnsi="Times New Roman" w:eastAsia="宋体" w:cs="Times New Roman"/>
                <w:b/>
                <w:bCs/>
                <w:color w:val="auto"/>
                <w:kern w:val="2"/>
                <w:sz w:val="21"/>
                <w:szCs w:val="21"/>
                <w:lang w:val="zh-CN" w:eastAsia="zh-CN" w:bidi="ar-SA"/>
              </w:rPr>
            </w:pPr>
            <w:r>
              <w:rPr>
                <w:rFonts w:hint="eastAsia" w:ascii="Times New Roman" w:hAnsi="Times New Roman" w:eastAsia="宋体" w:cs="Times New Roman"/>
                <w:b/>
                <w:bCs/>
                <w:color w:val="auto"/>
                <w:kern w:val="2"/>
                <w:sz w:val="21"/>
                <w:szCs w:val="21"/>
                <w:lang w:val="zh-CN" w:eastAsia="zh-CN" w:bidi="ar-SA"/>
              </w:rPr>
              <w:t>表</w:t>
            </w:r>
            <w:r>
              <w:rPr>
                <w:rFonts w:hint="eastAsia" w:ascii="Times New Roman" w:hAnsi="Times New Roman" w:eastAsia="宋体" w:cs="Times New Roman"/>
                <w:b/>
                <w:bCs/>
                <w:color w:val="auto"/>
                <w:kern w:val="2"/>
                <w:sz w:val="21"/>
                <w:szCs w:val="21"/>
                <w:lang w:val="en-US" w:eastAsia="zh-CN" w:bidi="ar-SA"/>
              </w:rPr>
              <w:t xml:space="preserve">4-21  </w:t>
            </w:r>
            <w:r>
              <w:rPr>
                <w:rFonts w:hint="eastAsia" w:ascii="Times New Roman" w:hAnsi="Times New Roman" w:eastAsia="宋体" w:cs="Times New Roman"/>
                <w:b/>
                <w:bCs/>
                <w:color w:val="auto"/>
                <w:kern w:val="2"/>
                <w:sz w:val="21"/>
                <w:szCs w:val="21"/>
                <w:lang w:val="zh-CN" w:eastAsia="zh-CN" w:bidi="ar-SA"/>
              </w:rPr>
              <w:t>项目环境风险应急预案一览表</w:t>
            </w:r>
          </w:p>
          <w:tbl>
            <w:tblPr>
              <w:tblStyle w:val="18"/>
              <w:tblW w:w="4999"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576"/>
              <w:gridCol w:w="2392"/>
              <w:gridCol w:w="506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59" w:type="pct"/>
                  <w:tcBorders>
                    <w:tl2br w:val="nil"/>
                    <w:tr2bl w:val="nil"/>
                  </w:tcBorders>
                  <w:vAlign w:val="center"/>
                </w:tcPr>
                <w:p>
                  <w:pPr>
                    <w:autoSpaceDE w:val="0"/>
                    <w:autoSpaceDN w:val="0"/>
                    <w:spacing w:line="240" w:lineRule="auto"/>
                    <w:jc w:val="center"/>
                    <w:rPr>
                      <w:rFonts w:hint="eastAsia" w:cs="宋体"/>
                      <w:b w:val="0"/>
                      <w:bCs w:val="0"/>
                      <w:color w:val="auto"/>
                      <w:sz w:val="21"/>
                      <w:szCs w:val="21"/>
                      <w:lang w:val="zh-CN" w:bidi="zh-CN"/>
                    </w:rPr>
                  </w:pPr>
                  <w:r>
                    <w:rPr>
                      <w:rFonts w:hint="eastAsia" w:cs="宋体"/>
                      <w:b w:val="0"/>
                      <w:bCs w:val="0"/>
                      <w:color w:val="auto"/>
                      <w:sz w:val="21"/>
                      <w:szCs w:val="21"/>
                      <w:lang w:val="zh-CN" w:bidi="zh-CN"/>
                    </w:rPr>
                    <w:t>序号</w:t>
                  </w:r>
                </w:p>
              </w:tc>
              <w:tc>
                <w:tcPr>
                  <w:tcW w:w="1488" w:type="pct"/>
                  <w:tcBorders>
                    <w:tl2br w:val="nil"/>
                    <w:tr2bl w:val="nil"/>
                  </w:tcBorders>
                  <w:vAlign w:val="center"/>
                </w:tcPr>
                <w:p>
                  <w:pPr>
                    <w:autoSpaceDE w:val="0"/>
                    <w:autoSpaceDN w:val="0"/>
                    <w:spacing w:line="240" w:lineRule="auto"/>
                    <w:jc w:val="center"/>
                    <w:rPr>
                      <w:rFonts w:hint="eastAsia" w:cs="宋体"/>
                      <w:b w:val="0"/>
                      <w:bCs w:val="0"/>
                      <w:color w:val="auto"/>
                      <w:sz w:val="21"/>
                      <w:szCs w:val="21"/>
                      <w:lang w:val="zh-CN" w:bidi="zh-CN"/>
                    </w:rPr>
                  </w:pPr>
                  <w:r>
                    <w:rPr>
                      <w:rFonts w:hint="eastAsia" w:cs="宋体"/>
                      <w:b w:val="0"/>
                      <w:bCs w:val="0"/>
                      <w:color w:val="auto"/>
                      <w:sz w:val="21"/>
                      <w:szCs w:val="21"/>
                      <w:lang w:val="zh-CN" w:bidi="zh-CN"/>
                    </w:rPr>
                    <w:t>项目</w:t>
                  </w:r>
                </w:p>
              </w:tc>
              <w:tc>
                <w:tcPr>
                  <w:tcW w:w="3152" w:type="pct"/>
                  <w:tcBorders>
                    <w:tl2br w:val="nil"/>
                    <w:tr2bl w:val="nil"/>
                  </w:tcBorders>
                  <w:vAlign w:val="center"/>
                </w:tcPr>
                <w:p>
                  <w:pPr>
                    <w:autoSpaceDE w:val="0"/>
                    <w:autoSpaceDN w:val="0"/>
                    <w:spacing w:line="240" w:lineRule="auto"/>
                    <w:jc w:val="center"/>
                    <w:rPr>
                      <w:rFonts w:hint="eastAsia" w:cs="宋体"/>
                      <w:b w:val="0"/>
                      <w:bCs w:val="0"/>
                      <w:color w:val="auto"/>
                      <w:sz w:val="21"/>
                      <w:szCs w:val="21"/>
                      <w:lang w:val="zh-CN" w:bidi="zh-CN"/>
                    </w:rPr>
                  </w:pPr>
                  <w:r>
                    <w:rPr>
                      <w:rFonts w:hint="eastAsia" w:cs="宋体"/>
                      <w:b w:val="0"/>
                      <w:bCs w:val="0"/>
                      <w:color w:val="auto"/>
                      <w:sz w:val="21"/>
                      <w:szCs w:val="21"/>
                      <w:lang w:val="zh-CN" w:bidi="zh-CN"/>
                    </w:rPr>
                    <w:t>内容及要求</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59" w:type="pct"/>
                  <w:tcBorders>
                    <w:tl2br w:val="nil"/>
                    <w:tr2bl w:val="nil"/>
                  </w:tcBorders>
                  <w:vAlign w:val="center"/>
                </w:tcPr>
                <w:p>
                  <w:pPr>
                    <w:autoSpaceDE w:val="0"/>
                    <w:autoSpaceDN w:val="0"/>
                    <w:spacing w:line="240" w:lineRule="auto"/>
                    <w:jc w:val="center"/>
                    <w:rPr>
                      <w:rFonts w:hint="eastAsia" w:cs="宋体"/>
                      <w:b w:val="0"/>
                      <w:bCs w:val="0"/>
                      <w:color w:val="auto"/>
                      <w:sz w:val="21"/>
                      <w:szCs w:val="21"/>
                      <w:lang w:bidi="zh-CN"/>
                    </w:rPr>
                  </w:pPr>
                  <w:r>
                    <w:rPr>
                      <w:rFonts w:hint="eastAsia" w:cs="宋体"/>
                      <w:b w:val="0"/>
                      <w:bCs w:val="0"/>
                      <w:color w:val="auto"/>
                      <w:sz w:val="21"/>
                      <w:szCs w:val="21"/>
                      <w:lang w:bidi="zh-CN"/>
                    </w:rPr>
                    <w:t>1</w:t>
                  </w:r>
                </w:p>
              </w:tc>
              <w:tc>
                <w:tcPr>
                  <w:tcW w:w="1488" w:type="pct"/>
                  <w:tcBorders>
                    <w:tl2br w:val="nil"/>
                    <w:tr2bl w:val="nil"/>
                  </w:tcBorders>
                  <w:vAlign w:val="center"/>
                </w:tcPr>
                <w:p>
                  <w:pPr>
                    <w:autoSpaceDE w:val="0"/>
                    <w:autoSpaceDN w:val="0"/>
                    <w:spacing w:line="240" w:lineRule="auto"/>
                    <w:jc w:val="center"/>
                    <w:rPr>
                      <w:rFonts w:hint="eastAsia" w:cs="宋体"/>
                      <w:b w:val="0"/>
                      <w:bCs w:val="0"/>
                      <w:color w:val="auto"/>
                      <w:sz w:val="21"/>
                      <w:szCs w:val="21"/>
                      <w:lang w:val="zh-CN" w:bidi="zh-CN"/>
                    </w:rPr>
                  </w:pPr>
                  <w:r>
                    <w:rPr>
                      <w:rFonts w:hint="eastAsia" w:cs="宋体"/>
                      <w:b w:val="0"/>
                      <w:bCs w:val="0"/>
                      <w:color w:val="auto"/>
                      <w:sz w:val="21"/>
                      <w:szCs w:val="21"/>
                      <w:lang w:val="zh-CN" w:bidi="zh-CN"/>
                    </w:rPr>
                    <w:t>应急计划区</w:t>
                  </w:r>
                </w:p>
              </w:tc>
              <w:tc>
                <w:tcPr>
                  <w:tcW w:w="3152" w:type="pct"/>
                  <w:tcBorders>
                    <w:tl2br w:val="nil"/>
                    <w:tr2bl w:val="nil"/>
                  </w:tcBorders>
                  <w:vAlign w:val="center"/>
                </w:tcPr>
                <w:p>
                  <w:pPr>
                    <w:autoSpaceDE w:val="0"/>
                    <w:autoSpaceDN w:val="0"/>
                    <w:spacing w:line="240" w:lineRule="auto"/>
                    <w:ind w:firstLine="210" w:firstLineChars="100"/>
                    <w:rPr>
                      <w:rFonts w:hint="eastAsia" w:cs="宋体"/>
                      <w:b w:val="0"/>
                      <w:bCs w:val="0"/>
                      <w:color w:val="auto"/>
                      <w:sz w:val="21"/>
                      <w:szCs w:val="21"/>
                      <w:lang w:val="zh-CN" w:bidi="zh-CN"/>
                    </w:rPr>
                  </w:pPr>
                  <w:r>
                    <w:rPr>
                      <w:rFonts w:hint="eastAsia" w:cs="宋体"/>
                      <w:b w:val="0"/>
                      <w:bCs w:val="0"/>
                      <w:color w:val="auto"/>
                      <w:sz w:val="21"/>
                      <w:szCs w:val="21"/>
                      <w:lang w:val="zh-CN" w:bidi="zh-CN"/>
                    </w:rPr>
                    <w:t>危险目标：报废车辆预处理区、污染控制区(危废暂存间）</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59" w:type="pct"/>
                  <w:tcBorders>
                    <w:tl2br w:val="nil"/>
                    <w:tr2bl w:val="nil"/>
                  </w:tcBorders>
                  <w:vAlign w:val="center"/>
                </w:tcPr>
                <w:p>
                  <w:pPr>
                    <w:autoSpaceDE w:val="0"/>
                    <w:autoSpaceDN w:val="0"/>
                    <w:spacing w:line="240" w:lineRule="auto"/>
                    <w:jc w:val="center"/>
                    <w:rPr>
                      <w:rFonts w:hint="eastAsia" w:cs="宋体"/>
                      <w:b w:val="0"/>
                      <w:bCs w:val="0"/>
                      <w:color w:val="auto"/>
                      <w:sz w:val="21"/>
                      <w:szCs w:val="21"/>
                      <w:lang w:bidi="zh-CN"/>
                    </w:rPr>
                  </w:pPr>
                  <w:r>
                    <w:rPr>
                      <w:rFonts w:hint="eastAsia" w:cs="宋体"/>
                      <w:b w:val="0"/>
                      <w:bCs w:val="0"/>
                      <w:color w:val="auto"/>
                      <w:sz w:val="21"/>
                      <w:szCs w:val="21"/>
                      <w:lang w:bidi="zh-CN"/>
                    </w:rPr>
                    <w:t>2</w:t>
                  </w:r>
                </w:p>
              </w:tc>
              <w:tc>
                <w:tcPr>
                  <w:tcW w:w="1488" w:type="pct"/>
                  <w:tcBorders>
                    <w:tl2br w:val="nil"/>
                    <w:tr2bl w:val="nil"/>
                  </w:tcBorders>
                  <w:vAlign w:val="center"/>
                </w:tcPr>
                <w:p>
                  <w:pPr>
                    <w:autoSpaceDE w:val="0"/>
                    <w:autoSpaceDN w:val="0"/>
                    <w:spacing w:line="240" w:lineRule="auto"/>
                    <w:jc w:val="center"/>
                    <w:rPr>
                      <w:rFonts w:hint="eastAsia" w:cs="宋体"/>
                      <w:b w:val="0"/>
                      <w:bCs w:val="0"/>
                      <w:color w:val="auto"/>
                      <w:sz w:val="21"/>
                      <w:szCs w:val="21"/>
                      <w:lang w:val="zh-CN" w:bidi="zh-CN"/>
                    </w:rPr>
                  </w:pPr>
                  <w:r>
                    <w:rPr>
                      <w:rFonts w:hint="eastAsia" w:cs="宋体"/>
                      <w:b w:val="0"/>
                      <w:bCs w:val="0"/>
                      <w:color w:val="auto"/>
                      <w:sz w:val="21"/>
                      <w:szCs w:val="21"/>
                      <w:lang w:val="zh-CN" w:bidi="zh-CN"/>
                    </w:rPr>
                    <w:t>应急组织机构、人员</w:t>
                  </w:r>
                </w:p>
              </w:tc>
              <w:tc>
                <w:tcPr>
                  <w:tcW w:w="3152" w:type="pct"/>
                  <w:tcBorders>
                    <w:tl2br w:val="nil"/>
                    <w:tr2bl w:val="nil"/>
                  </w:tcBorders>
                  <w:vAlign w:val="center"/>
                </w:tcPr>
                <w:p>
                  <w:pPr>
                    <w:autoSpaceDE w:val="0"/>
                    <w:autoSpaceDN w:val="0"/>
                    <w:spacing w:line="240" w:lineRule="auto"/>
                    <w:rPr>
                      <w:rFonts w:hint="eastAsia" w:cs="宋体"/>
                      <w:b w:val="0"/>
                      <w:bCs w:val="0"/>
                      <w:color w:val="auto"/>
                      <w:sz w:val="21"/>
                      <w:szCs w:val="21"/>
                      <w:lang w:val="zh-CN" w:bidi="zh-CN"/>
                    </w:rPr>
                  </w:pPr>
                  <w:r>
                    <w:rPr>
                      <w:rFonts w:hint="eastAsia" w:cs="宋体"/>
                      <w:b w:val="0"/>
                      <w:bCs w:val="0"/>
                      <w:color w:val="auto"/>
                      <w:sz w:val="21"/>
                      <w:szCs w:val="21"/>
                      <w:lang w:val="zh-CN" w:bidi="zh-CN"/>
                    </w:rPr>
                    <w:t>实施三级应急组织机构，包括企业、产业园区和地方政府。各级别主要负责人为应急计划、协调第一人，应急人员必须为培训上岗熟练工；区域应急组织结构由当地政府、相关行业专家、卫生安全相关单位组成，并由当地政府进行统一调度</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59" w:type="pct"/>
                  <w:tcBorders>
                    <w:tl2br w:val="nil"/>
                    <w:tr2bl w:val="nil"/>
                  </w:tcBorders>
                  <w:vAlign w:val="center"/>
                </w:tcPr>
                <w:p>
                  <w:pPr>
                    <w:autoSpaceDE w:val="0"/>
                    <w:autoSpaceDN w:val="0"/>
                    <w:spacing w:line="240" w:lineRule="auto"/>
                    <w:jc w:val="center"/>
                    <w:rPr>
                      <w:rFonts w:hint="eastAsia" w:cs="宋体"/>
                      <w:b w:val="0"/>
                      <w:bCs w:val="0"/>
                      <w:color w:val="auto"/>
                      <w:sz w:val="21"/>
                      <w:szCs w:val="21"/>
                      <w:lang w:bidi="zh-CN"/>
                    </w:rPr>
                  </w:pPr>
                  <w:r>
                    <w:rPr>
                      <w:rFonts w:hint="eastAsia" w:cs="宋体"/>
                      <w:b w:val="0"/>
                      <w:bCs w:val="0"/>
                      <w:color w:val="auto"/>
                      <w:sz w:val="21"/>
                      <w:szCs w:val="21"/>
                      <w:lang w:bidi="zh-CN"/>
                    </w:rPr>
                    <w:t>3</w:t>
                  </w:r>
                </w:p>
              </w:tc>
              <w:tc>
                <w:tcPr>
                  <w:tcW w:w="1488" w:type="pct"/>
                  <w:tcBorders>
                    <w:tl2br w:val="nil"/>
                    <w:tr2bl w:val="nil"/>
                  </w:tcBorders>
                  <w:vAlign w:val="center"/>
                </w:tcPr>
                <w:p>
                  <w:pPr>
                    <w:autoSpaceDE w:val="0"/>
                    <w:autoSpaceDN w:val="0"/>
                    <w:spacing w:line="240" w:lineRule="auto"/>
                    <w:jc w:val="center"/>
                    <w:rPr>
                      <w:rFonts w:hint="eastAsia" w:cs="宋体"/>
                      <w:b w:val="0"/>
                      <w:bCs w:val="0"/>
                      <w:color w:val="auto"/>
                      <w:sz w:val="21"/>
                      <w:szCs w:val="21"/>
                      <w:lang w:val="zh-CN" w:bidi="zh-CN"/>
                    </w:rPr>
                  </w:pPr>
                  <w:r>
                    <w:rPr>
                      <w:rFonts w:hint="eastAsia" w:cs="宋体"/>
                      <w:b w:val="0"/>
                      <w:bCs w:val="0"/>
                      <w:color w:val="auto"/>
                      <w:sz w:val="21"/>
                      <w:szCs w:val="21"/>
                      <w:lang w:val="zh-CN" w:bidi="zh-CN"/>
                    </w:rPr>
                    <w:t>预案分级响应条件</w:t>
                  </w:r>
                </w:p>
              </w:tc>
              <w:tc>
                <w:tcPr>
                  <w:tcW w:w="3152" w:type="pct"/>
                  <w:tcBorders>
                    <w:tl2br w:val="nil"/>
                    <w:tr2bl w:val="nil"/>
                  </w:tcBorders>
                  <w:vAlign w:val="center"/>
                </w:tcPr>
                <w:p>
                  <w:pPr>
                    <w:autoSpaceDE w:val="0"/>
                    <w:autoSpaceDN w:val="0"/>
                    <w:spacing w:line="240" w:lineRule="auto"/>
                    <w:rPr>
                      <w:rFonts w:hint="eastAsia" w:cs="宋体"/>
                      <w:b w:val="0"/>
                      <w:bCs w:val="0"/>
                      <w:color w:val="auto"/>
                      <w:sz w:val="21"/>
                      <w:szCs w:val="21"/>
                      <w:lang w:val="zh-CN" w:bidi="zh-CN"/>
                    </w:rPr>
                  </w:pPr>
                  <w:r>
                    <w:rPr>
                      <w:rFonts w:hint="eastAsia" w:cs="宋体"/>
                      <w:b w:val="0"/>
                      <w:bCs w:val="0"/>
                      <w:color w:val="auto"/>
                      <w:sz w:val="21"/>
                      <w:szCs w:val="21"/>
                      <w:lang w:val="zh-CN" w:bidi="zh-CN"/>
                    </w:rPr>
                    <w:t>根据事故的严重程度制定相应级别的应急预案，以及适合相应情况的处理措施</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59" w:type="pct"/>
                  <w:tcBorders>
                    <w:tl2br w:val="nil"/>
                    <w:tr2bl w:val="nil"/>
                  </w:tcBorders>
                  <w:vAlign w:val="center"/>
                </w:tcPr>
                <w:p>
                  <w:pPr>
                    <w:autoSpaceDE w:val="0"/>
                    <w:autoSpaceDN w:val="0"/>
                    <w:spacing w:line="240" w:lineRule="auto"/>
                    <w:jc w:val="center"/>
                    <w:rPr>
                      <w:rFonts w:hint="eastAsia" w:cs="宋体"/>
                      <w:b w:val="0"/>
                      <w:bCs w:val="0"/>
                      <w:color w:val="auto"/>
                      <w:sz w:val="21"/>
                      <w:szCs w:val="21"/>
                      <w:lang w:bidi="zh-CN"/>
                    </w:rPr>
                  </w:pPr>
                  <w:r>
                    <w:rPr>
                      <w:rFonts w:hint="eastAsia" w:cs="宋体"/>
                      <w:b w:val="0"/>
                      <w:bCs w:val="0"/>
                      <w:color w:val="auto"/>
                      <w:sz w:val="21"/>
                      <w:szCs w:val="21"/>
                      <w:lang w:bidi="zh-CN"/>
                    </w:rPr>
                    <w:t>4</w:t>
                  </w:r>
                </w:p>
              </w:tc>
              <w:tc>
                <w:tcPr>
                  <w:tcW w:w="1488" w:type="pct"/>
                  <w:tcBorders>
                    <w:tl2br w:val="nil"/>
                    <w:tr2bl w:val="nil"/>
                  </w:tcBorders>
                  <w:vAlign w:val="center"/>
                </w:tcPr>
                <w:p>
                  <w:pPr>
                    <w:autoSpaceDE w:val="0"/>
                    <w:autoSpaceDN w:val="0"/>
                    <w:spacing w:line="240" w:lineRule="auto"/>
                    <w:jc w:val="center"/>
                    <w:rPr>
                      <w:rFonts w:hint="eastAsia" w:cs="宋体"/>
                      <w:b w:val="0"/>
                      <w:bCs w:val="0"/>
                      <w:color w:val="auto"/>
                      <w:sz w:val="21"/>
                      <w:szCs w:val="21"/>
                      <w:lang w:val="zh-CN" w:bidi="zh-CN"/>
                    </w:rPr>
                  </w:pPr>
                  <w:r>
                    <w:rPr>
                      <w:rFonts w:hint="eastAsia" w:cs="宋体"/>
                      <w:b w:val="0"/>
                      <w:bCs w:val="0"/>
                      <w:color w:val="auto"/>
                      <w:sz w:val="21"/>
                      <w:szCs w:val="21"/>
                      <w:lang w:val="zh-CN" w:bidi="zh-CN"/>
                    </w:rPr>
                    <w:t>应急救援保障</w:t>
                  </w:r>
                </w:p>
              </w:tc>
              <w:tc>
                <w:tcPr>
                  <w:tcW w:w="3152" w:type="pct"/>
                  <w:tcBorders>
                    <w:tl2br w:val="nil"/>
                    <w:tr2bl w:val="nil"/>
                  </w:tcBorders>
                  <w:vAlign w:val="center"/>
                </w:tcPr>
                <w:p>
                  <w:pPr>
                    <w:autoSpaceDE w:val="0"/>
                    <w:autoSpaceDN w:val="0"/>
                    <w:spacing w:line="240" w:lineRule="auto"/>
                    <w:rPr>
                      <w:rFonts w:hint="eastAsia" w:cs="宋体"/>
                      <w:b w:val="0"/>
                      <w:bCs w:val="0"/>
                      <w:color w:val="auto"/>
                      <w:sz w:val="21"/>
                      <w:szCs w:val="21"/>
                      <w:lang w:val="zh-CN" w:bidi="zh-CN"/>
                    </w:rPr>
                  </w:pPr>
                  <w:r>
                    <w:rPr>
                      <w:rFonts w:hint="eastAsia" w:cs="宋体"/>
                      <w:b w:val="0"/>
                      <w:bCs w:val="0"/>
                      <w:color w:val="auto"/>
                      <w:sz w:val="21"/>
                      <w:szCs w:val="21"/>
                      <w:lang w:val="zh-CN" w:bidi="zh-CN"/>
                    </w:rPr>
                    <w:t>应急设施，设备与器材等</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59" w:type="pct"/>
                  <w:tcBorders>
                    <w:tl2br w:val="nil"/>
                    <w:tr2bl w:val="nil"/>
                  </w:tcBorders>
                  <w:vAlign w:val="center"/>
                </w:tcPr>
                <w:p>
                  <w:pPr>
                    <w:autoSpaceDE w:val="0"/>
                    <w:autoSpaceDN w:val="0"/>
                    <w:spacing w:line="240" w:lineRule="auto"/>
                    <w:jc w:val="center"/>
                    <w:rPr>
                      <w:rFonts w:hint="eastAsia" w:cs="宋体"/>
                      <w:b w:val="0"/>
                      <w:bCs w:val="0"/>
                      <w:color w:val="auto"/>
                      <w:sz w:val="21"/>
                      <w:szCs w:val="21"/>
                      <w:lang w:bidi="zh-CN"/>
                    </w:rPr>
                  </w:pPr>
                  <w:r>
                    <w:rPr>
                      <w:rFonts w:hint="eastAsia" w:cs="宋体"/>
                      <w:b w:val="0"/>
                      <w:bCs w:val="0"/>
                      <w:color w:val="auto"/>
                      <w:sz w:val="21"/>
                      <w:szCs w:val="21"/>
                      <w:lang w:bidi="zh-CN"/>
                    </w:rPr>
                    <w:t>5</w:t>
                  </w:r>
                </w:p>
              </w:tc>
              <w:tc>
                <w:tcPr>
                  <w:tcW w:w="1488" w:type="pct"/>
                  <w:tcBorders>
                    <w:tl2br w:val="nil"/>
                    <w:tr2bl w:val="nil"/>
                  </w:tcBorders>
                  <w:vAlign w:val="center"/>
                </w:tcPr>
                <w:p>
                  <w:pPr>
                    <w:autoSpaceDE w:val="0"/>
                    <w:autoSpaceDN w:val="0"/>
                    <w:spacing w:line="240" w:lineRule="auto"/>
                    <w:jc w:val="center"/>
                    <w:rPr>
                      <w:rFonts w:hint="eastAsia" w:cs="宋体"/>
                      <w:b w:val="0"/>
                      <w:bCs w:val="0"/>
                      <w:color w:val="auto"/>
                      <w:sz w:val="21"/>
                      <w:szCs w:val="21"/>
                      <w:lang w:val="zh-CN" w:bidi="zh-CN"/>
                    </w:rPr>
                  </w:pPr>
                  <w:r>
                    <w:rPr>
                      <w:rFonts w:hint="eastAsia" w:cs="宋体"/>
                      <w:b w:val="0"/>
                      <w:bCs w:val="0"/>
                      <w:color w:val="auto"/>
                      <w:sz w:val="21"/>
                      <w:szCs w:val="21"/>
                      <w:lang w:val="zh-CN" w:bidi="zh-CN"/>
                    </w:rPr>
                    <w:t>报警、通讯联络方式</w:t>
                  </w:r>
                </w:p>
              </w:tc>
              <w:tc>
                <w:tcPr>
                  <w:tcW w:w="3152" w:type="pct"/>
                  <w:tcBorders>
                    <w:tl2br w:val="nil"/>
                    <w:tr2bl w:val="nil"/>
                  </w:tcBorders>
                  <w:vAlign w:val="center"/>
                </w:tcPr>
                <w:p>
                  <w:pPr>
                    <w:autoSpaceDE w:val="0"/>
                    <w:autoSpaceDN w:val="0"/>
                    <w:spacing w:line="240" w:lineRule="auto"/>
                    <w:ind w:firstLine="210" w:firstLineChars="100"/>
                    <w:rPr>
                      <w:rFonts w:hint="eastAsia" w:cs="宋体"/>
                      <w:b w:val="0"/>
                      <w:bCs w:val="0"/>
                      <w:color w:val="auto"/>
                      <w:sz w:val="21"/>
                      <w:szCs w:val="21"/>
                      <w:lang w:val="zh-CN" w:bidi="zh-CN"/>
                    </w:rPr>
                  </w:pPr>
                  <w:r>
                    <w:rPr>
                      <w:rFonts w:hint="eastAsia" w:cs="宋体"/>
                      <w:b w:val="0"/>
                      <w:bCs w:val="0"/>
                      <w:color w:val="auto"/>
                      <w:sz w:val="21"/>
                      <w:szCs w:val="21"/>
                      <w:lang w:val="zh-CN" w:bidi="zh-CN"/>
                    </w:rPr>
                    <w:t>逐一细化应急状态下各主要负责单位的报警通讯方式、地点、电话号码以及相关配套的交通保障、管制、消防联络方法，涉及跨区域的还应与相关区域环境保护部门和上级环保部门保持联系，及时通报事故处理情况，以获得区域性支援</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59" w:type="pct"/>
                  <w:tcBorders>
                    <w:tl2br w:val="nil"/>
                    <w:tr2bl w:val="nil"/>
                  </w:tcBorders>
                  <w:vAlign w:val="center"/>
                </w:tcPr>
                <w:p>
                  <w:pPr>
                    <w:autoSpaceDE w:val="0"/>
                    <w:autoSpaceDN w:val="0"/>
                    <w:spacing w:line="240" w:lineRule="auto"/>
                    <w:jc w:val="center"/>
                    <w:rPr>
                      <w:rFonts w:hint="eastAsia" w:cs="宋体"/>
                      <w:b w:val="0"/>
                      <w:bCs w:val="0"/>
                      <w:color w:val="auto"/>
                      <w:sz w:val="21"/>
                      <w:szCs w:val="21"/>
                      <w:lang w:bidi="zh-CN"/>
                    </w:rPr>
                  </w:pPr>
                  <w:r>
                    <w:rPr>
                      <w:rFonts w:hint="eastAsia" w:cs="宋体"/>
                      <w:b w:val="0"/>
                      <w:bCs w:val="0"/>
                      <w:color w:val="auto"/>
                      <w:sz w:val="21"/>
                      <w:szCs w:val="21"/>
                      <w:lang w:bidi="zh-CN"/>
                    </w:rPr>
                    <w:t>6</w:t>
                  </w:r>
                </w:p>
              </w:tc>
              <w:tc>
                <w:tcPr>
                  <w:tcW w:w="1488" w:type="pct"/>
                  <w:tcBorders>
                    <w:tl2br w:val="nil"/>
                    <w:tr2bl w:val="nil"/>
                  </w:tcBorders>
                  <w:vAlign w:val="center"/>
                </w:tcPr>
                <w:p>
                  <w:pPr>
                    <w:autoSpaceDE w:val="0"/>
                    <w:autoSpaceDN w:val="0"/>
                    <w:spacing w:line="240" w:lineRule="auto"/>
                    <w:jc w:val="center"/>
                    <w:rPr>
                      <w:rFonts w:hint="eastAsia" w:cs="宋体"/>
                      <w:b w:val="0"/>
                      <w:bCs w:val="0"/>
                      <w:color w:val="auto"/>
                      <w:sz w:val="21"/>
                      <w:szCs w:val="21"/>
                      <w:lang w:val="zh-CN" w:bidi="zh-CN"/>
                    </w:rPr>
                  </w:pPr>
                  <w:r>
                    <w:rPr>
                      <w:rFonts w:hint="eastAsia" w:cs="宋体"/>
                      <w:b w:val="0"/>
                      <w:bCs w:val="0"/>
                      <w:color w:val="auto"/>
                      <w:sz w:val="21"/>
                      <w:szCs w:val="21"/>
                      <w:lang w:val="zh-CN" w:bidi="zh-CN"/>
                    </w:rPr>
                    <w:t>应急环境监测、抢险、救援及控制措施</w:t>
                  </w:r>
                </w:p>
              </w:tc>
              <w:tc>
                <w:tcPr>
                  <w:tcW w:w="3152" w:type="pct"/>
                  <w:tcBorders>
                    <w:tl2br w:val="nil"/>
                    <w:tr2bl w:val="nil"/>
                  </w:tcBorders>
                  <w:vAlign w:val="center"/>
                </w:tcPr>
                <w:p>
                  <w:pPr>
                    <w:autoSpaceDE w:val="0"/>
                    <w:autoSpaceDN w:val="0"/>
                    <w:spacing w:line="240" w:lineRule="auto"/>
                    <w:ind w:firstLine="210" w:firstLineChars="100"/>
                    <w:rPr>
                      <w:rFonts w:hint="eastAsia" w:cs="宋体"/>
                      <w:b w:val="0"/>
                      <w:bCs w:val="0"/>
                      <w:color w:val="auto"/>
                      <w:sz w:val="21"/>
                      <w:szCs w:val="21"/>
                      <w:lang w:val="zh-CN" w:bidi="zh-CN"/>
                    </w:rPr>
                  </w:pPr>
                  <w:r>
                    <w:rPr>
                      <w:rFonts w:hint="eastAsia" w:cs="宋体"/>
                      <w:b w:val="0"/>
                      <w:bCs w:val="0"/>
                      <w:color w:val="auto"/>
                      <w:sz w:val="21"/>
                      <w:szCs w:val="21"/>
                      <w:lang w:val="zh-CN" w:bidi="zh-CN"/>
                    </w:rPr>
                    <w:t>由专业队伍负责对事故现场进行侦查监测，对事故性质、参数与后果进行评估，为指挥部门提供决策依据。</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59" w:type="pct"/>
                  <w:tcBorders>
                    <w:tl2br w:val="nil"/>
                    <w:tr2bl w:val="nil"/>
                  </w:tcBorders>
                  <w:vAlign w:val="center"/>
                </w:tcPr>
                <w:p>
                  <w:pPr>
                    <w:autoSpaceDE w:val="0"/>
                    <w:autoSpaceDN w:val="0"/>
                    <w:spacing w:line="240" w:lineRule="auto"/>
                    <w:jc w:val="center"/>
                    <w:rPr>
                      <w:rFonts w:hint="eastAsia" w:cs="宋体"/>
                      <w:b w:val="0"/>
                      <w:bCs w:val="0"/>
                      <w:color w:val="auto"/>
                      <w:sz w:val="21"/>
                      <w:szCs w:val="21"/>
                      <w:lang w:bidi="zh-CN"/>
                    </w:rPr>
                  </w:pPr>
                  <w:r>
                    <w:rPr>
                      <w:rFonts w:hint="eastAsia" w:cs="宋体"/>
                      <w:b w:val="0"/>
                      <w:bCs w:val="0"/>
                      <w:color w:val="auto"/>
                      <w:sz w:val="21"/>
                      <w:szCs w:val="21"/>
                      <w:lang w:bidi="zh-CN"/>
                    </w:rPr>
                    <w:t>7</w:t>
                  </w:r>
                </w:p>
              </w:tc>
              <w:tc>
                <w:tcPr>
                  <w:tcW w:w="1488" w:type="pct"/>
                  <w:tcBorders>
                    <w:tl2br w:val="nil"/>
                    <w:tr2bl w:val="nil"/>
                  </w:tcBorders>
                  <w:vAlign w:val="center"/>
                </w:tcPr>
                <w:p>
                  <w:pPr>
                    <w:autoSpaceDE w:val="0"/>
                    <w:autoSpaceDN w:val="0"/>
                    <w:spacing w:line="240" w:lineRule="auto"/>
                    <w:jc w:val="center"/>
                    <w:rPr>
                      <w:rFonts w:hint="eastAsia" w:cs="宋体"/>
                      <w:b w:val="0"/>
                      <w:bCs w:val="0"/>
                      <w:color w:val="auto"/>
                      <w:sz w:val="21"/>
                      <w:szCs w:val="21"/>
                      <w:lang w:val="zh-CN" w:bidi="zh-CN"/>
                    </w:rPr>
                  </w:pPr>
                  <w:r>
                    <w:rPr>
                      <w:rFonts w:hint="eastAsia" w:cs="宋体"/>
                      <w:b w:val="0"/>
                      <w:bCs w:val="0"/>
                      <w:color w:val="auto"/>
                      <w:sz w:val="21"/>
                      <w:szCs w:val="21"/>
                      <w:lang w:val="zh-CN" w:bidi="zh-CN"/>
                    </w:rPr>
                    <w:t>应急检测、防护措施、清除泄漏措施和器材</w:t>
                  </w:r>
                </w:p>
              </w:tc>
              <w:tc>
                <w:tcPr>
                  <w:tcW w:w="3152" w:type="pct"/>
                  <w:tcBorders>
                    <w:tl2br w:val="nil"/>
                    <w:tr2bl w:val="nil"/>
                  </w:tcBorders>
                  <w:vAlign w:val="center"/>
                </w:tcPr>
                <w:p>
                  <w:pPr>
                    <w:autoSpaceDE w:val="0"/>
                    <w:autoSpaceDN w:val="0"/>
                    <w:spacing w:line="240" w:lineRule="auto"/>
                    <w:ind w:firstLine="210" w:firstLineChars="100"/>
                    <w:rPr>
                      <w:rFonts w:hint="eastAsia" w:cs="宋体"/>
                      <w:b w:val="0"/>
                      <w:bCs w:val="0"/>
                      <w:color w:val="auto"/>
                      <w:sz w:val="21"/>
                      <w:szCs w:val="21"/>
                      <w:lang w:val="zh-CN" w:bidi="zh-CN"/>
                    </w:rPr>
                  </w:pPr>
                  <w:r>
                    <w:rPr>
                      <w:rFonts w:hint="eastAsia" w:cs="宋体"/>
                      <w:b w:val="0"/>
                      <w:bCs w:val="0"/>
                      <w:color w:val="auto"/>
                      <w:sz w:val="21"/>
                      <w:szCs w:val="21"/>
                      <w:lang w:val="zh-CN" w:bidi="zh-CN"/>
                    </w:rPr>
                    <w:t>事故现场、邻近区域、控制防火区域，控制和清除污染措施及相应设备的数量、使用方法、使用人员</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39" w:hRule="atLeast"/>
                <w:jc w:val="center"/>
              </w:trPr>
              <w:tc>
                <w:tcPr>
                  <w:tcW w:w="359" w:type="pct"/>
                  <w:tcBorders>
                    <w:tl2br w:val="nil"/>
                    <w:tr2bl w:val="nil"/>
                  </w:tcBorders>
                  <w:vAlign w:val="center"/>
                </w:tcPr>
                <w:p>
                  <w:pPr>
                    <w:autoSpaceDE w:val="0"/>
                    <w:autoSpaceDN w:val="0"/>
                    <w:spacing w:line="240" w:lineRule="auto"/>
                    <w:jc w:val="center"/>
                    <w:rPr>
                      <w:rFonts w:hint="eastAsia" w:cs="宋体"/>
                      <w:b w:val="0"/>
                      <w:bCs w:val="0"/>
                      <w:color w:val="auto"/>
                      <w:sz w:val="21"/>
                      <w:szCs w:val="21"/>
                      <w:lang w:bidi="zh-CN"/>
                    </w:rPr>
                  </w:pPr>
                  <w:r>
                    <w:rPr>
                      <w:rFonts w:hint="eastAsia" w:cs="宋体"/>
                      <w:b w:val="0"/>
                      <w:bCs w:val="0"/>
                      <w:color w:val="auto"/>
                      <w:sz w:val="21"/>
                      <w:szCs w:val="21"/>
                      <w:lang w:bidi="zh-CN"/>
                    </w:rPr>
                    <w:t>8</w:t>
                  </w:r>
                </w:p>
              </w:tc>
              <w:tc>
                <w:tcPr>
                  <w:tcW w:w="1488" w:type="pct"/>
                  <w:tcBorders>
                    <w:tl2br w:val="nil"/>
                    <w:tr2bl w:val="nil"/>
                  </w:tcBorders>
                  <w:vAlign w:val="center"/>
                </w:tcPr>
                <w:p>
                  <w:pPr>
                    <w:autoSpaceDE w:val="0"/>
                    <w:autoSpaceDN w:val="0"/>
                    <w:spacing w:line="240" w:lineRule="auto"/>
                    <w:jc w:val="center"/>
                    <w:rPr>
                      <w:rFonts w:hint="eastAsia" w:cs="宋体"/>
                      <w:b w:val="0"/>
                      <w:bCs w:val="0"/>
                      <w:color w:val="auto"/>
                      <w:sz w:val="21"/>
                      <w:szCs w:val="21"/>
                      <w:lang w:val="zh-CN" w:bidi="zh-CN"/>
                    </w:rPr>
                  </w:pPr>
                  <w:r>
                    <w:rPr>
                      <w:rFonts w:hint="eastAsia" w:cs="宋体"/>
                      <w:b w:val="0"/>
                      <w:bCs w:val="0"/>
                      <w:color w:val="auto"/>
                      <w:sz w:val="21"/>
                      <w:szCs w:val="21"/>
                      <w:lang w:val="zh-CN" w:bidi="zh-CN"/>
                    </w:rPr>
                    <w:t>人员紧急撤离、疏散，应急剂量控制、撤离组织计划</w:t>
                  </w:r>
                </w:p>
              </w:tc>
              <w:tc>
                <w:tcPr>
                  <w:tcW w:w="3152" w:type="pct"/>
                  <w:tcBorders>
                    <w:tl2br w:val="nil"/>
                    <w:tr2bl w:val="nil"/>
                  </w:tcBorders>
                  <w:vAlign w:val="center"/>
                </w:tcPr>
                <w:p>
                  <w:pPr>
                    <w:autoSpaceDE w:val="0"/>
                    <w:autoSpaceDN w:val="0"/>
                    <w:spacing w:line="240" w:lineRule="auto"/>
                    <w:ind w:firstLine="210" w:firstLineChars="100"/>
                    <w:rPr>
                      <w:rFonts w:hint="eastAsia" w:cs="宋体"/>
                      <w:b w:val="0"/>
                      <w:bCs w:val="0"/>
                      <w:color w:val="auto"/>
                      <w:sz w:val="21"/>
                      <w:szCs w:val="21"/>
                      <w:lang w:val="zh-CN" w:bidi="zh-CN"/>
                    </w:rPr>
                  </w:pPr>
                  <w:r>
                    <w:rPr>
                      <w:rFonts w:hint="eastAsia" w:cs="宋体"/>
                      <w:b w:val="0"/>
                      <w:bCs w:val="0"/>
                      <w:color w:val="auto"/>
                      <w:sz w:val="21"/>
                      <w:szCs w:val="21"/>
                      <w:lang w:val="zh-CN" w:bidi="zh-CN"/>
                    </w:rPr>
                    <w:t>事故现场、受事故影响的区域人员及公众对毒物应急剂量控制规定，撤离组织计划及救护，医疗救护与公众健康。</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59" w:type="pct"/>
                  <w:tcBorders>
                    <w:tl2br w:val="nil"/>
                    <w:tr2bl w:val="nil"/>
                  </w:tcBorders>
                  <w:vAlign w:val="center"/>
                </w:tcPr>
                <w:p>
                  <w:pPr>
                    <w:autoSpaceDE w:val="0"/>
                    <w:autoSpaceDN w:val="0"/>
                    <w:spacing w:line="240" w:lineRule="auto"/>
                    <w:jc w:val="center"/>
                    <w:rPr>
                      <w:rFonts w:hint="eastAsia" w:cs="宋体"/>
                      <w:b w:val="0"/>
                      <w:bCs w:val="0"/>
                      <w:color w:val="auto"/>
                      <w:sz w:val="21"/>
                      <w:szCs w:val="21"/>
                      <w:lang w:bidi="zh-CN"/>
                    </w:rPr>
                  </w:pPr>
                  <w:r>
                    <w:rPr>
                      <w:rFonts w:hint="eastAsia" w:cs="宋体"/>
                      <w:b w:val="0"/>
                      <w:bCs w:val="0"/>
                      <w:color w:val="auto"/>
                      <w:sz w:val="21"/>
                      <w:szCs w:val="21"/>
                      <w:lang w:bidi="zh-CN"/>
                    </w:rPr>
                    <w:t>9</w:t>
                  </w:r>
                </w:p>
              </w:tc>
              <w:tc>
                <w:tcPr>
                  <w:tcW w:w="1488" w:type="pct"/>
                  <w:tcBorders>
                    <w:tl2br w:val="nil"/>
                    <w:tr2bl w:val="nil"/>
                  </w:tcBorders>
                  <w:vAlign w:val="center"/>
                </w:tcPr>
                <w:p>
                  <w:pPr>
                    <w:autoSpaceDE w:val="0"/>
                    <w:autoSpaceDN w:val="0"/>
                    <w:spacing w:line="240" w:lineRule="auto"/>
                    <w:jc w:val="center"/>
                    <w:rPr>
                      <w:rFonts w:hint="eastAsia" w:cs="宋体"/>
                      <w:b w:val="0"/>
                      <w:bCs w:val="0"/>
                      <w:color w:val="auto"/>
                      <w:sz w:val="21"/>
                      <w:szCs w:val="21"/>
                      <w:lang w:val="zh-CN" w:bidi="zh-CN"/>
                    </w:rPr>
                  </w:pPr>
                  <w:r>
                    <w:rPr>
                      <w:rFonts w:hint="eastAsia" w:cs="宋体"/>
                      <w:b w:val="0"/>
                      <w:bCs w:val="0"/>
                      <w:color w:val="auto"/>
                      <w:sz w:val="21"/>
                      <w:szCs w:val="21"/>
                      <w:lang w:val="zh-CN" w:bidi="zh-CN"/>
                    </w:rPr>
                    <w:t>事故应急救援关闭程序与恢复措施</w:t>
                  </w:r>
                </w:p>
              </w:tc>
              <w:tc>
                <w:tcPr>
                  <w:tcW w:w="3152" w:type="pct"/>
                  <w:tcBorders>
                    <w:tl2br w:val="nil"/>
                    <w:tr2bl w:val="nil"/>
                  </w:tcBorders>
                  <w:vAlign w:val="center"/>
                </w:tcPr>
                <w:p>
                  <w:pPr>
                    <w:autoSpaceDE w:val="0"/>
                    <w:autoSpaceDN w:val="0"/>
                    <w:spacing w:line="240" w:lineRule="auto"/>
                    <w:ind w:firstLine="210" w:firstLineChars="100"/>
                    <w:rPr>
                      <w:rFonts w:hint="eastAsia" w:cs="宋体"/>
                      <w:b w:val="0"/>
                      <w:bCs w:val="0"/>
                      <w:color w:val="auto"/>
                      <w:sz w:val="21"/>
                      <w:szCs w:val="21"/>
                      <w:lang w:val="zh-CN" w:bidi="zh-CN"/>
                    </w:rPr>
                  </w:pPr>
                  <w:r>
                    <w:rPr>
                      <w:rFonts w:hint="eastAsia" w:cs="宋体"/>
                      <w:b w:val="0"/>
                      <w:bCs w:val="0"/>
                      <w:color w:val="auto"/>
                      <w:sz w:val="21"/>
                      <w:szCs w:val="21"/>
                      <w:lang w:val="zh-CN" w:bidi="zh-CN"/>
                    </w:rPr>
                    <w:t>规定应急状态终止程序，事故现场善后处理，恢复措施邻近区域解除事故警戒及善后恢复措施，制定有关的环境恢复措施，组织专业人员对事故后的环境变化进行监测，对事故应急措施的环境可行性进行后影响评价</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59" w:type="pct"/>
                  <w:tcBorders>
                    <w:tl2br w:val="nil"/>
                    <w:tr2bl w:val="nil"/>
                  </w:tcBorders>
                  <w:vAlign w:val="center"/>
                </w:tcPr>
                <w:p>
                  <w:pPr>
                    <w:autoSpaceDE w:val="0"/>
                    <w:autoSpaceDN w:val="0"/>
                    <w:spacing w:line="240" w:lineRule="auto"/>
                    <w:jc w:val="center"/>
                    <w:rPr>
                      <w:rFonts w:cs="宋体"/>
                      <w:b w:val="0"/>
                      <w:bCs w:val="0"/>
                      <w:color w:val="auto"/>
                      <w:sz w:val="21"/>
                      <w:szCs w:val="21"/>
                      <w:lang w:bidi="zh-CN"/>
                    </w:rPr>
                  </w:pPr>
                  <w:r>
                    <w:rPr>
                      <w:rFonts w:hint="eastAsia" w:cs="宋体"/>
                      <w:b w:val="0"/>
                      <w:bCs w:val="0"/>
                      <w:color w:val="auto"/>
                      <w:sz w:val="21"/>
                      <w:szCs w:val="21"/>
                      <w:lang w:bidi="zh-CN"/>
                    </w:rPr>
                    <w:t>10</w:t>
                  </w:r>
                </w:p>
              </w:tc>
              <w:tc>
                <w:tcPr>
                  <w:tcW w:w="1488" w:type="pct"/>
                  <w:tcBorders>
                    <w:tl2br w:val="nil"/>
                    <w:tr2bl w:val="nil"/>
                  </w:tcBorders>
                  <w:vAlign w:val="center"/>
                </w:tcPr>
                <w:p>
                  <w:pPr>
                    <w:autoSpaceDE w:val="0"/>
                    <w:autoSpaceDN w:val="0"/>
                    <w:spacing w:line="240" w:lineRule="auto"/>
                    <w:jc w:val="center"/>
                    <w:rPr>
                      <w:rFonts w:hint="eastAsia" w:cs="宋体"/>
                      <w:b w:val="0"/>
                      <w:bCs w:val="0"/>
                      <w:color w:val="auto"/>
                      <w:sz w:val="21"/>
                      <w:szCs w:val="21"/>
                      <w:lang w:val="zh-CN" w:bidi="zh-CN"/>
                    </w:rPr>
                  </w:pPr>
                  <w:r>
                    <w:rPr>
                      <w:rFonts w:hint="eastAsia" w:cs="宋体"/>
                      <w:b w:val="0"/>
                      <w:bCs w:val="0"/>
                      <w:color w:val="auto"/>
                      <w:sz w:val="21"/>
                      <w:szCs w:val="21"/>
                      <w:lang w:val="zh-CN" w:bidi="zh-CN"/>
                    </w:rPr>
                    <w:t>应急培训计划</w:t>
                  </w:r>
                </w:p>
              </w:tc>
              <w:tc>
                <w:tcPr>
                  <w:tcW w:w="3152" w:type="pct"/>
                  <w:tcBorders>
                    <w:tl2br w:val="nil"/>
                    <w:tr2bl w:val="nil"/>
                  </w:tcBorders>
                  <w:vAlign w:val="center"/>
                </w:tcPr>
                <w:p>
                  <w:pPr>
                    <w:autoSpaceDE w:val="0"/>
                    <w:autoSpaceDN w:val="0"/>
                    <w:spacing w:line="240" w:lineRule="auto"/>
                    <w:ind w:firstLine="210" w:firstLineChars="100"/>
                    <w:rPr>
                      <w:rFonts w:hint="eastAsia" w:cs="宋体"/>
                      <w:b w:val="0"/>
                      <w:bCs w:val="0"/>
                      <w:color w:val="auto"/>
                      <w:sz w:val="21"/>
                      <w:szCs w:val="21"/>
                      <w:lang w:val="zh-CN" w:bidi="zh-CN"/>
                    </w:rPr>
                  </w:pPr>
                  <w:r>
                    <w:rPr>
                      <w:rFonts w:hint="eastAsia" w:cs="宋体"/>
                      <w:b w:val="0"/>
                      <w:bCs w:val="0"/>
                      <w:color w:val="auto"/>
                      <w:sz w:val="21"/>
                      <w:szCs w:val="21"/>
                      <w:lang w:val="zh-CN" w:bidi="zh-CN"/>
                    </w:rPr>
                    <w:t>应急计划制定后，平时安排人员培训与演练</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59" w:type="pct"/>
                  <w:tcBorders>
                    <w:tl2br w:val="nil"/>
                    <w:tr2bl w:val="nil"/>
                  </w:tcBorders>
                  <w:vAlign w:val="center"/>
                </w:tcPr>
                <w:p>
                  <w:pPr>
                    <w:autoSpaceDE w:val="0"/>
                    <w:autoSpaceDN w:val="0"/>
                    <w:spacing w:line="240" w:lineRule="auto"/>
                    <w:jc w:val="center"/>
                    <w:rPr>
                      <w:rFonts w:cs="宋体"/>
                      <w:b w:val="0"/>
                      <w:bCs w:val="0"/>
                      <w:color w:val="auto"/>
                      <w:sz w:val="21"/>
                      <w:szCs w:val="21"/>
                      <w:lang w:bidi="zh-CN"/>
                    </w:rPr>
                  </w:pPr>
                  <w:r>
                    <w:rPr>
                      <w:rFonts w:hint="eastAsia" w:cs="宋体"/>
                      <w:b w:val="0"/>
                      <w:bCs w:val="0"/>
                      <w:color w:val="auto"/>
                      <w:sz w:val="21"/>
                      <w:szCs w:val="21"/>
                      <w:lang w:bidi="zh-CN"/>
                    </w:rPr>
                    <w:t>11</w:t>
                  </w:r>
                </w:p>
              </w:tc>
              <w:tc>
                <w:tcPr>
                  <w:tcW w:w="1488" w:type="pct"/>
                  <w:tcBorders>
                    <w:tl2br w:val="nil"/>
                    <w:tr2bl w:val="nil"/>
                  </w:tcBorders>
                  <w:vAlign w:val="center"/>
                </w:tcPr>
                <w:p>
                  <w:pPr>
                    <w:autoSpaceDE w:val="0"/>
                    <w:autoSpaceDN w:val="0"/>
                    <w:spacing w:line="240" w:lineRule="auto"/>
                    <w:jc w:val="center"/>
                    <w:rPr>
                      <w:rFonts w:hint="eastAsia" w:cs="宋体"/>
                      <w:b w:val="0"/>
                      <w:bCs w:val="0"/>
                      <w:color w:val="auto"/>
                      <w:sz w:val="21"/>
                      <w:szCs w:val="21"/>
                      <w:lang w:val="zh-CN" w:bidi="zh-CN"/>
                    </w:rPr>
                  </w:pPr>
                  <w:r>
                    <w:rPr>
                      <w:rFonts w:hint="eastAsia" w:cs="宋体"/>
                      <w:b w:val="0"/>
                      <w:bCs w:val="0"/>
                      <w:color w:val="auto"/>
                      <w:sz w:val="21"/>
                      <w:szCs w:val="21"/>
                      <w:lang w:val="zh-CN" w:bidi="zh-CN"/>
                    </w:rPr>
                    <w:t>公众教育和信息</w:t>
                  </w:r>
                </w:p>
              </w:tc>
              <w:tc>
                <w:tcPr>
                  <w:tcW w:w="3152" w:type="pct"/>
                  <w:tcBorders>
                    <w:tl2br w:val="nil"/>
                    <w:tr2bl w:val="nil"/>
                  </w:tcBorders>
                  <w:vAlign w:val="center"/>
                </w:tcPr>
                <w:p>
                  <w:pPr>
                    <w:autoSpaceDE w:val="0"/>
                    <w:autoSpaceDN w:val="0"/>
                    <w:spacing w:line="240" w:lineRule="auto"/>
                    <w:ind w:firstLine="210" w:firstLineChars="100"/>
                    <w:rPr>
                      <w:rFonts w:hint="eastAsia" w:cs="宋体"/>
                      <w:b w:val="0"/>
                      <w:bCs w:val="0"/>
                      <w:color w:val="auto"/>
                      <w:sz w:val="21"/>
                      <w:szCs w:val="21"/>
                      <w:lang w:val="zh-CN" w:bidi="zh-CN"/>
                    </w:rPr>
                  </w:pPr>
                  <w:r>
                    <w:rPr>
                      <w:rFonts w:hint="eastAsia" w:cs="宋体"/>
                      <w:b w:val="0"/>
                      <w:bCs w:val="0"/>
                      <w:color w:val="auto"/>
                      <w:sz w:val="21"/>
                      <w:szCs w:val="21"/>
                      <w:lang w:val="zh-CN" w:bidi="zh-CN"/>
                    </w:rPr>
                    <w:t>对邻近地区开展公众教育、培训和发布有关信息</w:t>
                  </w:r>
                </w:p>
              </w:tc>
            </w:tr>
          </w:tbl>
          <w:p>
            <w:pPr>
              <w:autoSpaceDE w:val="0"/>
              <w:autoSpaceDN w:val="0"/>
              <w:spacing w:line="360" w:lineRule="auto"/>
              <w:ind w:firstLine="480" w:firstLineChars="200"/>
              <w:rPr>
                <w:rFonts w:hint="eastAsia" w:cs="宋体"/>
                <w:color w:val="auto"/>
                <w:sz w:val="24"/>
                <w:szCs w:val="24"/>
                <w:lang w:val="zh-CN" w:bidi="zh-CN"/>
              </w:rPr>
            </w:pPr>
            <w:r>
              <w:rPr>
                <w:rFonts w:hint="eastAsia" w:cs="宋体"/>
                <w:color w:val="auto"/>
                <w:sz w:val="24"/>
                <w:szCs w:val="24"/>
                <w:lang w:val="zh-CN" w:bidi="zh-CN"/>
              </w:rPr>
              <w:t>建设单位应根据环境污染事故应急预案编制技术指南要求</w:t>
            </w:r>
            <w:r>
              <w:rPr>
                <w:rFonts w:hint="eastAsia" w:cs="宋体"/>
                <w:color w:val="auto"/>
                <w:sz w:val="24"/>
                <w:szCs w:val="24"/>
                <w:lang w:val="en-US" w:bidi="zh-CN"/>
              </w:rPr>
              <w:t>修编</w:t>
            </w:r>
            <w:r>
              <w:rPr>
                <w:rFonts w:hint="eastAsia" w:cs="宋体"/>
                <w:color w:val="auto"/>
                <w:sz w:val="24"/>
                <w:szCs w:val="24"/>
                <w:lang w:val="zh-CN" w:bidi="zh-CN"/>
              </w:rPr>
              <w:t>应急预案，并经过专家评审，审查合格后实施运行。</w:t>
            </w:r>
          </w:p>
          <w:p>
            <w:pPr>
              <w:pageBreakBefore w:val="0"/>
              <w:kinsoku/>
              <w:overflowPunct/>
              <w:bidi w:val="0"/>
              <w:snapToGrid w:val="0"/>
              <w:spacing w:line="240" w:lineRule="auto"/>
              <w:contextualSpacing/>
              <w:jc w:val="center"/>
              <w:rPr>
                <w:rFonts w:hint="default" w:ascii="Times New Roman" w:hAnsi="Times New Roman" w:eastAsia="宋体" w:cs="Times New Roman"/>
                <w:b/>
                <w:color w:val="auto"/>
                <w:sz w:val="21"/>
                <w:szCs w:val="21"/>
                <w:u w:val="none" w:color="auto"/>
              </w:rPr>
            </w:pPr>
            <w:r>
              <w:rPr>
                <w:rFonts w:hint="default" w:ascii="Times New Roman" w:hAnsi="Times New Roman" w:eastAsia="宋体" w:cs="Times New Roman"/>
                <w:b/>
                <w:color w:val="auto"/>
                <w:sz w:val="21"/>
                <w:szCs w:val="21"/>
                <w:u w:val="none" w:color="auto"/>
              </w:rPr>
              <w:t>表</w:t>
            </w:r>
            <w:r>
              <w:rPr>
                <w:rFonts w:hint="default" w:ascii="Times New Roman" w:hAnsi="Times New Roman" w:eastAsia="宋体" w:cs="Times New Roman"/>
                <w:b/>
                <w:color w:val="auto"/>
                <w:sz w:val="21"/>
                <w:szCs w:val="21"/>
                <w:u w:val="none" w:color="auto"/>
                <w:lang w:val="en-US" w:eastAsia="zh-CN"/>
              </w:rPr>
              <w:t>4-</w:t>
            </w:r>
            <w:r>
              <w:rPr>
                <w:rFonts w:hint="eastAsia" w:cs="Times New Roman"/>
                <w:b/>
                <w:color w:val="auto"/>
                <w:sz w:val="21"/>
                <w:szCs w:val="21"/>
                <w:u w:val="none" w:color="auto"/>
                <w:lang w:val="en-US" w:eastAsia="zh-CN"/>
              </w:rPr>
              <w:t xml:space="preserve">22 </w:t>
            </w:r>
            <w:r>
              <w:rPr>
                <w:rFonts w:hint="default" w:ascii="Times New Roman" w:hAnsi="Times New Roman" w:eastAsia="宋体" w:cs="Times New Roman"/>
                <w:b/>
                <w:color w:val="auto"/>
                <w:sz w:val="21"/>
                <w:szCs w:val="21"/>
                <w:u w:val="none" w:color="auto"/>
              </w:rPr>
              <w:t xml:space="preserve"> 建设项目环境风险简单分析内容表</w:t>
            </w:r>
          </w:p>
          <w:tbl>
            <w:tblPr>
              <w:tblStyle w:val="18"/>
              <w:tblW w:w="5000"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385"/>
              <w:gridCol w:w="6651"/>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62" w:type="pct"/>
                  <w:tcBorders>
                    <w:tl2br w:val="nil"/>
                    <w:tr2bl w:val="nil"/>
                  </w:tcBorders>
                  <w:vAlign w:val="center"/>
                </w:tcPr>
                <w:p>
                  <w:pPr>
                    <w:pStyle w:val="50"/>
                    <w:keepNext w:val="0"/>
                    <w:keepLines w:val="0"/>
                    <w:pageBreakBefore w:val="0"/>
                    <w:widowControl w:val="0"/>
                    <w:kinsoku/>
                    <w:wordWrap/>
                    <w:overflowPunct/>
                    <w:topLinePunct w:val="0"/>
                    <w:autoSpaceDN/>
                    <w:bidi w:val="0"/>
                    <w:adjustRightInd/>
                    <w:snapToGrid/>
                    <w:spacing w:line="240" w:lineRule="auto"/>
                    <w:jc w:val="center"/>
                    <w:textAlignment w:val="auto"/>
                    <w:rPr>
                      <w:rFonts w:hint="default" w:ascii="Times New Roman" w:hAnsi="Times New Roman" w:eastAsia="宋体" w:cs="Times New Roman"/>
                      <w:b w:val="0"/>
                      <w:bCs/>
                      <w:color w:val="auto"/>
                      <w:sz w:val="21"/>
                      <w:szCs w:val="21"/>
                      <w:u w:val="none" w:color="auto"/>
                    </w:rPr>
                  </w:pPr>
                  <w:r>
                    <w:rPr>
                      <w:rFonts w:hint="default" w:ascii="Times New Roman" w:hAnsi="Times New Roman" w:eastAsia="宋体" w:cs="Times New Roman"/>
                      <w:b w:val="0"/>
                      <w:bCs/>
                      <w:color w:val="auto"/>
                      <w:sz w:val="21"/>
                      <w:szCs w:val="21"/>
                      <w:u w:val="none" w:color="auto"/>
                    </w:rPr>
                    <w:t>建设项目名称</w:t>
                  </w:r>
                </w:p>
              </w:tc>
              <w:tc>
                <w:tcPr>
                  <w:tcW w:w="4137" w:type="pct"/>
                  <w:tcBorders>
                    <w:tl2br w:val="nil"/>
                    <w:tr2bl w:val="nil"/>
                  </w:tcBorders>
                  <w:vAlign w:val="center"/>
                </w:tcPr>
                <w:p>
                  <w:pPr>
                    <w:keepNext w:val="0"/>
                    <w:keepLines w:val="0"/>
                    <w:pageBreakBefore w:val="0"/>
                    <w:widowControl w:val="0"/>
                    <w:kinsoku/>
                    <w:wordWrap/>
                    <w:overflowPunct/>
                    <w:topLinePunct w:val="0"/>
                    <w:autoSpaceDE w:val="0"/>
                    <w:autoSpaceDN/>
                    <w:bidi w:val="0"/>
                    <w:adjustRightInd/>
                    <w:snapToGrid/>
                    <w:spacing w:line="240" w:lineRule="auto"/>
                    <w:jc w:val="center"/>
                    <w:textAlignment w:val="auto"/>
                    <w:rPr>
                      <w:rFonts w:hint="default" w:ascii="Times New Roman" w:hAnsi="Times New Roman" w:eastAsia="宋体" w:cs="Times New Roman"/>
                      <w:b w:val="0"/>
                      <w:bCs/>
                      <w:color w:val="auto"/>
                      <w:sz w:val="21"/>
                      <w:szCs w:val="21"/>
                      <w:u w:val="none" w:color="auto"/>
                    </w:rPr>
                  </w:pPr>
                  <w:r>
                    <w:rPr>
                      <w:rFonts w:hint="default" w:ascii="Times New Roman" w:hAnsi="Times New Roman" w:eastAsia="宋体" w:cs="Times New Roman"/>
                      <w:b w:val="0"/>
                      <w:bCs/>
                      <w:color w:val="auto"/>
                      <w:sz w:val="21"/>
                      <w:szCs w:val="21"/>
                      <w:u w:val="none" w:color="auto"/>
                      <w:lang w:val="en-US" w:eastAsia="zh-CN"/>
                    </w:rPr>
                    <w:t>湖南省鑫汇鑫环保科技有限公司</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62" w:type="pct"/>
                  <w:tcBorders>
                    <w:tl2br w:val="nil"/>
                    <w:tr2bl w:val="nil"/>
                  </w:tcBorders>
                  <w:vAlign w:val="center"/>
                </w:tcPr>
                <w:p>
                  <w:pPr>
                    <w:pStyle w:val="50"/>
                    <w:keepNext w:val="0"/>
                    <w:keepLines w:val="0"/>
                    <w:pageBreakBefore w:val="0"/>
                    <w:widowControl w:val="0"/>
                    <w:kinsoku/>
                    <w:wordWrap/>
                    <w:overflowPunct/>
                    <w:topLinePunct w:val="0"/>
                    <w:autoSpaceDN/>
                    <w:bidi w:val="0"/>
                    <w:adjustRightInd/>
                    <w:snapToGrid/>
                    <w:spacing w:line="240" w:lineRule="auto"/>
                    <w:jc w:val="center"/>
                    <w:textAlignment w:val="auto"/>
                    <w:rPr>
                      <w:rFonts w:hint="default" w:ascii="Times New Roman" w:hAnsi="Times New Roman" w:eastAsia="宋体" w:cs="Times New Roman"/>
                      <w:b w:val="0"/>
                      <w:bCs/>
                      <w:color w:val="auto"/>
                      <w:sz w:val="21"/>
                      <w:szCs w:val="21"/>
                      <w:u w:val="none" w:color="auto"/>
                    </w:rPr>
                  </w:pPr>
                  <w:r>
                    <w:rPr>
                      <w:rFonts w:hint="default" w:ascii="Times New Roman" w:hAnsi="Times New Roman" w:eastAsia="宋体" w:cs="Times New Roman"/>
                      <w:b w:val="0"/>
                      <w:bCs/>
                      <w:color w:val="auto"/>
                      <w:sz w:val="21"/>
                      <w:szCs w:val="21"/>
                      <w:u w:val="none" w:color="auto"/>
                    </w:rPr>
                    <w:t>建设地点</w:t>
                  </w:r>
                </w:p>
              </w:tc>
              <w:tc>
                <w:tcPr>
                  <w:tcW w:w="4137" w:type="pct"/>
                  <w:tcBorders>
                    <w:tl2br w:val="nil"/>
                    <w:tr2bl w:val="nil"/>
                  </w:tcBorders>
                  <w:vAlign w:val="center"/>
                </w:tcPr>
                <w:p>
                  <w:pPr>
                    <w:keepNext w:val="0"/>
                    <w:keepLines w:val="0"/>
                    <w:pageBreakBefore w:val="0"/>
                    <w:widowControl w:val="0"/>
                    <w:kinsoku/>
                    <w:wordWrap/>
                    <w:overflowPunct/>
                    <w:topLinePunct w:val="0"/>
                    <w:autoSpaceDE w:val="0"/>
                    <w:autoSpaceDN/>
                    <w:bidi w:val="0"/>
                    <w:adjustRightInd/>
                    <w:snapToGrid/>
                    <w:spacing w:line="240" w:lineRule="auto"/>
                    <w:jc w:val="center"/>
                    <w:textAlignment w:val="auto"/>
                    <w:rPr>
                      <w:rFonts w:hint="default" w:ascii="Times New Roman" w:hAnsi="Times New Roman" w:eastAsia="宋体" w:cs="Times New Roman"/>
                      <w:b w:val="0"/>
                      <w:bCs/>
                      <w:color w:val="auto"/>
                      <w:sz w:val="21"/>
                      <w:szCs w:val="21"/>
                      <w:u w:val="none" w:color="auto"/>
                    </w:rPr>
                  </w:pPr>
                  <w:r>
                    <w:rPr>
                      <w:rFonts w:hint="default" w:ascii="Times New Roman" w:hAnsi="Times New Roman" w:eastAsia="宋体" w:cs="Times New Roman"/>
                      <w:b w:val="0"/>
                      <w:bCs/>
                      <w:sz w:val="21"/>
                      <w:szCs w:val="21"/>
                      <w:lang w:val="en-US" w:eastAsia="zh-CN"/>
                    </w:rPr>
                    <w:t>归阳工业园云鹤循环经济产业园</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62" w:type="pct"/>
                  <w:tcBorders>
                    <w:tl2br w:val="nil"/>
                    <w:tr2bl w:val="nil"/>
                  </w:tcBorders>
                  <w:vAlign w:val="center"/>
                </w:tcPr>
                <w:p>
                  <w:pPr>
                    <w:pStyle w:val="50"/>
                    <w:keepNext w:val="0"/>
                    <w:keepLines w:val="0"/>
                    <w:pageBreakBefore w:val="0"/>
                    <w:widowControl w:val="0"/>
                    <w:kinsoku/>
                    <w:wordWrap/>
                    <w:overflowPunct/>
                    <w:topLinePunct w:val="0"/>
                    <w:autoSpaceDN/>
                    <w:bidi w:val="0"/>
                    <w:adjustRightInd/>
                    <w:snapToGrid/>
                    <w:spacing w:line="240" w:lineRule="auto"/>
                    <w:jc w:val="center"/>
                    <w:textAlignment w:val="auto"/>
                    <w:rPr>
                      <w:rFonts w:hint="default" w:ascii="Times New Roman" w:hAnsi="Times New Roman" w:eastAsia="宋体" w:cs="Times New Roman"/>
                      <w:b w:val="0"/>
                      <w:bCs/>
                      <w:color w:val="auto"/>
                      <w:sz w:val="21"/>
                      <w:szCs w:val="21"/>
                      <w:u w:val="none" w:color="auto"/>
                    </w:rPr>
                  </w:pPr>
                  <w:r>
                    <w:rPr>
                      <w:rFonts w:hint="default" w:ascii="Times New Roman" w:hAnsi="Times New Roman" w:eastAsia="宋体" w:cs="Times New Roman"/>
                      <w:b w:val="0"/>
                      <w:bCs/>
                      <w:color w:val="auto"/>
                      <w:sz w:val="21"/>
                      <w:szCs w:val="21"/>
                      <w:u w:val="none" w:color="auto"/>
                    </w:rPr>
                    <w:t>地理坐标</w:t>
                  </w:r>
                </w:p>
              </w:tc>
              <w:tc>
                <w:tcPr>
                  <w:tcW w:w="4137" w:type="pct"/>
                  <w:tcBorders>
                    <w:tl2br w:val="nil"/>
                    <w:tr2bl w:val="nil"/>
                  </w:tcBorders>
                  <w:vAlign w:val="center"/>
                </w:tcPr>
                <w:p>
                  <w:pPr>
                    <w:pStyle w:val="50"/>
                    <w:keepNext w:val="0"/>
                    <w:keepLines w:val="0"/>
                    <w:pageBreakBefore w:val="0"/>
                    <w:widowControl w:val="0"/>
                    <w:kinsoku/>
                    <w:wordWrap/>
                    <w:overflowPunct/>
                    <w:topLinePunct w:val="0"/>
                    <w:autoSpaceDN/>
                    <w:bidi w:val="0"/>
                    <w:adjustRightInd/>
                    <w:snapToGrid/>
                    <w:spacing w:line="240" w:lineRule="auto"/>
                    <w:jc w:val="center"/>
                    <w:textAlignment w:val="auto"/>
                    <w:rPr>
                      <w:rFonts w:hint="default" w:ascii="Times New Roman" w:hAnsi="Times New Roman" w:eastAsia="宋体" w:cs="Times New Roman"/>
                      <w:b w:val="0"/>
                      <w:bCs/>
                      <w:color w:val="auto"/>
                      <w:sz w:val="21"/>
                      <w:szCs w:val="21"/>
                      <w:u w:val="none" w:color="auto"/>
                      <w:lang w:val="en-US" w:eastAsia="zh-CN"/>
                    </w:rPr>
                  </w:pPr>
                  <w:r>
                    <w:rPr>
                      <w:rFonts w:hint="default" w:ascii="Times New Roman" w:hAnsi="Times New Roman" w:eastAsia="宋体" w:cs="Times New Roman"/>
                      <w:b w:val="0"/>
                      <w:bCs/>
                      <w:sz w:val="21"/>
                      <w:szCs w:val="21"/>
                      <w:lang w:val="en-US" w:eastAsia="zh-CN"/>
                    </w:rPr>
                    <w:t>经度</w:t>
                  </w:r>
                  <w:r>
                    <w:rPr>
                      <w:rFonts w:hint="eastAsia" w:cs="Times New Roman"/>
                      <w:b w:val="0"/>
                      <w:bCs/>
                      <w:sz w:val="21"/>
                      <w:szCs w:val="21"/>
                      <w:lang w:val="en-US" w:eastAsia="zh-CN"/>
                    </w:rPr>
                    <w:t>112.202833555</w:t>
                  </w:r>
                  <w:r>
                    <w:rPr>
                      <w:rFonts w:hint="default" w:ascii="Times New Roman" w:hAnsi="Times New Roman" w:eastAsia="宋体" w:cs="Times New Roman"/>
                      <w:b w:val="0"/>
                      <w:bCs/>
                      <w:sz w:val="21"/>
                      <w:szCs w:val="21"/>
                      <w:lang w:val="en-US" w:eastAsia="zh-CN"/>
                    </w:rPr>
                    <w:t>, 纬度</w:t>
                  </w:r>
                  <w:r>
                    <w:rPr>
                      <w:rFonts w:hint="eastAsia" w:cs="Times New Roman"/>
                      <w:b w:val="0"/>
                      <w:bCs/>
                      <w:sz w:val="21"/>
                      <w:szCs w:val="21"/>
                      <w:lang w:val="en-US" w:eastAsia="zh-CN"/>
                    </w:rPr>
                    <w:t>22.561226961</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62" w:type="pct"/>
                  <w:tcBorders>
                    <w:tl2br w:val="nil"/>
                    <w:tr2bl w:val="nil"/>
                  </w:tcBorders>
                  <w:vAlign w:val="center"/>
                </w:tcPr>
                <w:p>
                  <w:pPr>
                    <w:pStyle w:val="50"/>
                    <w:keepNext w:val="0"/>
                    <w:keepLines w:val="0"/>
                    <w:pageBreakBefore w:val="0"/>
                    <w:widowControl w:val="0"/>
                    <w:kinsoku/>
                    <w:wordWrap/>
                    <w:overflowPunct/>
                    <w:topLinePunct w:val="0"/>
                    <w:autoSpaceDN/>
                    <w:bidi w:val="0"/>
                    <w:adjustRightInd/>
                    <w:snapToGrid/>
                    <w:spacing w:line="240" w:lineRule="auto"/>
                    <w:jc w:val="center"/>
                    <w:textAlignment w:val="auto"/>
                    <w:rPr>
                      <w:rFonts w:hint="default" w:ascii="Times New Roman" w:hAnsi="Times New Roman" w:eastAsia="宋体" w:cs="Times New Roman"/>
                      <w:b w:val="0"/>
                      <w:bCs/>
                      <w:color w:val="auto"/>
                      <w:sz w:val="21"/>
                      <w:szCs w:val="21"/>
                      <w:u w:val="none" w:color="auto"/>
                    </w:rPr>
                  </w:pPr>
                  <w:r>
                    <w:rPr>
                      <w:rFonts w:hint="default" w:ascii="Times New Roman" w:hAnsi="Times New Roman" w:eastAsia="宋体" w:cs="Times New Roman"/>
                      <w:b w:val="0"/>
                      <w:bCs/>
                      <w:color w:val="auto"/>
                      <w:sz w:val="21"/>
                      <w:szCs w:val="21"/>
                      <w:u w:val="none" w:color="auto"/>
                    </w:rPr>
                    <w:t>主要危险物质及分布</w:t>
                  </w:r>
                </w:p>
              </w:tc>
              <w:tc>
                <w:tcPr>
                  <w:tcW w:w="4137" w:type="pct"/>
                  <w:tcBorders>
                    <w:tl2br w:val="nil"/>
                    <w:tr2bl w:val="nil"/>
                  </w:tcBorders>
                  <w:vAlign w:val="center"/>
                </w:tcPr>
                <w:p>
                  <w:pPr>
                    <w:keepNext w:val="0"/>
                    <w:keepLines w:val="0"/>
                    <w:pageBreakBefore w:val="0"/>
                    <w:widowControl/>
                    <w:suppressLineNumbers w:val="0"/>
                    <w:kinsoku/>
                    <w:wordWrap/>
                    <w:overflowPunct/>
                    <w:topLinePunct w:val="0"/>
                    <w:autoSpaceDN/>
                    <w:bidi w:val="0"/>
                    <w:adjustRightInd/>
                    <w:snapToGrid/>
                    <w:spacing w:line="240" w:lineRule="auto"/>
                    <w:jc w:val="center"/>
                    <w:textAlignment w:val="auto"/>
                    <w:rPr>
                      <w:rFonts w:hint="default" w:ascii="Times New Roman" w:hAnsi="Times New Roman" w:eastAsia="宋体" w:cs="Times New Roman"/>
                      <w:b w:val="0"/>
                      <w:bCs/>
                      <w:color w:val="auto"/>
                      <w:sz w:val="21"/>
                      <w:szCs w:val="21"/>
                      <w:u w:val="none" w:color="auto"/>
                      <w:lang w:val="en-US" w:eastAsia="zh-CN"/>
                    </w:rPr>
                  </w:pPr>
                  <w:r>
                    <w:rPr>
                      <w:rFonts w:hint="eastAsia" w:ascii="Times New Roman" w:hAnsi="Times New Roman" w:eastAsia="宋体" w:cs="Times New Roman"/>
                      <w:b w:val="0"/>
                      <w:bCs/>
                      <w:color w:val="auto"/>
                      <w:sz w:val="21"/>
                      <w:szCs w:val="21"/>
                      <w:u w:val="none" w:color="auto"/>
                      <w:lang w:val="en-US" w:eastAsia="zh-CN"/>
                    </w:rPr>
                    <w:t>项目生产过程中主要涉及的风险物质包括：废铅酸电池、废油液等。</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62" w:type="pct"/>
                  <w:tcBorders>
                    <w:tl2br w:val="nil"/>
                    <w:tr2bl w:val="nil"/>
                  </w:tcBorders>
                  <w:vAlign w:val="center"/>
                </w:tcPr>
                <w:p>
                  <w:pPr>
                    <w:pStyle w:val="50"/>
                    <w:keepNext w:val="0"/>
                    <w:keepLines w:val="0"/>
                    <w:pageBreakBefore w:val="0"/>
                    <w:widowControl w:val="0"/>
                    <w:kinsoku/>
                    <w:wordWrap/>
                    <w:overflowPunct/>
                    <w:topLinePunct w:val="0"/>
                    <w:autoSpaceDN/>
                    <w:bidi w:val="0"/>
                    <w:adjustRightInd/>
                    <w:snapToGrid/>
                    <w:spacing w:line="240" w:lineRule="auto"/>
                    <w:jc w:val="center"/>
                    <w:textAlignment w:val="auto"/>
                    <w:rPr>
                      <w:rFonts w:hint="default" w:ascii="Times New Roman" w:hAnsi="Times New Roman" w:eastAsia="宋体" w:cs="Times New Roman"/>
                      <w:b w:val="0"/>
                      <w:bCs/>
                      <w:color w:val="auto"/>
                      <w:sz w:val="21"/>
                      <w:szCs w:val="21"/>
                      <w:u w:val="none" w:color="auto"/>
                    </w:rPr>
                  </w:pPr>
                  <w:r>
                    <w:rPr>
                      <w:rFonts w:hint="default" w:ascii="Times New Roman" w:hAnsi="Times New Roman" w:eastAsia="宋体" w:cs="Times New Roman"/>
                      <w:b w:val="0"/>
                      <w:bCs/>
                      <w:color w:val="auto"/>
                      <w:sz w:val="21"/>
                      <w:szCs w:val="21"/>
                      <w:u w:val="none" w:color="auto"/>
                    </w:rPr>
                    <w:t>环境影响途径及危害后果（大气、地表水、地下水等）</w:t>
                  </w:r>
                </w:p>
              </w:tc>
              <w:tc>
                <w:tcPr>
                  <w:tcW w:w="4137" w:type="pct"/>
                  <w:tcBorders>
                    <w:tl2br w:val="nil"/>
                    <w:tr2bl w:val="nil"/>
                  </w:tcBorders>
                  <w:vAlign w:val="center"/>
                </w:tcPr>
                <w:p>
                  <w:pPr>
                    <w:keepNext w:val="0"/>
                    <w:keepLines w:val="0"/>
                    <w:pageBreakBefore w:val="0"/>
                    <w:widowControl/>
                    <w:suppressLineNumbers w:val="0"/>
                    <w:kinsoku/>
                    <w:wordWrap/>
                    <w:overflowPunct/>
                    <w:topLinePunct w:val="0"/>
                    <w:autoSpaceDN/>
                    <w:bidi w:val="0"/>
                    <w:adjustRightInd/>
                    <w:snapToGrid/>
                    <w:spacing w:line="240" w:lineRule="auto"/>
                    <w:jc w:val="left"/>
                    <w:textAlignment w:val="auto"/>
                    <w:rPr>
                      <w:rFonts w:hint="default" w:ascii="Times New Roman" w:hAnsi="Times New Roman" w:eastAsia="宋体" w:cs="Times New Roman"/>
                      <w:b w:val="0"/>
                      <w:bCs/>
                      <w:color w:val="auto"/>
                      <w:sz w:val="21"/>
                      <w:szCs w:val="21"/>
                      <w:u w:val="none" w:color="auto"/>
                      <w:lang w:val="en-US" w:eastAsia="zh-CN"/>
                    </w:rPr>
                  </w:pPr>
                  <w:r>
                    <w:rPr>
                      <w:rFonts w:hint="default" w:ascii="Times New Roman" w:hAnsi="Times New Roman" w:eastAsia="宋体" w:cs="Times New Roman"/>
                      <w:b w:val="0"/>
                      <w:bCs/>
                      <w:color w:val="auto"/>
                      <w:sz w:val="21"/>
                      <w:szCs w:val="21"/>
                      <w:u w:val="none" w:color="auto"/>
                      <w:lang w:val="en-US" w:eastAsia="zh-CN"/>
                    </w:rPr>
                    <w:t>①有毒有害物质泄漏。废油液可能由于容器的倾翻或破损而引起泄漏，破损的蓄电池可能造成硫酸泄漏在车间地面，泄漏的有毒有害物质有可能直接进入厂区内污水管网、雨水管网，未经处理直接外排，造成周边地表水环境、地下水环境污染。</w:t>
                  </w:r>
                </w:p>
                <w:p>
                  <w:pPr>
                    <w:keepNext w:val="0"/>
                    <w:keepLines w:val="0"/>
                    <w:pageBreakBefore w:val="0"/>
                    <w:widowControl/>
                    <w:suppressLineNumbers w:val="0"/>
                    <w:kinsoku/>
                    <w:wordWrap/>
                    <w:overflowPunct/>
                    <w:topLinePunct w:val="0"/>
                    <w:autoSpaceDN/>
                    <w:bidi w:val="0"/>
                    <w:adjustRightInd/>
                    <w:snapToGrid/>
                    <w:spacing w:line="240" w:lineRule="auto"/>
                    <w:jc w:val="left"/>
                    <w:textAlignment w:val="auto"/>
                    <w:rPr>
                      <w:rFonts w:hint="default" w:ascii="Times New Roman" w:hAnsi="Times New Roman" w:eastAsia="宋体" w:cs="Times New Roman"/>
                      <w:b w:val="0"/>
                      <w:bCs/>
                      <w:color w:val="auto"/>
                      <w:sz w:val="21"/>
                      <w:szCs w:val="21"/>
                      <w:u w:val="none" w:color="auto"/>
                      <w:lang w:val="en-US" w:eastAsia="zh-CN"/>
                    </w:rPr>
                  </w:pPr>
                  <w:r>
                    <w:rPr>
                      <w:rFonts w:hint="default" w:ascii="Times New Roman" w:hAnsi="Times New Roman" w:eastAsia="宋体" w:cs="Times New Roman"/>
                      <w:b w:val="0"/>
                      <w:bCs/>
                      <w:color w:val="auto"/>
                      <w:sz w:val="21"/>
                      <w:szCs w:val="21"/>
                      <w:u w:val="none" w:color="auto"/>
                      <w:lang w:val="en-US" w:eastAsia="zh-CN"/>
                    </w:rPr>
                    <w:t>②火灾影响。车体拆解过程中将使用乙炔、拆解后会产生汽油、柴油等各类易燃废油液，因此可能引发火灾事故。汽油、柴油燃烧后产物为CO、CO2，对周边大气环境将造成一定的影响。</w:t>
                  </w:r>
                </w:p>
                <w:p>
                  <w:pPr>
                    <w:keepNext w:val="0"/>
                    <w:keepLines w:val="0"/>
                    <w:pageBreakBefore w:val="0"/>
                    <w:widowControl/>
                    <w:suppressLineNumbers w:val="0"/>
                    <w:kinsoku/>
                    <w:wordWrap/>
                    <w:overflowPunct/>
                    <w:topLinePunct w:val="0"/>
                    <w:autoSpaceDN/>
                    <w:bidi w:val="0"/>
                    <w:adjustRightInd/>
                    <w:snapToGrid/>
                    <w:spacing w:line="240" w:lineRule="auto"/>
                    <w:jc w:val="left"/>
                    <w:textAlignment w:val="auto"/>
                    <w:rPr>
                      <w:rFonts w:hint="default" w:ascii="Times New Roman" w:hAnsi="Times New Roman" w:eastAsia="宋体" w:cs="Times New Roman"/>
                      <w:b w:val="0"/>
                      <w:bCs/>
                      <w:color w:val="auto"/>
                      <w:sz w:val="21"/>
                      <w:szCs w:val="21"/>
                      <w:u w:val="none" w:color="auto"/>
                      <w:lang w:val="en-US" w:eastAsia="zh-CN"/>
                    </w:rPr>
                  </w:pPr>
                  <w:r>
                    <w:rPr>
                      <w:rFonts w:hint="default" w:ascii="Times New Roman" w:hAnsi="Times New Roman" w:eastAsia="宋体" w:cs="Times New Roman"/>
                      <w:b w:val="0"/>
                      <w:bCs/>
                      <w:color w:val="auto"/>
                      <w:sz w:val="21"/>
                      <w:szCs w:val="21"/>
                      <w:u w:val="none" w:color="auto"/>
                      <w:lang w:val="en-US" w:eastAsia="zh-CN"/>
                    </w:rPr>
                    <w:t>③消防废水影响。火灾事故发生时，灭火产生的消防废水可能含受泄漏的物质污染，消防废水未收集处理直接外排会影响周边地表水体。</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2" w:hRule="atLeast"/>
              </w:trPr>
              <w:tc>
                <w:tcPr>
                  <w:tcW w:w="862" w:type="pct"/>
                  <w:tcBorders>
                    <w:tl2br w:val="nil"/>
                    <w:tr2bl w:val="nil"/>
                  </w:tcBorders>
                  <w:vAlign w:val="center"/>
                </w:tcPr>
                <w:p>
                  <w:pPr>
                    <w:pStyle w:val="50"/>
                    <w:keepNext w:val="0"/>
                    <w:keepLines w:val="0"/>
                    <w:pageBreakBefore w:val="0"/>
                    <w:widowControl w:val="0"/>
                    <w:kinsoku/>
                    <w:wordWrap/>
                    <w:overflowPunct/>
                    <w:topLinePunct w:val="0"/>
                    <w:autoSpaceDN/>
                    <w:bidi w:val="0"/>
                    <w:adjustRightInd/>
                    <w:snapToGrid/>
                    <w:spacing w:line="240" w:lineRule="auto"/>
                    <w:jc w:val="center"/>
                    <w:textAlignment w:val="auto"/>
                    <w:rPr>
                      <w:rFonts w:hint="default" w:ascii="Times New Roman" w:hAnsi="Times New Roman" w:eastAsia="宋体" w:cs="Times New Roman"/>
                      <w:b w:val="0"/>
                      <w:bCs/>
                      <w:color w:val="auto"/>
                      <w:sz w:val="21"/>
                      <w:szCs w:val="21"/>
                      <w:u w:val="none" w:color="auto"/>
                    </w:rPr>
                  </w:pPr>
                  <w:r>
                    <w:rPr>
                      <w:rFonts w:hint="default" w:ascii="Times New Roman" w:hAnsi="Times New Roman" w:eastAsia="宋体" w:cs="Times New Roman"/>
                      <w:b w:val="0"/>
                      <w:bCs/>
                      <w:color w:val="auto"/>
                      <w:sz w:val="21"/>
                      <w:szCs w:val="21"/>
                      <w:u w:val="none" w:color="auto"/>
                    </w:rPr>
                    <w:t>风险防范措施要求</w:t>
                  </w:r>
                </w:p>
              </w:tc>
              <w:tc>
                <w:tcPr>
                  <w:tcW w:w="4137" w:type="pct"/>
                  <w:tcBorders>
                    <w:tl2br w:val="nil"/>
                    <w:tr2bl w:val="nil"/>
                  </w:tcBorders>
                  <w:vAlign w:val="center"/>
                </w:tcPr>
                <w:p>
                  <w:pPr>
                    <w:tabs>
                      <w:tab w:val="right" w:pos="8730"/>
                    </w:tabs>
                    <w:spacing w:line="240" w:lineRule="auto"/>
                    <w:jc w:val="left"/>
                    <w:rPr>
                      <w:rFonts w:hint="eastAsia"/>
                      <w:b w:val="0"/>
                      <w:bCs/>
                      <w:color w:val="auto"/>
                      <w:sz w:val="21"/>
                      <w:szCs w:val="21"/>
                      <w:lang w:val="en-US" w:eastAsia="zh-CN"/>
                    </w:rPr>
                  </w:pPr>
                  <w:r>
                    <w:rPr>
                      <w:rFonts w:hint="eastAsia"/>
                      <w:b w:val="0"/>
                      <w:bCs/>
                      <w:color w:val="auto"/>
                      <w:sz w:val="21"/>
                      <w:szCs w:val="21"/>
                      <w:lang w:val="en-US" w:eastAsia="zh-CN"/>
                    </w:rPr>
                    <w:t>①加强废气收集和处理设施维护，确保废气处理设施正常运行</w:t>
                  </w:r>
                </w:p>
                <w:p>
                  <w:pPr>
                    <w:tabs>
                      <w:tab w:val="right" w:pos="8730"/>
                    </w:tabs>
                    <w:spacing w:line="240" w:lineRule="auto"/>
                    <w:jc w:val="left"/>
                    <w:rPr>
                      <w:rFonts w:cs="宋体"/>
                      <w:b w:val="0"/>
                      <w:bCs/>
                      <w:color w:val="auto"/>
                      <w:sz w:val="21"/>
                      <w:szCs w:val="21"/>
                      <w:lang w:val="zh-CN" w:bidi="zh-CN"/>
                    </w:rPr>
                  </w:pPr>
                  <w:r>
                    <w:rPr>
                      <w:rFonts w:hint="eastAsia"/>
                      <w:b w:val="0"/>
                      <w:bCs/>
                      <w:color w:val="auto"/>
                      <w:sz w:val="21"/>
                      <w:szCs w:val="21"/>
                      <w:lang w:val="en-US" w:eastAsia="zh-CN"/>
                    </w:rPr>
                    <w:t>②</w:t>
                  </w:r>
                  <w:r>
                    <w:rPr>
                      <w:rFonts w:hint="eastAsia"/>
                      <w:b w:val="0"/>
                      <w:bCs/>
                      <w:color w:val="auto"/>
                      <w:sz w:val="21"/>
                      <w:szCs w:val="21"/>
                    </w:rPr>
                    <w:t>危废暂存间等各</w:t>
                  </w:r>
                  <w:r>
                    <w:rPr>
                      <w:rFonts w:hint="eastAsia"/>
                      <w:b w:val="0"/>
                      <w:bCs/>
                      <w:color w:val="auto"/>
                      <w:sz w:val="21"/>
                      <w:szCs w:val="21"/>
                      <w:lang w:val="en-US" w:eastAsia="zh-CN"/>
                    </w:rPr>
                    <w:t>液体</w:t>
                  </w:r>
                  <w:r>
                    <w:rPr>
                      <w:b w:val="0"/>
                      <w:bCs/>
                      <w:color w:val="auto"/>
                      <w:sz w:val="21"/>
                      <w:szCs w:val="21"/>
                    </w:rPr>
                    <w:t>储存区设置围堰</w:t>
                  </w:r>
                  <w:r>
                    <w:rPr>
                      <w:rFonts w:cs="宋体"/>
                      <w:b w:val="0"/>
                      <w:bCs/>
                      <w:color w:val="auto"/>
                      <w:sz w:val="21"/>
                      <w:szCs w:val="21"/>
                      <w:lang w:val="zh-CN" w:bidi="zh-CN"/>
                    </w:rPr>
                    <w:t>；</w:t>
                  </w:r>
                </w:p>
                <w:p>
                  <w:pPr>
                    <w:tabs>
                      <w:tab w:val="right" w:pos="8730"/>
                    </w:tabs>
                    <w:spacing w:line="240" w:lineRule="auto"/>
                    <w:jc w:val="left"/>
                    <w:rPr>
                      <w:rFonts w:hint="eastAsia"/>
                      <w:b w:val="0"/>
                      <w:bCs/>
                      <w:color w:val="auto"/>
                      <w:sz w:val="21"/>
                      <w:szCs w:val="21"/>
                      <w:lang w:val="en-US" w:eastAsia="zh-CN"/>
                    </w:rPr>
                  </w:pPr>
                  <w:r>
                    <w:rPr>
                      <w:rFonts w:hint="eastAsia" w:cs="宋体"/>
                      <w:b w:val="0"/>
                      <w:bCs/>
                      <w:color w:val="auto"/>
                      <w:sz w:val="21"/>
                      <w:szCs w:val="21"/>
                      <w:lang w:val="en-US" w:bidi="zh-CN"/>
                    </w:rPr>
                    <w:t>③</w:t>
                  </w:r>
                  <w:r>
                    <w:rPr>
                      <w:rFonts w:hint="eastAsia"/>
                      <w:b w:val="0"/>
                      <w:bCs/>
                      <w:color w:val="auto"/>
                      <w:sz w:val="21"/>
                      <w:szCs w:val="21"/>
                      <w:u w:val="none" w:color="auto"/>
                      <w:lang w:val="en-US" w:eastAsia="zh-CN"/>
                    </w:rPr>
                    <w:t>设置事故水池，发生火灾事故时，关闭雨水阀门，将消防废水引入事故池和污水收集池、隔油池，集中处理，消除隐患后排放</w:t>
                  </w:r>
                  <w:r>
                    <w:rPr>
                      <w:rFonts w:hint="eastAsia"/>
                      <w:b w:val="0"/>
                      <w:bCs/>
                      <w:color w:val="auto"/>
                      <w:sz w:val="21"/>
                      <w:szCs w:val="21"/>
                      <w:lang w:val="en-US" w:eastAsia="zh-CN"/>
                    </w:rPr>
                    <w:t>；</w:t>
                  </w:r>
                </w:p>
                <w:p>
                  <w:pPr>
                    <w:tabs>
                      <w:tab w:val="right" w:pos="8730"/>
                    </w:tabs>
                    <w:spacing w:line="240" w:lineRule="auto"/>
                    <w:jc w:val="left"/>
                    <w:rPr>
                      <w:rFonts w:hint="default" w:ascii="Times New Roman" w:hAnsi="Times New Roman" w:eastAsia="宋体" w:cs="Times New Roman"/>
                      <w:b w:val="0"/>
                      <w:bCs/>
                      <w:color w:val="auto"/>
                      <w:kern w:val="2"/>
                      <w:sz w:val="21"/>
                      <w:szCs w:val="21"/>
                      <w:lang w:val="en-US" w:eastAsia="zh-CN" w:bidi="ar-SA"/>
                    </w:rPr>
                  </w:pPr>
                  <w:r>
                    <w:rPr>
                      <w:rFonts w:hint="eastAsia"/>
                      <w:b w:val="0"/>
                      <w:bCs/>
                      <w:color w:val="auto"/>
                      <w:sz w:val="21"/>
                      <w:szCs w:val="21"/>
                      <w:lang w:val="en-US" w:eastAsia="zh-CN"/>
                    </w:rPr>
                    <w:t>④据本项目厂区可能泄漏至地面区域污染物的性质和生产单元的构筑方式，将厂区划分为重点污染防治区（</w:t>
                  </w:r>
                  <w:r>
                    <w:rPr>
                      <w:rFonts w:hint="default"/>
                      <w:b w:val="0"/>
                      <w:bCs/>
                      <w:color w:val="auto"/>
                      <w:sz w:val="21"/>
                      <w:szCs w:val="21"/>
                      <w:lang w:val="en-US" w:eastAsia="zh-CN"/>
                    </w:rPr>
                    <w:t>括</w:t>
                  </w:r>
                  <w:r>
                    <w:rPr>
                      <w:rFonts w:hint="eastAsia"/>
                      <w:b w:val="0"/>
                      <w:bCs/>
                      <w:color w:val="auto"/>
                      <w:sz w:val="21"/>
                      <w:szCs w:val="21"/>
                      <w:lang w:val="en-US" w:eastAsia="zh-CN"/>
                    </w:rPr>
                    <w:t>污水处理站</w:t>
                  </w:r>
                  <w:r>
                    <w:rPr>
                      <w:rFonts w:hint="default"/>
                      <w:b w:val="0"/>
                      <w:bCs/>
                      <w:color w:val="auto"/>
                      <w:sz w:val="21"/>
                      <w:szCs w:val="21"/>
                      <w:lang w:val="en-US" w:eastAsia="zh-CN"/>
                    </w:rPr>
                    <w:t>、事故应急池、拆解车间、危废暂存库</w:t>
                  </w:r>
                  <w:r>
                    <w:rPr>
                      <w:rFonts w:hint="eastAsia"/>
                      <w:b w:val="0"/>
                      <w:bCs/>
                      <w:color w:val="auto"/>
                      <w:sz w:val="21"/>
                      <w:szCs w:val="21"/>
                      <w:lang w:val="en-US" w:eastAsia="zh-CN"/>
                    </w:rPr>
                    <w:t>、</w:t>
                  </w:r>
                  <w:r>
                    <w:rPr>
                      <w:rFonts w:hint="default"/>
                      <w:b w:val="0"/>
                      <w:bCs/>
                      <w:color w:val="auto"/>
                      <w:sz w:val="21"/>
                      <w:szCs w:val="21"/>
                      <w:lang w:val="en-US" w:eastAsia="zh-CN"/>
                    </w:rPr>
                    <w:t>报废汽车堆场</w:t>
                  </w:r>
                  <w:r>
                    <w:rPr>
                      <w:rFonts w:hint="eastAsia"/>
                      <w:b w:val="0"/>
                      <w:bCs/>
                      <w:color w:val="auto"/>
                      <w:sz w:val="21"/>
                      <w:szCs w:val="21"/>
                      <w:lang w:val="en-US" w:eastAsia="zh-CN"/>
                    </w:rPr>
                    <w:t>）、一般污染防治区（</w:t>
                  </w:r>
                  <w:r>
                    <w:rPr>
                      <w:rFonts w:hint="default"/>
                      <w:b w:val="0"/>
                      <w:bCs/>
                      <w:color w:val="auto"/>
                      <w:sz w:val="21"/>
                      <w:szCs w:val="21"/>
                      <w:lang w:val="en-US" w:eastAsia="zh-CN"/>
                    </w:rPr>
                    <w:t>一般固废仓库</w:t>
                  </w:r>
                  <w:r>
                    <w:rPr>
                      <w:rFonts w:hint="eastAsia"/>
                      <w:b w:val="0"/>
                      <w:bCs/>
                      <w:color w:val="auto"/>
                      <w:sz w:val="21"/>
                      <w:szCs w:val="21"/>
                      <w:lang w:val="en-US" w:eastAsia="zh-CN"/>
                    </w:rPr>
                    <w:t>（产品仓库）、打包车间、零部件仓库、备用仓库</w:t>
                  </w:r>
                  <w:r>
                    <w:rPr>
                      <w:rFonts w:hint="default"/>
                      <w:b w:val="0"/>
                      <w:bCs/>
                      <w:color w:val="auto"/>
                      <w:sz w:val="21"/>
                      <w:szCs w:val="21"/>
                      <w:lang w:val="en-US" w:eastAsia="zh-CN"/>
                    </w:rPr>
                    <w:t>等</w:t>
                  </w:r>
                  <w:r>
                    <w:rPr>
                      <w:rFonts w:hint="eastAsia"/>
                      <w:b w:val="0"/>
                      <w:bCs/>
                      <w:color w:val="auto"/>
                      <w:sz w:val="21"/>
                      <w:szCs w:val="21"/>
                      <w:lang w:val="en-US" w:eastAsia="zh-CN"/>
                    </w:rPr>
                    <w:t>）和简单防渗区。重点防渗区防渗要求：</w:t>
                  </w:r>
                  <w:r>
                    <w:rPr>
                      <w:rFonts w:hint="default"/>
                      <w:b w:val="0"/>
                      <w:bCs/>
                      <w:color w:val="auto"/>
                      <w:sz w:val="21"/>
                      <w:szCs w:val="21"/>
                      <w:lang w:val="en-US" w:eastAsia="zh-CN"/>
                    </w:rPr>
                    <w:t>防渗层至少为1cm厚粘土层（防渗系数≤10</w:t>
                  </w:r>
                  <w:r>
                    <w:rPr>
                      <w:rFonts w:hint="default"/>
                      <w:b w:val="0"/>
                      <w:bCs/>
                      <w:color w:val="auto"/>
                      <w:sz w:val="21"/>
                      <w:szCs w:val="21"/>
                      <w:vertAlign w:val="superscript"/>
                      <w:lang w:val="en-US" w:eastAsia="zh-CN"/>
                    </w:rPr>
                    <w:t>-7</w:t>
                  </w:r>
                  <w:r>
                    <w:rPr>
                      <w:rFonts w:hint="default"/>
                      <w:b w:val="0"/>
                      <w:bCs/>
                      <w:color w:val="auto"/>
                      <w:sz w:val="21"/>
                      <w:szCs w:val="21"/>
                      <w:lang w:val="en-US" w:eastAsia="zh-CN"/>
                    </w:rPr>
                    <w:t>cm/s），或2mm厚高度聚乙烯，或至少2mm厚的其它人工材料，渗透系数≤10</w:t>
                  </w:r>
                  <w:r>
                    <w:rPr>
                      <w:rFonts w:hint="default"/>
                      <w:b w:val="0"/>
                      <w:bCs/>
                      <w:color w:val="auto"/>
                      <w:sz w:val="21"/>
                      <w:szCs w:val="21"/>
                      <w:vertAlign w:val="superscript"/>
                      <w:lang w:val="en-US" w:eastAsia="zh-CN"/>
                    </w:rPr>
                    <w:t>-10</w:t>
                  </w:r>
                  <w:r>
                    <w:rPr>
                      <w:rFonts w:hint="default"/>
                      <w:b w:val="0"/>
                      <w:bCs/>
                      <w:color w:val="auto"/>
                      <w:sz w:val="21"/>
                      <w:szCs w:val="21"/>
                      <w:lang w:val="en-US" w:eastAsia="zh-CN"/>
                    </w:rPr>
                    <w:t>cm/s。</w:t>
                  </w:r>
                  <w:r>
                    <w:rPr>
                      <w:rFonts w:hint="eastAsia"/>
                      <w:b w:val="0"/>
                      <w:bCs/>
                      <w:color w:val="auto"/>
                      <w:sz w:val="21"/>
                      <w:szCs w:val="21"/>
                      <w:lang w:val="en-US" w:eastAsia="zh-CN"/>
                    </w:rPr>
                    <w:t>一般防渗区防渗要求：等效黏土防渗层 Mb≧1.5m，K≦1×10</w:t>
                  </w:r>
                  <w:r>
                    <w:rPr>
                      <w:rFonts w:hint="eastAsia"/>
                      <w:b w:val="0"/>
                      <w:bCs/>
                      <w:color w:val="auto"/>
                      <w:sz w:val="21"/>
                      <w:szCs w:val="21"/>
                      <w:vertAlign w:val="superscript"/>
                      <w:lang w:val="en-US" w:eastAsia="zh-CN"/>
                    </w:rPr>
                    <w:t>-7</w:t>
                  </w:r>
                  <w:r>
                    <w:rPr>
                      <w:rFonts w:hint="eastAsia"/>
                      <w:b w:val="0"/>
                      <w:bCs/>
                      <w:color w:val="auto"/>
                      <w:sz w:val="21"/>
                      <w:szCs w:val="21"/>
                      <w:lang w:val="en-US" w:eastAsia="zh-CN"/>
                    </w:rPr>
                    <w:t xml:space="preserve"> cm/s；或参照GB16889执行。</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77" w:hRule="atLeast"/>
              </w:trPr>
              <w:tc>
                <w:tcPr>
                  <w:tcW w:w="5000" w:type="pct"/>
                  <w:gridSpan w:val="2"/>
                  <w:tcBorders>
                    <w:tl2br w:val="nil"/>
                    <w:tr2bl w:val="nil"/>
                  </w:tcBorders>
                  <w:vAlign w:val="center"/>
                </w:tcPr>
                <w:p>
                  <w:pPr>
                    <w:keepNext w:val="0"/>
                    <w:keepLines w:val="0"/>
                    <w:pageBreakBefore w:val="0"/>
                    <w:widowControl w:val="0"/>
                    <w:tabs>
                      <w:tab w:val="right" w:pos="8730"/>
                    </w:tabs>
                    <w:kinsoku/>
                    <w:wordWrap/>
                    <w:overflowPunct/>
                    <w:topLinePunct w:val="0"/>
                    <w:autoSpaceDE/>
                    <w:autoSpaceDN/>
                    <w:bidi w:val="0"/>
                    <w:adjustRightInd/>
                    <w:snapToGrid/>
                    <w:spacing w:line="240" w:lineRule="auto"/>
                    <w:ind w:firstLine="420" w:firstLineChars="200"/>
                    <w:jc w:val="left"/>
                    <w:textAlignment w:val="auto"/>
                    <w:rPr>
                      <w:b w:val="0"/>
                      <w:bCs/>
                      <w:color w:val="auto"/>
                      <w:sz w:val="21"/>
                      <w:szCs w:val="21"/>
                    </w:rPr>
                  </w:pPr>
                  <w:r>
                    <w:rPr>
                      <w:b w:val="0"/>
                      <w:bCs/>
                      <w:color w:val="auto"/>
                      <w:sz w:val="21"/>
                      <w:szCs w:val="21"/>
                    </w:rPr>
                    <w:t>填表说明：企业加强管理，降低事故发证概率，并按要求编制突发环境事件应急预案，加强应急演练，使事故发生时损失降到最小程度，环境风险在可接受范围内。</w:t>
                  </w:r>
                  <w:r>
                    <w:rPr>
                      <w:rFonts w:hint="eastAsia" w:cs="宋体"/>
                      <w:b w:val="0"/>
                      <w:bCs/>
                      <w:color w:val="auto"/>
                      <w:sz w:val="21"/>
                      <w:szCs w:val="21"/>
                      <w:lang w:val="zh-CN" w:bidi="zh-CN"/>
                    </w:rPr>
                    <w:t>根据《建设项目环境风险评价技术导则》(HJ169-2018)判定，本项目环境风险评价等级为简单分析。</w:t>
                  </w:r>
                </w:p>
              </w:tc>
            </w:tr>
          </w:tbl>
          <w:p>
            <w:pPr>
              <w:autoSpaceDE w:val="0"/>
              <w:autoSpaceDN w:val="0"/>
              <w:spacing w:line="360" w:lineRule="auto"/>
              <w:ind w:firstLine="482" w:firstLineChars="200"/>
              <w:rPr>
                <w:rFonts w:hint="eastAsia" w:ascii="Times New Roman" w:hAnsi="Times New Roman" w:eastAsia="宋体" w:cs="宋体"/>
                <w:b/>
                <w:bCs/>
                <w:color w:val="auto"/>
                <w:sz w:val="24"/>
                <w:szCs w:val="24"/>
                <w:lang w:val="en-US" w:eastAsia="zh-CN" w:bidi="zh-CN"/>
              </w:rPr>
            </w:pPr>
            <w:r>
              <w:rPr>
                <w:rFonts w:hint="eastAsia" w:ascii="Times New Roman" w:hAnsi="Times New Roman" w:eastAsia="宋体" w:cs="宋体"/>
                <w:b/>
                <w:bCs/>
                <w:color w:val="auto"/>
                <w:sz w:val="24"/>
                <w:szCs w:val="24"/>
                <w:lang w:val="en-US" w:eastAsia="zh-CN" w:bidi="zh-CN"/>
              </w:rPr>
              <w:t>八、监测计划</w:t>
            </w:r>
          </w:p>
          <w:p>
            <w:pPr>
              <w:autoSpaceDE w:val="0"/>
              <w:autoSpaceDN w:val="0"/>
              <w:spacing w:line="360" w:lineRule="auto"/>
              <w:ind w:firstLine="480" w:firstLineChars="200"/>
              <w:rPr>
                <w:rFonts w:hint="eastAsia" w:ascii="Times New Roman" w:hAnsi="Times New Roman" w:eastAsia="宋体" w:cs="宋体"/>
                <w:color w:val="auto"/>
                <w:sz w:val="24"/>
                <w:szCs w:val="24"/>
                <w:lang w:val="en-US" w:eastAsia="zh-CN" w:bidi="zh-CN"/>
              </w:rPr>
            </w:pPr>
            <w:r>
              <w:rPr>
                <w:rFonts w:hint="eastAsia" w:ascii="Times New Roman" w:hAnsi="Times New Roman" w:eastAsia="宋体" w:cs="宋体"/>
                <w:color w:val="auto"/>
                <w:sz w:val="24"/>
                <w:szCs w:val="24"/>
                <w:lang w:val="en-US" w:eastAsia="zh-CN" w:bidi="zh-CN"/>
              </w:rPr>
              <w:t>企业应按照《排污许可证申请与核发技术规范 废弃资源加工工业》（HJ1034-2019）等相关要求，开展监测，监测计划见下表。</w:t>
            </w:r>
          </w:p>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b/>
                <w:bCs/>
                <w:color w:val="auto"/>
                <w:sz w:val="21"/>
                <w:szCs w:val="21"/>
                <w:u w:val="none" w:color="auto"/>
                <w:lang w:val="en-US" w:eastAsia="zh-CN"/>
              </w:rPr>
            </w:pPr>
            <w:r>
              <w:rPr>
                <w:rFonts w:hint="eastAsia"/>
                <w:b/>
                <w:bCs/>
                <w:color w:val="auto"/>
                <w:sz w:val="21"/>
                <w:szCs w:val="21"/>
                <w:u w:val="none" w:color="auto"/>
                <w:lang w:val="en-US" w:eastAsia="zh-CN"/>
              </w:rPr>
              <w:t>表4-23  污染源监测计划表</w:t>
            </w:r>
          </w:p>
          <w:tbl>
            <w:tblPr>
              <w:tblStyle w:val="19"/>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597"/>
              <w:gridCol w:w="960"/>
              <w:gridCol w:w="1505"/>
              <w:gridCol w:w="1516"/>
              <w:gridCol w:w="1127"/>
              <w:gridCol w:w="232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69" w:type="pct"/>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b w:val="0"/>
                      <w:bCs w:val="0"/>
                      <w:color w:val="auto"/>
                      <w:sz w:val="21"/>
                      <w:szCs w:val="21"/>
                      <w:u w:val="none" w:color="auto"/>
                      <w:vertAlign w:val="baseline"/>
                      <w:lang w:val="en-US" w:eastAsia="zh-CN"/>
                    </w:rPr>
                  </w:pPr>
                  <w:r>
                    <w:rPr>
                      <w:rFonts w:hint="eastAsia"/>
                      <w:b w:val="0"/>
                      <w:bCs w:val="0"/>
                      <w:color w:val="auto"/>
                      <w:sz w:val="21"/>
                      <w:szCs w:val="21"/>
                      <w:u w:val="none" w:color="auto"/>
                      <w:vertAlign w:val="baseline"/>
                      <w:lang w:val="en-US" w:eastAsia="zh-CN"/>
                    </w:rPr>
                    <w:t>类别</w:t>
                  </w:r>
                </w:p>
              </w:tc>
              <w:tc>
                <w:tcPr>
                  <w:tcW w:w="936"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b w:val="0"/>
                      <w:bCs w:val="0"/>
                      <w:color w:val="auto"/>
                      <w:sz w:val="21"/>
                      <w:szCs w:val="21"/>
                      <w:u w:val="none" w:color="auto"/>
                      <w:vertAlign w:val="baseline"/>
                      <w:lang w:val="en-US" w:eastAsia="zh-CN"/>
                    </w:rPr>
                  </w:pPr>
                  <w:r>
                    <w:rPr>
                      <w:rFonts w:hint="eastAsia"/>
                      <w:b w:val="0"/>
                      <w:bCs w:val="0"/>
                      <w:color w:val="auto"/>
                      <w:sz w:val="21"/>
                      <w:szCs w:val="21"/>
                      <w:u w:val="none" w:color="auto"/>
                      <w:vertAlign w:val="baseline"/>
                      <w:lang w:val="en-US" w:eastAsia="zh-CN"/>
                    </w:rPr>
                    <w:t>监测点位</w:t>
                  </w:r>
                </w:p>
              </w:tc>
              <w:tc>
                <w:tcPr>
                  <w:tcW w:w="943"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b w:val="0"/>
                      <w:bCs w:val="0"/>
                      <w:color w:val="auto"/>
                      <w:sz w:val="21"/>
                      <w:szCs w:val="21"/>
                      <w:u w:val="none" w:color="auto"/>
                      <w:vertAlign w:val="baseline"/>
                      <w:lang w:val="en-US" w:eastAsia="zh-CN"/>
                    </w:rPr>
                  </w:pPr>
                  <w:r>
                    <w:rPr>
                      <w:rFonts w:hint="eastAsia"/>
                      <w:b w:val="0"/>
                      <w:bCs w:val="0"/>
                      <w:color w:val="auto"/>
                      <w:sz w:val="21"/>
                      <w:szCs w:val="21"/>
                      <w:u w:val="none" w:color="auto"/>
                      <w:vertAlign w:val="baseline"/>
                      <w:lang w:val="en-US" w:eastAsia="zh-CN"/>
                    </w:rPr>
                    <w:t>监测项目</w:t>
                  </w:r>
                </w:p>
              </w:tc>
              <w:tc>
                <w:tcPr>
                  <w:tcW w:w="701"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b w:val="0"/>
                      <w:bCs w:val="0"/>
                      <w:color w:val="auto"/>
                      <w:sz w:val="21"/>
                      <w:szCs w:val="21"/>
                      <w:u w:val="none" w:color="auto"/>
                      <w:vertAlign w:val="baseline"/>
                      <w:lang w:val="en-US" w:eastAsia="zh-CN"/>
                    </w:rPr>
                  </w:pPr>
                  <w:r>
                    <w:rPr>
                      <w:rFonts w:hint="eastAsia"/>
                      <w:b w:val="0"/>
                      <w:bCs w:val="0"/>
                      <w:color w:val="auto"/>
                      <w:sz w:val="21"/>
                      <w:szCs w:val="21"/>
                      <w:u w:val="none" w:color="auto"/>
                      <w:vertAlign w:val="baseline"/>
                      <w:lang w:val="en-US" w:eastAsia="zh-CN"/>
                    </w:rPr>
                    <w:t>监测频率</w:t>
                  </w:r>
                </w:p>
              </w:tc>
              <w:tc>
                <w:tcPr>
                  <w:tcW w:w="144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b w:val="0"/>
                      <w:bCs w:val="0"/>
                      <w:color w:val="auto"/>
                      <w:sz w:val="21"/>
                      <w:szCs w:val="21"/>
                      <w:u w:val="none" w:color="auto"/>
                      <w:vertAlign w:val="baseline"/>
                      <w:lang w:val="en-US" w:eastAsia="zh-CN"/>
                    </w:rPr>
                  </w:pPr>
                  <w:r>
                    <w:rPr>
                      <w:rFonts w:hint="eastAsia"/>
                      <w:b w:val="0"/>
                      <w:bCs w:val="0"/>
                      <w:color w:val="auto"/>
                      <w:sz w:val="21"/>
                      <w:szCs w:val="21"/>
                      <w:u w:val="none" w:color="auto"/>
                      <w:vertAlign w:val="baseline"/>
                      <w:lang w:val="en-US" w:eastAsia="zh-CN"/>
                    </w:rPr>
                    <w:t>执行排放标准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372" w:type="pct"/>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b w:val="0"/>
                      <w:bCs w:val="0"/>
                      <w:color w:val="auto"/>
                      <w:sz w:val="21"/>
                      <w:szCs w:val="21"/>
                      <w:u w:val="none" w:color="auto"/>
                      <w:vertAlign w:val="baseline"/>
                      <w:lang w:val="en-US" w:eastAsia="zh-CN"/>
                    </w:rPr>
                  </w:pPr>
                  <w:r>
                    <w:rPr>
                      <w:rFonts w:hint="eastAsia"/>
                      <w:b w:val="0"/>
                      <w:bCs w:val="0"/>
                      <w:color w:val="auto"/>
                      <w:sz w:val="21"/>
                      <w:szCs w:val="21"/>
                      <w:u w:val="none" w:color="auto"/>
                      <w:vertAlign w:val="baseline"/>
                      <w:lang w:val="en-US" w:eastAsia="zh-CN"/>
                    </w:rPr>
                    <w:t>废气</w:t>
                  </w:r>
                </w:p>
              </w:tc>
              <w:tc>
                <w:tcPr>
                  <w:tcW w:w="597" w:type="pct"/>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b w:val="0"/>
                      <w:bCs w:val="0"/>
                      <w:color w:val="auto"/>
                      <w:sz w:val="21"/>
                      <w:szCs w:val="21"/>
                      <w:u w:val="none" w:color="auto"/>
                      <w:vertAlign w:val="baseline"/>
                      <w:lang w:val="en-US" w:eastAsia="zh-CN"/>
                    </w:rPr>
                  </w:pPr>
                  <w:r>
                    <w:rPr>
                      <w:rFonts w:hint="eastAsia"/>
                      <w:b w:val="0"/>
                      <w:bCs w:val="0"/>
                      <w:color w:val="auto"/>
                      <w:sz w:val="21"/>
                      <w:szCs w:val="21"/>
                      <w:u w:val="none" w:color="auto"/>
                      <w:vertAlign w:val="baseline"/>
                      <w:lang w:val="en-US" w:eastAsia="zh-CN"/>
                    </w:rPr>
                    <w:t>无组织</w:t>
                  </w:r>
                </w:p>
              </w:tc>
              <w:tc>
                <w:tcPr>
                  <w:tcW w:w="936"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b w:val="0"/>
                      <w:bCs w:val="0"/>
                      <w:color w:val="auto"/>
                      <w:sz w:val="21"/>
                      <w:szCs w:val="21"/>
                      <w:u w:val="none" w:color="auto"/>
                      <w:vertAlign w:val="baseline"/>
                      <w:lang w:val="en-US" w:eastAsia="zh-CN"/>
                    </w:rPr>
                  </w:pPr>
                  <w:r>
                    <w:rPr>
                      <w:rFonts w:hint="eastAsia"/>
                      <w:b w:val="0"/>
                      <w:bCs w:val="0"/>
                      <w:color w:val="auto"/>
                      <w:sz w:val="21"/>
                      <w:szCs w:val="21"/>
                      <w:u w:val="none" w:color="auto"/>
                      <w:vertAlign w:val="baseline"/>
                      <w:lang w:val="en-US" w:eastAsia="zh-CN"/>
                    </w:rPr>
                    <w:t>厂界</w:t>
                  </w:r>
                </w:p>
              </w:tc>
              <w:tc>
                <w:tcPr>
                  <w:tcW w:w="943"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b w:val="0"/>
                      <w:bCs w:val="0"/>
                      <w:color w:val="auto"/>
                      <w:sz w:val="21"/>
                      <w:szCs w:val="21"/>
                      <w:u w:val="none" w:color="auto"/>
                      <w:vertAlign w:val="baseline"/>
                      <w:lang w:val="en-US" w:eastAsia="zh-CN"/>
                    </w:rPr>
                  </w:pPr>
                  <w:r>
                    <w:rPr>
                      <w:rFonts w:hint="default" w:ascii="Times New Roman" w:hAnsi="Times New Roman" w:eastAsia="宋体" w:cs="Times New Roman"/>
                      <w:b w:val="0"/>
                      <w:bCs w:val="0"/>
                      <w:color w:val="auto"/>
                      <w:sz w:val="21"/>
                      <w:szCs w:val="21"/>
                      <w:u w:val="none" w:color="auto"/>
                      <w:vertAlign w:val="baseline"/>
                      <w:lang w:val="en-US" w:eastAsia="zh-CN"/>
                    </w:rPr>
                    <w:t>非甲烷总烃、颗粒物</w:t>
                  </w:r>
                  <w:r>
                    <w:rPr>
                      <w:rFonts w:hint="eastAsia" w:ascii="Times New Roman" w:hAnsi="Times New Roman" w:eastAsia="宋体" w:cs="Times New Roman"/>
                      <w:b w:val="0"/>
                      <w:bCs w:val="0"/>
                      <w:color w:val="auto"/>
                      <w:sz w:val="21"/>
                      <w:szCs w:val="21"/>
                      <w:u w:val="none" w:color="auto"/>
                      <w:vertAlign w:val="baseline"/>
                      <w:lang w:val="en-US" w:eastAsia="zh-CN"/>
                    </w:rPr>
                    <w:t>、氟化物</w:t>
                  </w:r>
                </w:p>
              </w:tc>
              <w:tc>
                <w:tcPr>
                  <w:tcW w:w="701"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b w:val="0"/>
                      <w:bCs w:val="0"/>
                      <w:color w:val="auto"/>
                      <w:sz w:val="21"/>
                      <w:szCs w:val="21"/>
                      <w:u w:val="none" w:color="auto"/>
                      <w:vertAlign w:val="baseline"/>
                      <w:lang w:val="en-US" w:eastAsia="zh-CN"/>
                    </w:rPr>
                  </w:pPr>
                  <w:r>
                    <w:rPr>
                      <w:rFonts w:hint="eastAsia"/>
                      <w:b w:val="0"/>
                      <w:bCs w:val="0"/>
                      <w:color w:val="auto"/>
                      <w:sz w:val="21"/>
                      <w:szCs w:val="21"/>
                      <w:u w:val="none" w:color="auto"/>
                      <w:vertAlign w:val="baseline"/>
                      <w:lang w:val="en-US" w:eastAsia="zh-CN"/>
                    </w:rPr>
                    <w:t>每年一次</w:t>
                  </w:r>
                </w:p>
              </w:tc>
              <w:tc>
                <w:tcPr>
                  <w:tcW w:w="144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b w:val="0"/>
                      <w:bCs w:val="0"/>
                      <w:color w:val="auto"/>
                      <w:sz w:val="21"/>
                      <w:szCs w:val="21"/>
                      <w:u w:val="none" w:color="auto"/>
                      <w:vertAlign w:val="baseline"/>
                      <w:lang w:val="en-US" w:eastAsia="zh-CN"/>
                    </w:rPr>
                  </w:pPr>
                  <w:r>
                    <w:rPr>
                      <w:rFonts w:hint="default" w:ascii="Times New Roman" w:hAnsi="Times New Roman" w:eastAsia="宋体" w:cs="Times New Roman"/>
                      <w:b w:val="0"/>
                      <w:bCs w:val="0"/>
                      <w:color w:val="auto"/>
                      <w:sz w:val="21"/>
                      <w:szCs w:val="21"/>
                      <w:u w:val="none" w:color="auto"/>
                      <w:vertAlign w:val="baseline"/>
                      <w:lang w:val="en-US" w:eastAsia="zh-CN"/>
                    </w:rPr>
                    <w:t>《大气污染物综合排放标准》（GB16297-1996）表2无组织标准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372"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b w:val="0"/>
                      <w:bCs w:val="0"/>
                      <w:color w:val="auto"/>
                      <w:sz w:val="21"/>
                      <w:szCs w:val="21"/>
                      <w:u w:val="none" w:color="auto"/>
                      <w:vertAlign w:val="baseline"/>
                      <w:lang w:val="en-US" w:eastAsia="zh-CN"/>
                    </w:rPr>
                  </w:pPr>
                </w:p>
              </w:tc>
              <w:tc>
                <w:tcPr>
                  <w:tcW w:w="597"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b w:val="0"/>
                      <w:bCs w:val="0"/>
                      <w:color w:val="auto"/>
                      <w:sz w:val="21"/>
                      <w:szCs w:val="21"/>
                      <w:u w:val="none" w:color="auto"/>
                      <w:vertAlign w:val="baseline"/>
                      <w:lang w:val="en-US" w:eastAsia="zh-CN"/>
                    </w:rPr>
                  </w:pPr>
                </w:p>
              </w:tc>
              <w:tc>
                <w:tcPr>
                  <w:tcW w:w="936"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b w:val="0"/>
                      <w:bCs w:val="0"/>
                      <w:color w:val="auto"/>
                      <w:sz w:val="21"/>
                      <w:szCs w:val="21"/>
                      <w:u w:val="none" w:color="auto"/>
                      <w:vertAlign w:val="baseline"/>
                      <w:lang w:val="en-US" w:eastAsia="zh-CN"/>
                    </w:rPr>
                  </w:pPr>
                  <w:r>
                    <w:rPr>
                      <w:rFonts w:hint="eastAsia"/>
                      <w:b w:val="0"/>
                      <w:bCs w:val="0"/>
                      <w:color w:val="auto"/>
                      <w:sz w:val="21"/>
                      <w:szCs w:val="21"/>
                      <w:u w:val="none" w:color="auto"/>
                      <w:vertAlign w:val="baseline"/>
                      <w:lang w:val="en-US" w:eastAsia="zh-CN"/>
                    </w:rPr>
                    <w:t>厂内车间外</w:t>
                  </w:r>
                </w:p>
              </w:tc>
              <w:tc>
                <w:tcPr>
                  <w:tcW w:w="943"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b w:val="0"/>
                      <w:bCs w:val="0"/>
                      <w:color w:val="auto"/>
                      <w:sz w:val="21"/>
                      <w:szCs w:val="21"/>
                      <w:u w:val="none" w:color="auto"/>
                      <w:vertAlign w:val="baseline"/>
                      <w:lang w:val="en-US" w:eastAsia="zh-CN"/>
                    </w:rPr>
                  </w:pPr>
                  <w:r>
                    <w:rPr>
                      <w:rFonts w:hint="default" w:ascii="Times New Roman" w:hAnsi="Times New Roman" w:eastAsia="宋体" w:cs="Times New Roman"/>
                      <w:b w:val="0"/>
                      <w:bCs w:val="0"/>
                      <w:color w:val="auto"/>
                      <w:sz w:val="21"/>
                      <w:szCs w:val="21"/>
                      <w:u w:val="none" w:color="auto"/>
                      <w:vertAlign w:val="baseline"/>
                      <w:lang w:val="en-US" w:eastAsia="zh-CN"/>
                    </w:rPr>
                    <w:t>非甲烷总烃</w:t>
                  </w:r>
                </w:p>
              </w:tc>
              <w:tc>
                <w:tcPr>
                  <w:tcW w:w="701"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b w:val="0"/>
                      <w:bCs w:val="0"/>
                      <w:color w:val="auto"/>
                      <w:sz w:val="21"/>
                      <w:szCs w:val="21"/>
                      <w:u w:val="none" w:color="auto"/>
                      <w:vertAlign w:val="baseline"/>
                      <w:lang w:val="en-US" w:eastAsia="zh-CN"/>
                    </w:rPr>
                  </w:pPr>
                  <w:r>
                    <w:rPr>
                      <w:rFonts w:hint="eastAsia"/>
                      <w:b w:val="0"/>
                      <w:bCs w:val="0"/>
                      <w:color w:val="auto"/>
                      <w:sz w:val="21"/>
                      <w:szCs w:val="21"/>
                      <w:u w:val="none" w:color="auto"/>
                      <w:vertAlign w:val="baseline"/>
                      <w:lang w:val="en-US" w:eastAsia="zh-CN"/>
                    </w:rPr>
                    <w:t>每年一次</w:t>
                  </w:r>
                </w:p>
              </w:tc>
              <w:tc>
                <w:tcPr>
                  <w:tcW w:w="144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b w:val="0"/>
                      <w:bCs w:val="0"/>
                      <w:color w:val="auto"/>
                      <w:sz w:val="21"/>
                      <w:szCs w:val="21"/>
                      <w:u w:val="none" w:color="auto"/>
                      <w:vertAlign w:val="baseline"/>
                      <w:lang w:val="en-US" w:eastAsia="zh-CN"/>
                    </w:rPr>
                  </w:pPr>
                  <w:r>
                    <w:rPr>
                      <w:rFonts w:hint="eastAsia" w:ascii="Times New Roman" w:hAnsi="Times New Roman" w:eastAsia="宋体" w:cs="Times New Roman"/>
                      <w:b w:val="0"/>
                      <w:bCs w:val="0"/>
                      <w:color w:val="auto"/>
                      <w:sz w:val="21"/>
                      <w:szCs w:val="21"/>
                      <w:u w:color="auto"/>
                      <w:lang w:val="en-US" w:eastAsia="zh-CN"/>
                    </w:rPr>
                    <w:t>《挥发性有机物无组织排放控制标准》（GB37822-2019）</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69" w:type="pct"/>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b w:val="0"/>
                      <w:bCs w:val="0"/>
                      <w:color w:val="auto"/>
                      <w:sz w:val="21"/>
                      <w:szCs w:val="21"/>
                      <w:u w:val="none" w:color="auto"/>
                      <w:vertAlign w:val="baseline"/>
                      <w:lang w:val="en-US" w:eastAsia="zh-CN"/>
                    </w:rPr>
                  </w:pPr>
                  <w:r>
                    <w:rPr>
                      <w:rFonts w:hint="eastAsia"/>
                      <w:b w:val="0"/>
                      <w:bCs w:val="0"/>
                      <w:color w:val="auto"/>
                      <w:sz w:val="21"/>
                      <w:szCs w:val="21"/>
                      <w:u w:val="none" w:color="auto"/>
                      <w:vertAlign w:val="baseline"/>
                      <w:lang w:val="en-US" w:eastAsia="zh-CN"/>
                    </w:rPr>
                    <w:t>生活污水</w:t>
                  </w:r>
                </w:p>
              </w:tc>
              <w:tc>
                <w:tcPr>
                  <w:tcW w:w="936"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b w:val="0"/>
                      <w:bCs w:val="0"/>
                      <w:color w:val="auto"/>
                      <w:sz w:val="21"/>
                      <w:szCs w:val="21"/>
                      <w:u w:val="none" w:color="auto"/>
                      <w:vertAlign w:val="baseline"/>
                      <w:lang w:val="en-US" w:eastAsia="zh-CN"/>
                    </w:rPr>
                  </w:pPr>
                  <w:r>
                    <w:rPr>
                      <w:rFonts w:hint="eastAsia"/>
                      <w:b w:val="0"/>
                      <w:bCs w:val="0"/>
                      <w:color w:val="auto"/>
                      <w:sz w:val="21"/>
                      <w:szCs w:val="21"/>
                      <w:u w:val="none" w:color="auto"/>
                      <w:vertAlign w:val="baseline"/>
                      <w:lang w:val="en-US" w:eastAsia="zh-CN"/>
                    </w:rPr>
                    <w:t>生活污水排口（DW001)</w:t>
                  </w:r>
                </w:p>
              </w:tc>
              <w:tc>
                <w:tcPr>
                  <w:tcW w:w="943"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kern w:val="0"/>
                      <w:sz w:val="21"/>
                      <w:szCs w:val="21"/>
                      <w:u w:val="none" w:color="auto"/>
                      <w:vertAlign w:val="baseline"/>
                      <w:lang w:val="en-US" w:eastAsia="zh-CN" w:bidi="ar"/>
                    </w:rPr>
                  </w:pPr>
                  <w:r>
                    <w:rPr>
                      <w:rFonts w:hint="eastAsia" w:ascii="Times New Roman" w:hAnsi="Times New Roman" w:eastAsia="宋体" w:cs="Times New Roman"/>
                      <w:b w:val="0"/>
                      <w:bCs w:val="0"/>
                      <w:color w:val="auto"/>
                      <w:kern w:val="0"/>
                      <w:sz w:val="21"/>
                      <w:szCs w:val="21"/>
                      <w:u w:val="none" w:color="auto"/>
                      <w:vertAlign w:val="baseline"/>
                      <w:lang w:val="en-US" w:eastAsia="zh-CN" w:bidi="ar"/>
                    </w:rPr>
                    <w:t>ph、</w:t>
                  </w:r>
                  <w:r>
                    <w:rPr>
                      <w:rFonts w:hint="default" w:ascii="Times New Roman" w:hAnsi="Times New Roman" w:eastAsia="宋体" w:cs="Times New Roman"/>
                      <w:b w:val="0"/>
                      <w:bCs w:val="0"/>
                      <w:color w:val="auto"/>
                      <w:kern w:val="0"/>
                      <w:sz w:val="21"/>
                      <w:szCs w:val="21"/>
                      <w:u w:val="none" w:color="auto"/>
                      <w:vertAlign w:val="baseline"/>
                      <w:lang w:val="en-US" w:eastAsia="zh-CN" w:bidi="ar"/>
                    </w:rPr>
                    <w:t>COD、SS</w:t>
                  </w:r>
                  <w:r>
                    <w:rPr>
                      <w:rFonts w:hint="eastAsia" w:ascii="Times New Roman" w:hAnsi="Times New Roman" w:eastAsia="宋体" w:cs="Times New Roman"/>
                      <w:b w:val="0"/>
                      <w:bCs w:val="0"/>
                      <w:color w:val="auto"/>
                      <w:kern w:val="0"/>
                      <w:sz w:val="21"/>
                      <w:szCs w:val="21"/>
                      <w:u w:val="none" w:color="auto"/>
                      <w:vertAlign w:val="baseline"/>
                      <w:lang w:val="en-US" w:eastAsia="zh-CN" w:bidi="ar"/>
                    </w:rPr>
                    <w:t>、氨氮、BOD</w:t>
                  </w:r>
                  <w:r>
                    <w:rPr>
                      <w:rFonts w:hint="eastAsia" w:ascii="Times New Roman" w:hAnsi="Times New Roman" w:eastAsia="宋体" w:cs="Times New Roman"/>
                      <w:b w:val="0"/>
                      <w:bCs w:val="0"/>
                      <w:color w:val="auto"/>
                      <w:kern w:val="0"/>
                      <w:sz w:val="21"/>
                      <w:szCs w:val="21"/>
                      <w:u w:val="none" w:color="auto"/>
                      <w:vertAlign w:val="subscript"/>
                      <w:lang w:val="en-US" w:eastAsia="zh-CN" w:bidi="ar"/>
                    </w:rPr>
                    <w:t>5、</w:t>
                  </w:r>
                  <w:r>
                    <w:rPr>
                      <w:rFonts w:hint="eastAsia" w:ascii="Times New Roman" w:hAnsi="Times New Roman" w:eastAsia="宋体" w:cs="Times New Roman"/>
                      <w:b w:val="0"/>
                      <w:bCs w:val="0"/>
                      <w:color w:val="auto"/>
                      <w:kern w:val="0"/>
                      <w:sz w:val="21"/>
                      <w:szCs w:val="21"/>
                      <w:u w:val="none" w:color="auto"/>
                      <w:vertAlign w:val="baseline"/>
                      <w:lang w:val="en-US" w:eastAsia="zh-CN" w:bidi="ar"/>
                    </w:rPr>
                    <w:t>动植物油</w:t>
                  </w:r>
                </w:p>
              </w:tc>
              <w:tc>
                <w:tcPr>
                  <w:tcW w:w="701" w:type="pct"/>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auto"/>
                      <w:sz w:val="21"/>
                      <w:szCs w:val="21"/>
                      <w:u w:val="none" w:color="auto"/>
                      <w:vertAlign w:val="baseline"/>
                      <w:lang w:val="en-US" w:eastAsia="zh-CN"/>
                    </w:rPr>
                  </w:pPr>
                  <w:r>
                    <w:rPr>
                      <w:rFonts w:hint="eastAsia"/>
                      <w:b w:val="0"/>
                      <w:bCs w:val="0"/>
                      <w:color w:val="auto"/>
                      <w:sz w:val="21"/>
                      <w:szCs w:val="21"/>
                      <w:u w:val="none" w:color="auto"/>
                      <w:vertAlign w:val="baseline"/>
                      <w:lang w:val="en-US" w:eastAsia="zh-CN"/>
                    </w:rPr>
                    <w:t>每年一次</w:t>
                  </w:r>
                </w:p>
              </w:tc>
              <w:tc>
                <w:tcPr>
                  <w:tcW w:w="1448" w:type="pct"/>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kern w:val="0"/>
                      <w:sz w:val="21"/>
                      <w:szCs w:val="21"/>
                      <w:u w:val="none" w:color="auto"/>
                      <w:lang w:val="en-US" w:eastAsia="zh-CN" w:bidi="ar"/>
                    </w:rPr>
                  </w:pPr>
                  <w:r>
                    <w:rPr>
                      <w:rFonts w:hint="default" w:ascii="Times New Roman" w:hAnsi="Times New Roman" w:eastAsia="宋体" w:cs="Times New Roman"/>
                      <w:b w:val="0"/>
                      <w:bCs w:val="0"/>
                      <w:color w:val="auto"/>
                      <w:kern w:val="0"/>
                      <w:sz w:val="21"/>
                      <w:szCs w:val="21"/>
                      <w:u w:val="none" w:color="auto"/>
                      <w:lang w:val="en-US" w:eastAsia="zh-CN" w:bidi="ar"/>
                    </w:rPr>
                    <w:t>《污水综合排放标准》（GB8978-1996）表4中</w:t>
                  </w:r>
                  <w:r>
                    <w:rPr>
                      <w:rFonts w:hint="eastAsia" w:cs="Times New Roman"/>
                      <w:b w:val="0"/>
                      <w:bCs w:val="0"/>
                      <w:color w:val="auto"/>
                      <w:kern w:val="0"/>
                      <w:sz w:val="21"/>
                      <w:szCs w:val="21"/>
                      <w:u w:val="none" w:color="auto"/>
                      <w:lang w:val="en-US" w:eastAsia="zh-CN" w:bidi="ar"/>
                    </w:rPr>
                    <w:t>三</w:t>
                  </w:r>
                  <w:r>
                    <w:rPr>
                      <w:rFonts w:hint="default" w:ascii="Times New Roman" w:hAnsi="Times New Roman" w:eastAsia="宋体" w:cs="Times New Roman"/>
                      <w:b w:val="0"/>
                      <w:bCs w:val="0"/>
                      <w:color w:val="auto"/>
                      <w:kern w:val="0"/>
                      <w:sz w:val="21"/>
                      <w:szCs w:val="21"/>
                      <w:u w:val="none" w:color="auto"/>
                      <w:lang w:val="en-US" w:eastAsia="zh-CN" w:bidi="ar"/>
                    </w:rPr>
                    <w:t>级标准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69" w:type="pct"/>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b w:val="0"/>
                      <w:bCs w:val="0"/>
                      <w:color w:val="auto"/>
                      <w:sz w:val="21"/>
                      <w:szCs w:val="21"/>
                      <w:u w:val="none" w:color="auto"/>
                      <w:vertAlign w:val="baseline"/>
                      <w:lang w:val="en-US" w:eastAsia="zh-CN"/>
                    </w:rPr>
                  </w:pPr>
                  <w:r>
                    <w:rPr>
                      <w:rFonts w:hint="eastAsia"/>
                      <w:b w:val="0"/>
                      <w:bCs w:val="0"/>
                      <w:color w:val="auto"/>
                      <w:sz w:val="21"/>
                      <w:szCs w:val="21"/>
                      <w:u w:val="none" w:color="auto"/>
                      <w:vertAlign w:val="baseline"/>
                      <w:lang w:val="en-US" w:eastAsia="zh-CN"/>
                    </w:rPr>
                    <w:t>拖把清洗废水</w:t>
                  </w:r>
                </w:p>
              </w:tc>
              <w:tc>
                <w:tcPr>
                  <w:tcW w:w="936" w:type="pct"/>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b w:val="0"/>
                      <w:bCs w:val="0"/>
                      <w:color w:val="auto"/>
                      <w:sz w:val="21"/>
                      <w:szCs w:val="21"/>
                      <w:u w:val="none" w:color="auto"/>
                      <w:vertAlign w:val="baseline"/>
                      <w:lang w:val="en-US" w:eastAsia="zh-CN"/>
                    </w:rPr>
                  </w:pPr>
                  <w:r>
                    <w:rPr>
                      <w:rFonts w:hint="eastAsia"/>
                      <w:b w:val="0"/>
                      <w:bCs w:val="0"/>
                      <w:color w:val="auto"/>
                      <w:sz w:val="21"/>
                      <w:szCs w:val="21"/>
                      <w:u w:val="none" w:color="auto"/>
                      <w:vertAlign w:val="baseline"/>
                      <w:lang w:val="en-US" w:eastAsia="zh-CN"/>
                    </w:rPr>
                    <w:t>生产废水排口（DW002)</w:t>
                  </w:r>
                </w:p>
              </w:tc>
              <w:tc>
                <w:tcPr>
                  <w:tcW w:w="943" w:type="pct"/>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kern w:val="0"/>
                      <w:sz w:val="21"/>
                      <w:szCs w:val="21"/>
                      <w:u w:val="none" w:color="auto"/>
                      <w:vertAlign w:val="baseline"/>
                      <w:lang w:val="en-US" w:eastAsia="zh-CN" w:bidi="ar"/>
                    </w:rPr>
                  </w:pPr>
                  <w:r>
                    <w:rPr>
                      <w:rFonts w:hint="default" w:ascii="Times New Roman" w:hAnsi="Times New Roman" w:eastAsia="宋体" w:cs="Times New Roman"/>
                      <w:b w:val="0"/>
                      <w:bCs w:val="0"/>
                      <w:color w:val="auto"/>
                      <w:kern w:val="0"/>
                      <w:sz w:val="21"/>
                      <w:szCs w:val="21"/>
                      <w:u w:val="none" w:color="auto"/>
                      <w:vertAlign w:val="baseline"/>
                      <w:lang w:val="en-US" w:eastAsia="zh-CN" w:bidi="ar"/>
                    </w:rPr>
                    <w:t>COD、SS</w:t>
                  </w:r>
                  <w:r>
                    <w:rPr>
                      <w:rFonts w:hint="eastAsia" w:ascii="Times New Roman" w:hAnsi="Times New Roman" w:eastAsia="宋体" w:cs="Times New Roman"/>
                      <w:b w:val="0"/>
                      <w:bCs w:val="0"/>
                      <w:color w:val="auto"/>
                      <w:kern w:val="0"/>
                      <w:sz w:val="21"/>
                      <w:szCs w:val="21"/>
                      <w:u w:val="none" w:color="auto"/>
                      <w:vertAlign w:val="baseline"/>
                      <w:lang w:val="en-US" w:eastAsia="zh-CN" w:bidi="ar"/>
                    </w:rPr>
                    <w:t>、氨氮、BOD</w:t>
                  </w:r>
                  <w:r>
                    <w:rPr>
                      <w:rFonts w:hint="eastAsia" w:ascii="Times New Roman" w:hAnsi="Times New Roman" w:eastAsia="宋体" w:cs="Times New Roman"/>
                      <w:b w:val="0"/>
                      <w:bCs w:val="0"/>
                      <w:color w:val="auto"/>
                      <w:kern w:val="0"/>
                      <w:sz w:val="21"/>
                      <w:szCs w:val="21"/>
                      <w:u w:val="none" w:color="auto"/>
                      <w:vertAlign w:val="subscript"/>
                      <w:lang w:val="en-US" w:eastAsia="zh-CN" w:bidi="ar"/>
                    </w:rPr>
                    <w:t>5、</w:t>
                  </w:r>
                  <w:r>
                    <w:rPr>
                      <w:rFonts w:hint="eastAsia" w:ascii="Times New Roman" w:hAnsi="Times New Roman" w:eastAsia="宋体" w:cs="Times New Roman"/>
                      <w:b w:val="0"/>
                      <w:bCs w:val="0"/>
                      <w:color w:val="auto"/>
                      <w:kern w:val="0"/>
                      <w:sz w:val="21"/>
                      <w:szCs w:val="21"/>
                      <w:u w:val="none" w:color="auto"/>
                      <w:vertAlign w:val="baseline"/>
                      <w:lang w:val="en-US" w:eastAsia="zh-CN" w:bidi="ar"/>
                    </w:rPr>
                    <w:t>石油类</w:t>
                  </w:r>
                </w:p>
              </w:tc>
              <w:tc>
                <w:tcPr>
                  <w:tcW w:w="701"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b w:val="0"/>
                      <w:bCs w:val="0"/>
                      <w:color w:val="auto"/>
                      <w:sz w:val="21"/>
                      <w:szCs w:val="21"/>
                      <w:u w:val="none" w:color="auto"/>
                      <w:vertAlign w:val="baseline"/>
                      <w:lang w:val="en-US" w:eastAsia="zh-CN"/>
                    </w:rPr>
                  </w:pPr>
                </w:p>
              </w:tc>
              <w:tc>
                <w:tcPr>
                  <w:tcW w:w="144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kern w:val="0"/>
                      <w:sz w:val="21"/>
                      <w:szCs w:val="21"/>
                      <w:u w:val="none" w:color="auto"/>
                      <w:lang w:val="en-US" w:eastAsia="zh-CN" w:bidi="ar"/>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69" w:type="pct"/>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b w:val="0"/>
                      <w:bCs w:val="0"/>
                      <w:color w:val="auto"/>
                      <w:sz w:val="21"/>
                      <w:szCs w:val="21"/>
                      <w:u w:val="none" w:color="auto"/>
                      <w:vertAlign w:val="baseline"/>
                      <w:lang w:val="en-US" w:eastAsia="zh-CN"/>
                    </w:rPr>
                  </w:pPr>
                  <w:r>
                    <w:rPr>
                      <w:rFonts w:hint="eastAsia"/>
                      <w:b w:val="0"/>
                      <w:bCs w:val="0"/>
                      <w:color w:val="auto"/>
                      <w:sz w:val="21"/>
                      <w:szCs w:val="21"/>
                      <w:u w:val="none" w:color="auto"/>
                      <w:vertAlign w:val="baseline"/>
                      <w:lang w:val="en-US" w:eastAsia="zh-CN"/>
                    </w:rPr>
                    <w:t>初期雨水</w:t>
                  </w:r>
                </w:p>
              </w:tc>
              <w:tc>
                <w:tcPr>
                  <w:tcW w:w="936"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b w:val="0"/>
                      <w:bCs w:val="0"/>
                      <w:color w:val="auto"/>
                      <w:sz w:val="21"/>
                      <w:szCs w:val="21"/>
                      <w:u w:val="none" w:color="auto"/>
                      <w:vertAlign w:val="baseline"/>
                      <w:lang w:val="en-US" w:eastAsia="zh-CN"/>
                    </w:rPr>
                  </w:pPr>
                </w:p>
              </w:tc>
              <w:tc>
                <w:tcPr>
                  <w:tcW w:w="943"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kern w:val="0"/>
                      <w:sz w:val="21"/>
                      <w:szCs w:val="21"/>
                      <w:u w:val="none" w:color="auto"/>
                      <w:vertAlign w:val="baseline"/>
                      <w:lang w:val="en-US" w:eastAsia="zh-CN" w:bidi="ar"/>
                    </w:rPr>
                  </w:pPr>
                </w:p>
              </w:tc>
              <w:tc>
                <w:tcPr>
                  <w:tcW w:w="701"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b w:val="0"/>
                      <w:bCs w:val="0"/>
                      <w:color w:val="auto"/>
                      <w:sz w:val="21"/>
                      <w:szCs w:val="21"/>
                      <w:u w:val="none" w:color="auto"/>
                      <w:vertAlign w:val="baseline"/>
                      <w:lang w:val="en-US" w:eastAsia="zh-CN"/>
                    </w:rPr>
                  </w:pPr>
                </w:p>
              </w:tc>
              <w:tc>
                <w:tcPr>
                  <w:tcW w:w="144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kern w:val="0"/>
                      <w:sz w:val="21"/>
                      <w:szCs w:val="21"/>
                      <w:u w:val="none" w:color="auto"/>
                      <w:lang w:val="en-US" w:eastAsia="zh-CN" w:bidi="ar"/>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69" w:type="pct"/>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b w:val="0"/>
                      <w:bCs w:val="0"/>
                      <w:color w:val="auto"/>
                      <w:sz w:val="21"/>
                      <w:szCs w:val="21"/>
                      <w:u w:val="none" w:color="auto"/>
                      <w:vertAlign w:val="baseline"/>
                      <w:lang w:val="en-US" w:eastAsia="zh-CN"/>
                    </w:rPr>
                  </w:pPr>
                  <w:r>
                    <w:rPr>
                      <w:rFonts w:hint="eastAsia"/>
                      <w:b w:val="0"/>
                      <w:bCs w:val="0"/>
                      <w:color w:val="auto"/>
                      <w:sz w:val="21"/>
                      <w:szCs w:val="21"/>
                      <w:u w:val="none" w:color="auto"/>
                      <w:vertAlign w:val="baseline"/>
                      <w:lang w:val="en-US" w:eastAsia="zh-CN"/>
                    </w:rPr>
                    <w:t>噪声</w:t>
                  </w:r>
                </w:p>
              </w:tc>
              <w:tc>
                <w:tcPr>
                  <w:tcW w:w="936"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b w:val="0"/>
                      <w:bCs w:val="0"/>
                      <w:color w:val="auto"/>
                      <w:sz w:val="21"/>
                      <w:szCs w:val="21"/>
                      <w:u w:val="none" w:color="auto"/>
                      <w:vertAlign w:val="baseline"/>
                      <w:lang w:val="en-US" w:eastAsia="zh-CN"/>
                    </w:rPr>
                  </w:pPr>
                  <w:r>
                    <w:rPr>
                      <w:rFonts w:hint="eastAsia"/>
                      <w:b w:val="0"/>
                      <w:bCs w:val="0"/>
                      <w:color w:val="auto"/>
                      <w:sz w:val="21"/>
                      <w:szCs w:val="21"/>
                      <w:u w:val="none" w:color="auto"/>
                      <w:vertAlign w:val="baseline"/>
                      <w:lang w:val="en-US" w:eastAsia="zh-CN"/>
                    </w:rPr>
                    <w:t>厂界四周外1m处</w:t>
                  </w:r>
                </w:p>
              </w:tc>
              <w:tc>
                <w:tcPr>
                  <w:tcW w:w="943"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b w:val="0"/>
                      <w:bCs w:val="0"/>
                      <w:color w:val="auto"/>
                      <w:sz w:val="21"/>
                      <w:szCs w:val="21"/>
                      <w:u w:val="none" w:color="auto"/>
                      <w:vertAlign w:val="baseline"/>
                      <w:lang w:val="en-US" w:eastAsia="zh-CN"/>
                    </w:rPr>
                  </w:pPr>
                  <w:r>
                    <w:rPr>
                      <w:rFonts w:hint="eastAsia"/>
                      <w:b w:val="0"/>
                      <w:bCs w:val="0"/>
                      <w:color w:val="auto"/>
                      <w:sz w:val="21"/>
                      <w:szCs w:val="21"/>
                      <w:u w:val="none" w:color="auto"/>
                      <w:vertAlign w:val="baseline"/>
                      <w:lang w:val="en-US" w:eastAsia="zh-CN"/>
                    </w:rPr>
                    <w:t>等效连续A声级</w:t>
                  </w:r>
                </w:p>
              </w:tc>
              <w:tc>
                <w:tcPr>
                  <w:tcW w:w="701"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b w:val="0"/>
                      <w:bCs w:val="0"/>
                      <w:color w:val="auto"/>
                      <w:sz w:val="21"/>
                      <w:szCs w:val="21"/>
                      <w:u w:val="none" w:color="auto"/>
                      <w:vertAlign w:val="baseline"/>
                      <w:lang w:val="en-US" w:eastAsia="zh-CN"/>
                    </w:rPr>
                  </w:pPr>
                  <w:r>
                    <w:rPr>
                      <w:rFonts w:hint="eastAsia"/>
                      <w:b w:val="0"/>
                      <w:bCs w:val="0"/>
                      <w:color w:val="auto"/>
                      <w:sz w:val="21"/>
                      <w:szCs w:val="21"/>
                      <w:u w:val="none" w:color="auto"/>
                      <w:vertAlign w:val="baseline"/>
                      <w:lang w:val="en-US" w:eastAsia="zh-CN"/>
                    </w:rPr>
                    <w:t>1次/季度</w:t>
                  </w:r>
                </w:p>
              </w:tc>
              <w:tc>
                <w:tcPr>
                  <w:tcW w:w="144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b w:val="0"/>
                      <w:bCs w:val="0"/>
                      <w:color w:val="auto"/>
                      <w:sz w:val="21"/>
                      <w:szCs w:val="21"/>
                      <w:u w:val="none" w:color="auto"/>
                      <w:vertAlign w:val="baseline"/>
                      <w:lang w:val="en-US" w:eastAsia="zh-CN"/>
                    </w:rPr>
                  </w:pPr>
                  <w:r>
                    <w:rPr>
                      <w:rFonts w:hint="eastAsia"/>
                      <w:b w:val="0"/>
                      <w:bCs w:val="0"/>
                      <w:color w:val="auto"/>
                      <w:sz w:val="21"/>
                      <w:szCs w:val="21"/>
                      <w:u w:val="none" w:color="auto"/>
                      <w:vertAlign w:val="baseline"/>
                      <w:lang w:val="en-US" w:eastAsia="zh-CN"/>
                    </w:rPr>
                    <w:t>《工业企业厂界环境噪声排放标准》（GB12348-2008）表1中3类标准</w:t>
                  </w:r>
                </w:p>
              </w:tc>
            </w:tr>
          </w:tbl>
          <w:p>
            <w:pPr>
              <w:keepNext w:val="0"/>
              <w:keepLines w:val="0"/>
              <w:pageBreakBefore w:val="0"/>
              <w:widowControl/>
              <w:suppressLineNumbers w:val="0"/>
              <w:kinsoku/>
              <w:overflowPunct/>
              <w:bidi w:val="0"/>
              <w:spacing w:line="360" w:lineRule="auto"/>
              <w:ind w:firstLine="482" w:firstLineChars="200"/>
              <w:jc w:val="left"/>
              <w:rPr>
                <w:rFonts w:hint="default" w:ascii="Times New Roman" w:hAnsi="Times New Roman" w:eastAsia="宋体" w:cs="Times New Roman"/>
                <w:color w:val="auto"/>
                <w:sz w:val="24"/>
                <w:szCs w:val="24"/>
                <w:u w:val="none" w:color="auto"/>
              </w:rPr>
            </w:pPr>
            <w:r>
              <w:rPr>
                <w:rFonts w:hint="eastAsia" w:cs="Times New Roman"/>
                <w:b/>
                <w:bCs/>
                <w:color w:val="auto"/>
                <w:sz w:val="24"/>
                <w:szCs w:val="24"/>
                <w:u w:val="none" w:color="auto"/>
                <w:lang w:val="en-US" w:eastAsia="zh-CN"/>
              </w:rPr>
              <w:t>九、</w:t>
            </w:r>
            <w:r>
              <w:rPr>
                <w:rFonts w:hint="default" w:ascii="Times New Roman" w:hAnsi="Times New Roman" w:eastAsia="宋体" w:cs="Times New Roman"/>
                <w:b/>
                <w:bCs/>
                <w:color w:val="auto"/>
                <w:sz w:val="24"/>
                <w:szCs w:val="24"/>
                <w:u w:val="none" w:color="auto"/>
                <w:lang w:val="en-US" w:eastAsia="zh-CN"/>
              </w:rPr>
              <w:t>环保投资</w:t>
            </w:r>
          </w:p>
          <w:p>
            <w:pPr>
              <w:pageBreakBefore w:val="0"/>
              <w:kinsoku/>
              <w:overflowPunct/>
              <w:bidi w:val="0"/>
              <w:spacing w:line="360" w:lineRule="auto"/>
              <w:ind w:firstLine="480" w:firstLineChars="200"/>
              <w:rPr>
                <w:rFonts w:hint="default" w:ascii="Times New Roman" w:hAnsi="Times New Roman" w:eastAsia="宋体" w:cs="Times New Roman"/>
                <w:b/>
                <w:color w:val="auto"/>
                <w:sz w:val="24"/>
                <w:szCs w:val="24"/>
                <w:u w:val="none" w:color="auto"/>
                <w:lang w:bidi="ar"/>
              </w:rPr>
            </w:pPr>
            <w:r>
              <w:rPr>
                <w:rFonts w:hint="eastAsia" w:cs="Times New Roman"/>
                <w:color w:val="auto"/>
                <w:sz w:val="24"/>
                <w:szCs w:val="24"/>
                <w:u w:val="none" w:color="auto"/>
                <w:lang w:eastAsia="zh-CN" w:bidi="ar"/>
              </w:rPr>
              <w:t>本项目</w:t>
            </w:r>
            <w:r>
              <w:rPr>
                <w:rFonts w:hint="eastAsia" w:ascii="Times New Roman" w:hAnsi="Times New Roman" w:eastAsia="宋体" w:cs="Times New Roman"/>
                <w:color w:val="auto"/>
                <w:sz w:val="24"/>
                <w:szCs w:val="24"/>
                <w:u w:val="none" w:color="auto"/>
                <w:lang w:val="en-US" w:eastAsia="zh-CN" w:bidi="ar"/>
              </w:rPr>
              <w:t>总</w:t>
            </w:r>
            <w:r>
              <w:rPr>
                <w:rFonts w:hint="default" w:ascii="Times New Roman" w:hAnsi="Times New Roman" w:eastAsia="宋体" w:cs="Times New Roman"/>
                <w:color w:val="auto"/>
                <w:sz w:val="24"/>
                <w:szCs w:val="24"/>
                <w:u w:val="none" w:color="auto"/>
                <w:lang w:bidi="ar"/>
              </w:rPr>
              <w:t>投资</w:t>
            </w:r>
            <w:r>
              <w:rPr>
                <w:rFonts w:hint="eastAsia" w:cs="Times New Roman"/>
                <w:color w:val="auto"/>
                <w:sz w:val="24"/>
                <w:szCs w:val="24"/>
                <w:u w:val="none" w:color="auto"/>
                <w:lang w:val="en-US" w:eastAsia="zh-CN" w:bidi="ar"/>
              </w:rPr>
              <w:t>20</w:t>
            </w:r>
            <w:r>
              <w:rPr>
                <w:rFonts w:hint="eastAsia" w:ascii="Times New Roman" w:hAnsi="Times New Roman" w:eastAsia="宋体" w:cs="Times New Roman"/>
                <w:color w:val="auto"/>
                <w:sz w:val="24"/>
                <w:szCs w:val="24"/>
                <w:u w:val="none" w:color="auto"/>
                <w:lang w:val="en-US" w:eastAsia="zh-CN" w:bidi="ar"/>
              </w:rPr>
              <w:t>00</w:t>
            </w:r>
            <w:r>
              <w:rPr>
                <w:rFonts w:hint="default" w:ascii="Times New Roman" w:hAnsi="Times New Roman" w:eastAsia="宋体" w:cs="Times New Roman"/>
                <w:color w:val="auto"/>
                <w:sz w:val="24"/>
                <w:szCs w:val="24"/>
                <w:u w:val="none" w:color="auto"/>
                <w:lang w:bidi="ar"/>
              </w:rPr>
              <w:t>万元，其中环保投资为</w:t>
            </w:r>
            <w:r>
              <w:rPr>
                <w:rFonts w:hint="eastAsia" w:cs="Times New Roman"/>
                <w:color w:val="auto"/>
                <w:sz w:val="24"/>
                <w:szCs w:val="24"/>
                <w:u w:val="none" w:color="auto"/>
                <w:lang w:val="en-US" w:eastAsia="zh-CN" w:bidi="ar"/>
              </w:rPr>
              <w:t>50</w:t>
            </w:r>
            <w:r>
              <w:rPr>
                <w:rFonts w:hint="default" w:ascii="Times New Roman" w:hAnsi="Times New Roman" w:eastAsia="宋体" w:cs="Times New Roman"/>
                <w:color w:val="auto"/>
                <w:sz w:val="24"/>
                <w:szCs w:val="24"/>
                <w:u w:val="none" w:color="auto"/>
                <w:lang w:bidi="ar"/>
              </w:rPr>
              <w:t>万</w:t>
            </w:r>
            <w:r>
              <w:rPr>
                <w:rFonts w:hint="eastAsia" w:cs="Times New Roman"/>
                <w:color w:val="auto"/>
                <w:sz w:val="24"/>
                <w:szCs w:val="24"/>
                <w:u w:val="none" w:color="auto"/>
                <w:lang w:val="en-US" w:eastAsia="zh-CN" w:bidi="ar"/>
              </w:rPr>
              <w:t>元</w:t>
            </w:r>
            <w:r>
              <w:rPr>
                <w:rFonts w:hint="default" w:ascii="Times New Roman" w:hAnsi="Times New Roman" w:eastAsia="宋体" w:cs="Times New Roman"/>
                <w:color w:val="auto"/>
                <w:sz w:val="24"/>
                <w:szCs w:val="24"/>
                <w:u w:val="none" w:color="auto"/>
                <w:lang w:bidi="ar"/>
              </w:rPr>
              <w:t>，所占比例为</w:t>
            </w:r>
            <w:r>
              <w:rPr>
                <w:rFonts w:hint="eastAsia" w:cs="Times New Roman"/>
                <w:color w:val="auto"/>
                <w:sz w:val="24"/>
                <w:szCs w:val="24"/>
                <w:u w:val="none" w:color="auto"/>
                <w:lang w:val="en-US" w:eastAsia="zh-CN" w:bidi="ar"/>
              </w:rPr>
              <w:t>2.5</w:t>
            </w:r>
            <w:r>
              <w:rPr>
                <w:rFonts w:hint="default" w:ascii="Times New Roman" w:hAnsi="Times New Roman" w:eastAsia="宋体" w:cs="Times New Roman"/>
                <w:color w:val="auto"/>
                <w:sz w:val="24"/>
                <w:szCs w:val="24"/>
                <w:u w:val="none" w:color="auto"/>
                <w:lang w:bidi="ar"/>
              </w:rPr>
              <w:t>%，其环保投资见下表：</w:t>
            </w:r>
          </w:p>
          <w:p>
            <w:pPr>
              <w:pageBreakBefore w:val="0"/>
              <w:kinsoku/>
              <w:overflowPunct/>
              <w:bidi w:val="0"/>
              <w:spacing w:line="240" w:lineRule="auto"/>
              <w:jc w:val="center"/>
              <w:rPr>
                <w:rFonts w:hint="default" w:ascii="Times New Roman" w:hAnsi="Times New Roman" w:eastAsia="宋体" w:cs="Times New Roman"/>
                <w:b/>
                <w:color w:val="auto"/>
                <w:sz w:val="21"/>
                <w:szCs w:val="21"/>
                <w:u w:val="none" w:color="auto"/>
              </w:rPr>
            </w:pPr>
            <w:r>
              <w:rPr>
                <w:rFonts w:hint="default" w:ascii="Times New Roman" w:hAnsi="Times New Roman" w:eastAsia="宋体" w:cs="Times New Roman"/>
                <w:b/>
                <w:color w:val="auto"/>
                <w:sz w:val="21"/>
                <w:szCs w:val="21"/>
                <w:u w:val="none" w:color="auto"/>
                <w:lang w:bidi="ar"/>
              </w:rPr>
              <w:t>表</w:t>
            </w:r>
            <w:r>
              <w:rPr>
                <w:rFonts w:hint="default" w:ascii="Times New Roman" w:hAnsi="Times New Roman" w:eastAsia="宋体" w:cs="Times New Roman"/>
                <w:b/>
                <w:color w:val="auto"/>
                <w:sz w:val="21"/>
                <w:szCs w:val="21"/>
                <w:u w:val="none" w:color="auto"/>
                <w:lang w:val="en-US" w:eastAsia="zh-CN" w:bidi="ar"/>
              </w:rPr>
              <w:t>4-</w:t>
            </w:r>
            <w:r>
              <w:rPr>
                <w:rFonts w:hint="eastAsia" w:cs="Times New Roman"/>
                <w:b/>
                <w:color w:val="auto"/>
                <w:sz w:val="21"/>
                <w:szCs w:val="21"/>
                <w:u w:val="none" w:color="auto"/>
                <w:lang w:val="en-US" w:eastAsia="zh-CN" w:bidi="ar"/>
              </w:rPr>
              <w:t>24</w:t>
            </w:r>
            <w:r>
              <w:rPr>
                <w:rFonts w:hint="default" w:ascii="Times New Roman" w:hAnsi="Times New Roman" w:eastAsia="宋体" w:cs="Times New Roman"/>
                <w:b/>
                <w:color w:val="auto"/>
                <w:sz w:val="21"/>
                <w:szCs w:val="21"/>
                <w:u w:val="none" w:color="auto"/>
                <w:lang w:bidi="ar"/>
              </w:rPr>
              <w:t xml:space="preserve"> </w:t>
            </w:r>
            <w:r>
              <w:rPr>
                <w:rFonts w:hint="eastAsia" w:cs="Times New Roman"/>
                <w:b/>
                <w:color w:val="auto"/>
                <w:sz w:val="21"/>
                <w:szCs w:val="21"/>
                <w:u w:val="none" w:color="auto"/>
                <w:lang w:val="en-US" w:eastAsia="zh-CN" w:bidi="ar"/>
              </w:rPr>
              <w:t xml:space="preserve"> </w:t>
            </w:r>
            <w:r>
              <w:rPr>
                <w:rFonts w:hint="default" w:ascii="Times New Roman" w:hAnsi="Times New Roman" w:eastAsia="宋体" w:cs="Times New Roman"/>
                <w:b/>
                <w:color w:val="auto"/>
                <w:sz w:val="21"/>
                <w:szCs w:val="21"/>
                <w:u w:val="none" w:color="auto"/>
                <w:lang w:bidi="ar"/>
              </w:rPr>
              <w:t>工程环保设施与环保验收一览表</w:t>
            </w:r>
          </w:p>
          <w:tbl>
            <w:tblPr>
              <w:tblStyle w:val="18"/>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687"/>
              <w:gridCol w:w="668"/>
              <w:gridCol w:w="1601"/>
              <w:gridCol w:w="3388"/>
              <w:gridCol w:w="945"/>
              <w:gridCol w:w="744"/>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340" w:hRule="atLeast"/>
                <w:jc w:val="center"/>
              </w:trPr>
              <w:tc>
                <w:tcPr>
                  <w:tcW w:w="428" w:type="pct"/>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default" w:ascii="Times New Roman" w:hAnsi="Times New Roman" w:eastAsia="宋体" w:cs="Times New Roman"/>
                      <w:b w:val="0"/>
                      <w:bCs/>
                      <w:color w:val="auto"/>
                      <w:sz w:val="21"/>
                      <w:szCs w:val="21"/>
                      <w:u w:val="none" w:color="auto"/>
                    </w:rPr>
                  </w:pPr>
                  <w:r>
                    <w:rPr>
                      <w:rFonts w:hint="default" w:ascii="Times New Roman" w:hAnsi="Times New Roman" w:eastAsia="宋体" w:cs="Times New Roman"/>
                      <w:b w:val="0"/>
                      <w:bCs/>
                      <w:color w:val="auto"/>
                      <w:sz w:val="21"/>
                      <w:szCs w:val="21"/>
                      <w:u w:val="none" w:color="auto"/>
                      <w:lang w:bidi="ar"/>
                    </w:rPr>
                    <w:t>序号</w:t>
                  </w:r>
                </w:p>
              </w:tc>
              <w:tc>
                <w:tcPr>
                  <w:tcW w:w="1412" w:type="pct"/>
                  <w:gridSpan w:val="2"/>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default" w:ascii="Times New Roman" w:hAnsi="Times New Roman" w:eastAsia="宋体" w:cs="Times New Roman"/>
                      <w:b w:val="0"/>
                      <w:bCs/>
                      <w:color w:val="auto"/>
                      <w:sz w:val="21"/>
                      <w:szCs w:val="21"/>
                      <w:u w:val="none" w:color="auto"/>
                    </w:rPr>
                  </w:pPr>
                  <w:r>
                    <w:rPr>
                      <w:rFonts w:hint="default" w:ascii="Times New Roman" w:hAnsi="Times New Roman" w:eastAsia="宋体" w:cs="Times New Roman"/>
                      <w:b w:val="0"/>
                      <w:bCs/>
                      <w:color w:val="auto"/>
                      <w:sz w:val="21"/>
                      <w:szCs w:val="21"/>
                      <w:u w:val="none" w:color="auto"/>
                      <w:lang w:bidi="ar"/>
                    </w:rPr>
                    <w:t>类别</w:t>
                  </w:r>
                </w:p>
              </w:tc>
              <w:tc>
                <w:tcPr>
                  <w:tcW w:w="2107" w:type="pct"/>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default" w:ascii="Times New Roman" w:hAnsi="Times New Roman" w:eastAsia="宋体" w:cs="Times New Roman"/>
                      <w:b w:val="0"/>
                      <w:bCs/>
                      <w:color w:val="auto"/>
                      <w:sz w:val="21"/>
                      <w:szCs w:val="21"/>
                      <w:u w:val="none" w:color="auto"/>
                    </w:rPr>
                  </w:pPr>
                  <w:r>
                    <w:rPr>
                      <w:rFonts w:hint="default" w:ascii="Times New Roman" w:hAnsi="Times New Roman" w:eastAsia="宋体" w:cs="Times New Roman"/>
                      <w:b w:val="0"/>
                      <w:bCs/>
                      <w:color w:val="auto"/>
                      <w:sz w:val="21"/>
                      <w:szCs w:val="21"/>
                      <w:u w:val="none" w:color="auto"/>
                      <w:lang w:bidi="ar"/>
                    </w:rPr>
                    <w:t>治理措施</w:t>
                  </w:r>
                </w:p>
              </w:tc>
              <w:tc>
                <w:tcPr>
                  <w:tcW w:w="588" w:type="pct"/>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default" w:ascii="Times New Roman" w:hAnsi="Times New Roman" w:eastAsia="宋体" w:cs="Times New Roman"/>
                      <w:b w:val="0"/>
                      <w:bCs/>
                      <w:color w:val="auto"/>
                      <w:sz w:val="21"/>
                      <w:szCs w:val="21"/>
                      <w:u w:val="none" w:color="auto"/>
                      <w:lang w:bidi="ar"/>
                    </w:rPr>
                  </w:pPr>
                  <w:r>
                    <w:rPr>
                      <w:rFonts w:hint="default" w:ascii="Times New Roman" w:hAnsi="Times New Roman" w:eastAsia="宋体" w:cs="Times New Roman"/>
                      <w:b w:val="0"/>
                      <w:bCs/>
                      <w:color w:val="auto"/>
                      <w:sz w:val="21"/>
                      <w:szCs w:val="21"/>
                      <w:u w:val="none" w:color="auto"/>
                      <w:lang w:bidi="ar"/>
                    </w:rPr>
                    <w:t>投资(万元)</w:t>
                  </w:r>
                </w:p>
              </w:tc>
              <w:tc>
                <w:tcPr>
                  <w:tcW w:w="462" w:type="pct"/>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default" w:ascii="Times New Roman" w:hAnsi="Times New Roman" w:eastAsia="宋体" w:cs="Times New Roman"/>
                      <w:b w:val="0"/>
                      <w:bCs/>
                      <w:color w:val="auto"/>
                      <w:sz w:val="21"/>
                      <w:szCs w:val="21"/>
                      <w:u w:val="none" w:color="auto"/>
                      <w:lang w:val="en-US" w:eastAsia="zh-CN" w:bidi="ar"/>
                    </w:rPr>
                  </w:pPr>
                  <w:r>
                    <w:rPr>
                      <w:rFonts w:hint="default" w:ascii="Times New Roman" w:hAnsi="Times New Roman" w:eastAsia="宋体" w:cs="Times New Roman"/>
                      <w:b w:val="0"/>
                      <w:bCs/>
                      <w:color w:val="auto"/>
                      <w:sz w:val="21"/>
                      <w:szCs w:val="21"/>
                      <w:u w:val="none" w:color="auto"/>
                      <w:lang w:val="en-US" w:eastAsia="zh-CN" w:bidi="ar"/>
                    </w:rPr>
                    <w:t>备注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28" w:type="pct"/>
                  <w:vMerge w:val="restart"/>
                  <w:tcBorders>
                    <w:tl2br w:val="nil"/>
                    <w:tr2bl w:val="nil"/>
                  </w:tcBorders>
                  <w:vAlign w:val="center"/>
                </w:tcPr>
                <w:p>
                  <w:pPr>
                    <w:pStyle w:val="15"/>
                    <w:keepNext w:val="0"/>
                    <w:keepLines w:val="0"/>
                    <w:pageBreakBefore w:val="0"/>
                    <w:widowControl w:val="0"/>
                    <w:kinsoku/>
                    <w:wordWrap/>
                    <w:overflowPunct/>
                    <w:topLinePunct w:val="0"/>
                    <w:autoSpaceDE/>
                    <w:autoSpaceDN/>
                    <w:bidi w:val="0"/>
                    <w:adjustRightInd w:val="0"/>
                    <w:snapToGrid/>
                    <w:spacing w:before="0" w:beforeAutospacing="0" w:after="0" w:afterAutospacing="0" w:line="240" w:lineRule="auto"/>
                    <w:jc w:val="center"/>
                    <w:textAlignment w:val="baseline"/>
                    <w:rPr>
                      <w:rFonts w:hint="default" w:ascii="Times New Roman" w:hAnsi="Times New Roman" w:eastAsia="宋体" w:cs="Times New Roman"/>
                      <w:b w:val="0"/>
                      <w:bCs/>
                      <w:color w:val="auto"/>
                      <w:kern w:val="2"/>
                      <w:sz w:val="21"/>
                      <w:szCs w:val="21"/>
                      <w:u w:val="none" w:color="auto"/>
                    </w:rPr>
                  </w:pPr>
                  <w:r>
                    <w:rPr>
                      <w:rFonts w:hint="default" w:ascii="Times New Roman" w:hAnsi="Times New Roman" w:eastAsia="宋体" w:cs="Times New Roman"/>
                      <w:b w:val="0"/>
                      <w:bCs/>
                      <w:color w:val="auto"/>
                      <w:kern w:val="2"/>
                      <w:sz w:val="21"/>
                      <w:szCs w:val="21"/>
                      <w:u w:val="none" w:color="auto"/>
                      <w:lang w:bidi="ar"/>
                    </w:rPr>
                    <w:t>1</w:t>
                  </w:r>
                </w:p>
              </w:tc>
              <w:tc>
                <w:tcPr>
                  <w:tcW w:w="416" w:type="pct"/>
                  <w:vMerge w:val="restart"/>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default" w:ascii="Times New Roman" w:hAnsi="Times New Roman" w:eastAsia="宋体" w:cs="Times New Roman"/>
                      <w:b w:val="0"/>
                      <w:bCs/>
                      <w:color w:val="auto"/>
                      <w:sz w:val="21"/>
                      <w:szCs w:val="21"/>
                      <w:u w:val="none" w:color="auto"/>
                    </w:rPr>
                  </w:pPr>
                  <w:r>
                    <w:rPr>
                      <w:rFonts w:hint="default" w:ascii="Times New Roman" w:hAnsi="Times New Roman" w:eastAsia="宋体" w:cs="Times New Roman"/>
                      <w:b w:val="0"/>
                      <w:bCs/>
                      <w:color w:val="auto"/>
                      <w:sz w:val="21"/>
                      <w:szCs w:val="21"/>
                      <w:u w:val="none" w:color="auto"/>
                      <w:lang w:bidi="ar"/>
                    </w:rPr>
                    <w:t>废气</w:t>
                  </w:r>
                </w:p>
              </w:tc>
              <w:tc>
                <w:tcPr>
                  <w:tcW w:w="996" w:type="pct"/>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default" w:ascii="Times New Roman" w:hAnsi="Times New Roman" w:eastAsia="宋体" w:cs="Times New Roman"/>
                      <w:b w:val="0"/>
                      <w:bCs/>
                      <w:color w:val="auto"/>
                      <w:sz w:val="21"/>
                      <w:szCs w:val="21"/>
                      <w:u w:val="none" w:color="auto"/>
                      <w:lang w:val="en-US" w:eastAsia="zh-CN"/>
                    </w:rPr>
                  </w:pPr>
                  <w:r>
                    <w:rPr>
                      <w:rFonts w:hint="eastAsia" w:ascii="Times New Roman" w:hAnsi="Times New Roman" w:eastAsia="宋体" w:cs="Times New Roman"/>
                      <w:b w:val="0"/>
                      <w:bCs/>
                      <w:color w:val="auto"/>
                      <w:sz w:val="21"/>
                      <w:szCs w:val="21"/>
                      <w:u w:val="none" w:color="auto"/>
                      <w:lang w:val="en-US" w:eastAsia="zh-CN"/>
                    </w:rPr>
                    <w:t>废油液挥发废气</w:t>
                  </w:r>
                </w:p>
              </w:tc>
              <w:tc>
                <w:tcPr>
                  <w:tcW w:w="2107" w:type="pct"/>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default" w:ascii="Times New Roman" w:hAnsi="Times New Roman" w:eastAsia="宋体" w:cs="Times New Roman"/>
                      <w:b w:val="0"/>
                      <w:bCs/>
                      <w:color w:val="auto"/>
                      <w:sz w:val="21"/>
                      <w:szCs w:val="21"/>
                      <w:u w:val="none" w:color="auto"/>
                      <w:lang w:val="en-US" w:eastAsia="zh-CN"/>
                    </w:rPr>
                  </w:pPr>
                  <w:r>
                    <w:rPr>
                      <w:rFonts w:hint="eastAsia" w:cs="宋体"/>
                      <w:b w:val="0"/>
                      <w:bCs/>
                      <w:color w:val="auto"/>
                      <w:sz w:val="21"/>
                      <w:szCs w:val="21"/>
                      <w:u w:val="none" w:color="auto"/>
                      <w:lang w:val="en-US" w:eastAsia="zh-CN"/>
                    </w:rPr>
                    <w:t>车间通风设施</w:t>
                  </w:r>
                </w:p>
              </w:tc>
              <w:tc>
                <w:tcPr>
                  <w:tcW w:w="588" w:type="pct"/>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default" w:ascii="Times New Roman" w:hAnsi="Times New Roman" w:eastAsia="宋体" w:cs="Times New Roman"/>
                      <w:b w:val="0"/>
                      <w:bCs/>
                      <w:color w:val="auto"/>
                      <w:sz w:val="21"/>
                      <w:szCs w:val="21"/>
                      <w:u w:val="none" w:color="auto"/>
                      <w:lang w:val="en-US" w:eastAsia="zh-CN"/>
                    </w:rPr>
                  </w:pPr>
                  <w:r>
                    <w:rPr>
                      <w:rFonts w:hint="eastAsia" w:cs="Times New Roman"/>
                      <w:b w:val="0"/>
                      <w:bCs/>
                      <w:color w:val="auto"/>
                      <w:sz w:val="21"/>
                      <w:szCs w:val="21"/>
                      <w:u w:val="none" w:color="auto"/>
                      <w:lang w:val="en-US" w:eastAsia="zh-CN"/>
                    </w:rPr>
                    <w:t>1.0</w:t>
                  </w:r>
                </w:p>
              </w:tc>
              <w:tc>
                <w:tcPr>
                  <w:tcW w:w="462" w:type="pct"/>
                  <w:vMerge w:val="restart"/>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default" w:ascii="Times New Roman" w:hAnsi="Times New Roman" w:eastAsia="宋体" w:cs="Times New Roman"/>
                      <w:b w:val="0"/>
                      <w:bCs/>
                      <w:color w:val="auto"/>
                      <w:sz w:val="21"/>
                      <w:szCs w:val="21"/>
                      <w:u w:val="none" w:color="auto"/>
                      <w:lang w:val="en-US" w:eastAsia="zh-CN"/>
                    </w:rPr>
                  </w:pPr>
                  <w:r>
                    <w:rPr>
                      <w:rFonts w:hint="default" w:ascii="Times New Roman" w:hAnsi="Times New Roman" w:eastAsia="宋体" w:cs="Times New Roman"/>
                      <w:b w:val="0"/>
                      <w:bCs/>
                      <w:color w:val="auto"/>
                      <w:sz w:val="21"/>
                      <w:szCs w:val="21"/>
                      <w:u w:val="none" w:color="auto"/>
                      <w:lang w:val="en-US" w:eastAsia="zh-CN"/>
                    </w:rPr>
                    <w:t>新增</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28" w:type="pct"/>
                  <w:vMerge w:val="continue"/>
                  <w:tcBorders>
                    <w:tl2br w:val="nil"/>
                    <w:tr2bl w:val="nil"/>
                  </w:tcBorders>
                  <w:vAlign w:val="center"/>
                </w:tcPr>
                <w:p>
                  <w:pPr>
                    <w:pStyle w:val="15"/>
                    <w:keepNext w:val="0"/>
                    <w:keepLines w:val="0"/>
                    <w:pageBreakBefore w:val="0"/>
                    <w:widowControl w:val="0"/>
                    <w:kinsoku/>
                    <w:wordWrap/>
                    <w:overflowPunct/>
                    <w:topLinePunct w:val="0"/>
                    <w:autoSpaceDE/>
                    <w:autoSpaceDN/>
                    <w:bidi w:val="0"/>
                    <w:adjustRightInd w:val="0"/>
                    <w:snapToGrid/>
                    <w:spacing w:before="0" w:beforeAutospacing="0" w:after="0" w:afterAutospacing="0" w:line="240" w:lineRule="auto"/>
                    <w:jc w:val="center"/>
                    <w:textAlignment w:val="baseline"/>
                    <w:rPr>
                      <w:rFonts w:hint="default" w:ascii="Times New Roman" w:hAnsi="Times New Roman" w:eastAsia="宋体" w:cs="Times New Roman"/>
                      <w:b w:val="0"/>
                      <w:bCs/>
                      <w:color w:val="auto"/>
                      <w:kern w:val="2"/>
                      <w:sz w:val="21"/>
                      <w:szCs w:val="21"/>
                      <w:u w:val="none" w:color="auto"/>
                      <w:lang w:bidi="ar"/>
                    </w:rPr>
                  </w:pPr>
                </w:p>
              </w:tc>
              <w:tc>
                <w:tcPr>
                  <w:tcW w:w="416"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default" w:ascii="Times New Roman" w:hAnsi="Times New Roman" w:eastAsia="宋体" w:cs="Times New Roman"/>
                      <w:b w:val="0"/>
                      <w:bCs/>
                      <w:color w:val="auto"/>
                      <w:sz w:val="21"/>
                      <w:szCs w:val="21"/>
                      <w:u w:val="none" w:color="auto"/>
                      <w:lang w:bidi="ar"/>
                    </w:rPr>
                  </w:pPr>
                </w:p>
              </w:tc>
              <w:tc>
                <w:tcPr>
                  <w:tcW w:w="996" w:type="pct"/>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default" w:ascii="Times New Roman" w:hAnsi="Times New Roman" w:eastAsia="宋体" w:cs="Times New Roman"/>
                      <w:b w:val="0"/>
                      <w:bCs/>
                      <w:color w:val="auto"/>
                      <w:sz w:val="21"/>
                      <w:szCs w:val="21"/>
                      <w:u w:val="none" w:color="auto"/>
                      <w:lang w:val="en-US" w:eastAsia="zh-CN"/>
                    </w:rPr>
                  </w:pPr>
                  <w:r>
                    <w:rPr>
                      <w:rFonts w:hint="eastAsia" w:cs="Times New Roman"/>
                      <w:b w:val="0"/>
                      <w:bCs/>
                      <w:color w:val="auto"/>
                      <w:sz w:val="21"/>
                      <w:szCs w:val="21"/>
                      <w:u w:val="none" w:color="auto"/>
                      <w:lang w:val="en-US" w:eastAsia="zh-CN"/>
                    </w:rPr>
                    <w:t>切割粉尘</w:t>
                  </w:r>
                </w:p>
              </w:tc>
              <w:tc>
                <w:tcPr>
                  <w:tcW w:w="2107" w:type="pct"/>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default" w:ascii="Times New Roman" w:hAnsi="Times New Roman" w:eastAsia="宋体" w:cs="Times New Roman"/>
                      <w:b w:val="0"/>
                      <w:bCs/>
                      <w:color w:val="auto"/>
                      <w:sz w:val="21"/>
                      <w:szCs w:val="21"/>
                      <w:u w:val="none" w:color="auto"/>
                      <w:lang w:val="en-US" w:eastAsia="zh-CN"/>
                    </w:rPr>
                  </w:pPr>
                  <w:r>
                    <w:rPr>
                      <w:rFonts w:hint="eastAsia" w:cs="Times New Roman"/>
                      <w:b w:val="0"/>
                      <w:bCs/>
                      <w:color w:val="auto"/>
                      <w:sz w:val="21"/>
                      <w:szCs w:val="21"/>
                      <w:u w:val="none" w:color="auto"/>
                      <w:lang w:val="en-US" w:eastAsia="zh-CN"/>
                    </w:rPr>
                    <w:t>移动式烟尘净化器</w:t>
                  </w:r>
                </w:p>
              </w:tc>
              <w:tc>
                <w:tcPr>
                  <w:tcW w:w="588" w:type="pct"/>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default" w:ascii="Times New Roman" w:hAnsi="Times New Roman" w:eastAsia="宋体" w:cs="Times New Roman"/>
                      <w:b w:val="0"/>
                      <w:bCs/>
                      <w:color w:val="auto"/>
                      <w:sz w:val="21"/>
                      <w:szCs w:val="21"/>
                      <w:u w:val="none" w:color="auto"/>
                      <w:lang w:val="en-US" w:eastAsia="zh-CN"/>
                    </w:rPr>
                  </w:pPr>
                  <w:r>
                    <w:rPr>
                      <w:rFonts w:hint="eastAsia" w:cs="Times New Roman"/>
                      <w:b w:val="0"/>
                      <w:bCs/>
                      <w:color w:val="auto"/>
                      <w:sz w:val="21"/>
                      <w:szCs w:val="21"/>
                      <w:u w:val="none" w:color="auto"/>
                      <w:lang w:val="en-US" w:eastAsia="zh-CN"/>
                    </w:rPr>
                    <w:t>1.0</w:t>
                  </w:r>
                </w:p>
              </w:tc>
              <w:tc>
                <w:tcPr>
                  <w:tcW w:w="462"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default" w:ascii="Times New Roman" w:hAnsi="Times New Roman" w:eastAsia="宋体" w:cs="Times New Roman"/>
                      <w:b w:val="0"/>
                      <w:bCs/>
                      <w:color w:val="auto"/>
                      <w:sz w:val="21"/>
                      <w:szCs w:val="21"/>
                      <w:u w:val="none" w:color="auto"/>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28" w:type="pct"/>
                  <w:vMerge w:val="continue"/>
                  <w:tcBorders>
                    <w:tl2br w:val="nil"/>
                    <w:tr2bl w:val="nil"/>
                  </w:tcBorders>
                  <w:vAlign w:val="center"/>
                </w:tcPr>
                <w:p>
                  <w:pPr>
                    <w:pStyle w:val="15"/>
                    <w:keepNext w:val="0"/>
                    <w:keepLines w:val="0"/>
                    <w:pageBreakBefore w:val="0"/>
                    <w:widowControl w:val="0"/>
                    <w:kinsoku/>
                    <w:wordWrap/>
                    <w:overflowPunct/>
                    <w:topLinePunct w:val="0"/>
                    <w:autoSpaceDE/>
                    <w:autoSpaceDN/>
                    <w:bidi w:val="0"/>
                    <w:adjustRightInd w:val="0"/>
                    <w:snapToGrid/>
                    <w:spacing w:before="0" w:beforeAutospacing="0" w:after="0" w:afterAutospacing="0" w:line="240" w:lineRule="auto"/>
                    <w:jc w:val="center"/>
                    <w:textAlignment w:val="baseline"/>
                    <w:rPr>
                      <w:rFonts w:hint="default" w:ascii="Times New Roman" w:hAnsi="Times New Roman" w:eastAsia="宋体" w:cs="Times New Roman"/>
                      <w:b w:val="0"/>
                      <w:bCs/>
                      <w:color w:val="auto"/>
                      <w:kern w:val="2"/>
                      <w:sz w:val="21"/>
                      <w:szCs w:val="21"/>
                      <w:u w:val="none" w:color="auto"/>
                      <w:lang w:bidi="ar"/>
                    </w:rPr>
                  </w:pPr>
                </w:p>
              </w:tc>
              <w:tc>
                <w:tcPr>
                  <w:tcW w:w="416"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default" w:ascii="Times New Roman" w:hAnsi="Times New Roman" w:eastAsia="宋体" w:cs="Times New Roman"/>
                      <w:b w:val="0"/>
                      <w:bCs/>
                      <w:color w:val="auto"/>
                      <w:sz w:val="21"/>
                      <w:szCs w:val="21"/>
                      <w:u w:val="none" w:color="auto"/>
                      <w:lang w:bidi="ar"/>
                    </w:rPr>
                  </w:pPr>
                </w:p>
              </w:tc>
              <w:tc>
                <w:tcPr>
                  <w:tcW w:w="996" w:type="pct"/>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default" w:cs="Times New Roman"/>
                      <w:b w:val="0"/>
                      <w:bCs/>
                      <w:color w:val="auto"/>
                      <w:sz w:val="21"/>
                      <w:szCs w:val="21"/>
                      <w:u w:val="none" w:color="auto"/>
                      <w:lang w:val="en-US" w:eastAsia="zh-CN"/>
                    </w:rPr>
                  </w:pPr>
                  <w:r>
                    <w:rPr>
                      <w:rFonts w:hint="eastAsia" w:cs="Times New Roman"/>
                      <w:b w:val="0"/>
                      <w:bCs/>
                      <w:color w:val="auto"/>
                      <w:sz w:val="21"/>
                      <w:szCs w:val="21"/>
                      <w:u w:val="none" w:color="auto"/>
                      <w:lang w:val="en-US" w:eastAsia="zh-CN"/>
                    </w:rPr>
                    <w:t>食堂油烟</w:t>
                  </w:r>
                </w:p>
              </w:tc>
              <w:tc>
                <w:tcPr>
                  <w:tcW w:w="2107" w:type="pct"/>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default" w:cs="Times New Roman"/>
                      <w:b w:val="0"/>
                      <w:bCs/>
                      <w:color w:val="auto"/>
                      <w:sz w:val="21"/>
                      <w:szCs w:val="21"/>
                      <w:u w:val="none" w:color="auto"/>
                      <w:lang w:val="en-US" w:eastAsia="zh-CN"/>
                    </w:rPr>
                  </w:pPr>
                  <w:r>
                    <w:rPr>
                      <w:rFonts w:hint="eastAsia" w:cs="Times New Roman"/>
                      <w:b w:val="0"/>
                      <w:bCs/>
                      <w:color w:val="auto"/>
                      <w:sz w:val="21"/>
                      <w:szCs w:val="21"/>
                      <w:u w:val="none" w:color="auto"/>
                      <w:lang w:val="en-US" w:eastAsia="zh-CN"/>
                    </w:rPr>
                    <w:t>油烟净化器+管道</w:t>
                  </w:r>
                </w:p>
              </w:tc>
              <w:tc>
                <w:tcPr>
                  <w:tcW w:w="588" w:type="pct"/>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default" w:cs="Times New Roman"/>
                      <w:b w:val="0"/>
                      <w:bCs/>
                      <w:color w:val="auto"/>
                      <w:sz w:val="21"/>
                      <w:szCs w:val="21"/>
                      <w:u w:val="none" w:color="auto"/>
                      <w:lang w:val="en-US" w:eastAsia="zh-CN"/>
                    </w:rPr>
                  </w:pPr>
                  <w:r>
                    <w:rPr>
                      <w:rFonts w:hint="eastAsia" w:cs="Times New Roman"/>
                      <w:b w:val="0"/>
                      <w:bCs/>
                      <w:color w:val="auto"/>
                      <w:sz w:val="21"/>
                      <w:szCs w:val="21"/>
                      <w:u w:val="none" w:color="auto"/>
                      <w:lang w:val="en-US" w:eastAsia="zh-CN"/>
                    </w:rPr>
                    <w:t>1.0</w:t>
                  </w:r>
                </w:p>
              </w:tc>
              <w:tc>
                <w:tcPr>
                  <w:tcW w:w="462"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default" w:ascii="Times New Roman" w:hAnsi="Times New Roman" w:eastAsia="宋体" w:cs="Times New Roman"/>
                      <w:b w:val="0"/>
                      <w:bCs/>
                      <w:color w:val="auto"/>
                      <w:sz w:val="21"/>
                      <w:szCs w:val="21"/>
                      <w:u w:val="none" w:color="auto"/>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28" w:type="pct"/>
                  <w:vMerge w:val="restart"/>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default" w:ascii="Times New Roman" w:hAnsi="Times New Roman" w:eastAsia="宋体" w:cs="Times New Roman"/>
                      <w:b w:val="0"/>
                      <w:bCs/>
                      <w:color w:val="auto"/>
                      <w:sz w:val="21"/>
                      <w:szCs w:val="21"/>
                      <w:u w:val="none" w:color="auto"/>
                    </w:rPr>
                  </w:pPr>
                  <w:r>
                    <w:rPr>
                      <w:rFonts w:hint="default" w:ascii="Times New Roman" w:hAnsi="Times New Roman" w:eastAsia="宋体" w:cs="Times New Roman"/>
                      <w:b w:val="0"/>
                      <w:bCs/>
                      <w:color w:val="auto"/>
                      <w:sz w:val="21"/>
                      <w:szCs w:val="21"/>
                      <w:u w:val="none" w:color="auto"/>
                      <w:lang w:bidi="ar"/>
                    </w:rPr>
                    <w:t>2</w:t>
                  </w:r>
                </w:p>
              </w:tc>
              <w:tc>
                <w:tcPr>
                  <w:tcW w:w="416" w:type="pct"/>
                  <w:vMerge w:val="restart"/>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default" w:ascii="Times New Roman" w:hAnsi="Times New Roman" w:eastAsia="宋体" w:cs="Times New Roman"/>
                      <w:b w:val="0"/>
                      <w:bCs/>
                      <w:color w:val="auto"/>
                      <w:sz w:val="21"/>
                      <w:szCs w:val="21"/>
                      <w:u w:val="none" w:color="auto"/>
                    </w:rPr>
                  </w:pPr>
                  <w:r>
                    <w:rPr>
                      <w:rFonts w:hint="default" w:ascii="Times New Roman" w:hAnsi="Times New Roman" w:eastAsia="宋体" w:cs="Times New Roman"/>
                      <w:b w:val="0"/>
                      <w:bCs/>
                      <w:color w:val="auto"/>
                      <w:sz w:val="21"/>
                      <w:szCs w:val="21"/>
                      <w:u w:val="none" w:color="auto"/>
                      <w:lang w:bidi="ar"/>
                    </w:rPr>
                    <w:t>废水</w:t>
                  </w:r>
                </w:p>
              </w:tc>
              <w:tc>
                <w:tcPr>
                  <w:tcW w:w="996" w:type="pct"/>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default" w:ascii="Times New Roman" w:hAnsi="Times New Roman" w:eastAsia="宋体" w:cs="Times New Roman"/>
                      <w:b w:val="0"/>
                      <w:bCs/>
                      <w:color w:val="auto"/>
                      <w:sz w:val="21"/>
                      <w:szCs w:val="21"/>
                      <w:u w:val="none" w:color="auto"/>
                    </w:rPr>
                  </w:pPr>
                  <w:r>
                    <w:rPr>
                      <w:rFonts w:hint="default" w:ascii="Times New Roman" w:hAnsi="Times New Roman" w:eastAsia="宋体" w:cs="Times New Roman"/>
                      <w:b w:val="0"/>
                      <w:bCs/>
                      <w:color w:val="auto"/>
                      <w:sz w:val="21"/>
                      <w:szCs w:val="21"/>
                      <w:u w:val="none" w:color="auto"/>
                      <w:lang w:bidi="ar"/>
                    </w:rPr>
                    <w:t>生活废水</w:t>
                  </w:r>
                </w:p>
              </w:tc>
              <w:tc>
                <w:tcPr>
                  <w:tcW w:w="2107"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color w:val="auto"/>
                      <w:sz w:val="21"/>
                      <w:szCs w:val="21"/>
                      <w:u w:val="none" w:color="auto"/>
                      <w:lang w:val="en-US" w:eastAsia="zh-CN"/>
                    </w:rPr>
                  </w:pPr>
                  <w:r>
                    <w:rPr>
                      <w:rFonts w:hint="default" w:ascii="Times New Roman" w:hAnsi="Times New Roman" w:eastAsia="宋体" w:cs="Times New Roman"/>
                      <w:b w:val="0"/>
                      <w:bCs/>
                      <w:color w:val="auto"/>
                      <w:sz w:val="21"/>
                      <w:szCs w:val="21"/>
                      <w:u w:val="none" w:color="auto"/>
                      <w:lang w:val="en-US" w:eastAsia="zh-CN"/>
                    </w:rPr>
                    <w:t>依托</w:t>
                  </w:r>
                  <w:r>
                    <w:rPr>
                      <w:rFonts w:hint="eastAsia" w:cs="Times New Roman"/>
                      <w:b w:val="0"/>
                      <w:bCs/>
                      <w:color w:val="auto"/>
                      <w:sz w:val="21"/>
                      <w:szCs w:val="21"/>
                      <w:u w:val="none" w:color="auto"/>
                      <w:lang w:val="en-US" w:eastAsia="zh-CN"/>
                    </w:rPr>
                    <w:t>现有隔油池、</w:t>
                  </w:r>
                  <w:r>
                    <w:rPr>
                      <w:rFonts w:hint="default" w:ascii="Times New Roman" w:hAnsi="Times New Roman" w:eastAsia="宋体" w:cs="Times New Roman"/>
                      <w:b w:val="0"/>
                      <w:bCs/>
                      <w:color w:val="auto"/>
                      <w:sz w:val="21"/>
                      <w:szCs w:val="21"/>
                      <w:u w:val="none" w:color="auto"/>
                      <w:lang w:val="en-US" w:eastAsia="zh-CN"/>
                    </w:rPr>
                    <w:t>化粪池</w:t>
                  </w:r>
                  <w:r>
                    <w:rPr>
                      <w:rFonts w:hint="eastAsia" w:cs="Times New Roman"/>
                      <w:b w:val="0"/>
                      <w:bCs/>
                      <w:color w:val="auto"/>
                      <w:sz w:val="21"/>
                      <w:szCs w:val="21"/>
                      <w:u w:val="none" w:color="auto"/>
                      <w:lang w:val="en-US" w:eastAsia="zh-CN"/>
                    </w:rPr>
                    <w:t>（TW001）</w:t>
                  </w:r>
                </w:p>
              </w:tc>
              <w:tc>
                <w:tcPr>
                  <w:tcW w:w="588" w:type="pct"/>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default" w:ascii="Times New Roman" w:hAnsi="Times New Roman" w:eastAsia="宋体" w:cs="Times New Roman"/>
                      <w:b w:val="0"/>
                      <w:bCs/>
                      <w:color w:val="auto"/>
                      <w:sz w:val="21"/>
                      <w:szCs w:val="21"/>
                      <w:u w:val="none" w:color="auto"/>
                      <w:lang w:val="en-US" w:eastAsia="zh-CN" w:bidi="ar"/>
                    </w:rPr>
                  </w:pPr>
                  <w:r>
                    <w:rPr>
                      <w:rFonts w:hint="default" w:ascii="Times New Roman" w:hAnsi="Times New Roman" w:eastAsia="宋体" w:cs="Times New Roman"/>
                      <w:b w:val="0"/>
                      <w:bCs/>
                      <w:color w:val="auto"/>
                      <w:sz w:val="21"/>
                      <w:szCs w:val="21"/>
                      <w:u w:val="none" w:color="auto"/>
                      <w:lang w:val="en-US" w:eastAsia="zh-CN" w:bidi="ar"/>
                    </w:rPr>
                    <w:t>/</w:t>
                  </w:r>
                </w:p>
              </w:tc>
              <w:tc>
                <w:tcPr>
                  <w:tcW w:w="462" w:type="pct"/>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default" w:ascii="Times New Roman" w:hAnsi="Times New Roman" w:eastAsia="宋体" w:cs="Times New Roman"/>
                      <w:b w:val="0"/>
                      <w:bCs/>
                      <w:color w:val="auto"/>
                      <w:sz w:val="21"/>
                      <w:szCs w:val="21"/>
                      <w:u w:val="none" w:color="auto"/>
                      <w:lang w:val="en-US" w:eastAsia="zh-CN"/>
                    </w:rPr>
                  </w:pPr>
                  <w:r>
                    <w:rPr>
                      <w:rFonts w:hint="default" w:ascii="Times New Roman" w:hAnsi="Times New Roman" w:eastAsia="宋体" w:cs="Times New Roman"/>
                      <w:b w:val="0"/>
                      <w:bCs/>
                      <w:color w:val="auto"/>
                      <w:sz w:val="21"/>
                      <w:szCs w:val="21"/>
                      <w:u w:val="none" w:color="auto"/>
                      <w:lang w:val="en-US" w:eastAsia="zh-CN"/>
                    </w:rPr>
                    <w:t>依托</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2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default" w:ascii="Times New Roman" w:hAnsi="Times New Roman" w:eastAsia="宋体" w:cs="Times New Roman"/>
                      <w:b w:val="0"/>
                      <w:bCs/>
                      <w:color w:val="auto"/>
                      <w:sz w:val="21"/>
                      <w:szCs w:val="21"/>
                      <w:u w:val="none" w:color="auto"/>
                      <w:lang w:bidi="ar"/>
                    </w:rPr>
                  </w:pPr>
                </w:p>
              </w:tc>
              <w:tc>
                <w:tcPr>
                  <w:tcW w:w="416"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default" w:ascii="Times New Roman" w:hAnsi="Times New Roman" w:eastAsia="宋体" w:cs="Times New Roman"/>
                      <w:b w:val="0"/>
                      <w:bCs/>
                      <w:color w:val="auto"/>
                      <w:sz w:val="21"/>
                      <w:szCs w:val="21"/>
                      <w:u w:val="none" w:color="auto"/>
                      <w:lang w:bidi="ar"/>
                    </w:rPr>
                  </w:pPr>
                </w:p>
              </w:tc>
              <w:tc>
                <w:tcPr>
                  <w:tcW w:w="996" w:type="pct"/>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default" w:ascii="Times New Roman" w:hAnsi="Times New Roman" w:eastAsia="宋体" w:cs="Times New Roman"/>
                      <w:b w:val="0"/>
                      <w:bCs/>
                      <w:color w:val="auto"/>
                      <w:sz w:val="21"/>
                      <w:szCs w:val="21"/>
                      <w:u w:val="none" w:color="auto"/>
                      <w:lang w:val="en-US" w:eastAsia="zh-CN" w:bidi="ar"/>
                    </w:rPr>
                  </w:pPr>
                  <w:r>
                    <w:rPr>
                      <w:rFonts w:hint="eastAsia" w:cs="Times New Roman"/>
                      <w:b w:val="0"/>
                      <w:bCs/>
                      <w:color w:val="auto"/>
                      <w:sz w:val="21"/>
                      <w:szCs w:val="21"/>
                      <w:u w:val="none" w:color="auto"/>
                      <w:lang w:val="en-US" w:eastAsia="zh-CN" w:bidi="ar"/>
                    </w:rPr>
                    <w:t>初期雨水、拖把清洗废水</w:t>
                  </w:r>
                </w:p>
              </w:tc>
              <w:tc>
                <w:tcPr>
                  <w:tcW w:w="2107"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color w:val="auto"/>
                      <w:sz w:val="21"/>
                      <w:szCs w:val="21"/>
                      <w:u w:val="none" w:color="auto"/>
                      <w:lang w:val="en-US" w:eastAsia="zh-CN"/>
                    </w:rPr>
                  </w:pPr>
                  <w:r>
                    <w:rPr>
                      <w:rFonts w:hint="eastAsia" w:cs="Times New Roman"/>
                      <w:b w:val="0"/>
                      <w:bCs/>
                      <w:color w:val="auto"/>
                      <w:sz w:val="21"/>
                      <w:szCs w:val="21"/>
                      <w:u w:val="none" w:color="auto"/>
                      <w:lang w:val="en-US" w:eastAsia="zh-CN"/>
                    </w:rPr>
                    <w:t>初期雨水收集池、隔油沉淀池（TW002，采用气浮+油水分离器技术）</w:t>
                  </w:r>
                </w:p>
              </w:tc>
              <w:tc>
                <w:tcPr>
                  <w:tcW w:w="588" w:type="pct"/>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default" w:ascii="Times New Roman" w:hAnsi="Times New Roman" w:eastAsia="宋体" w:cs="Times New Roman"/>
                      <w:b w:val="0"/>
                      <w:bCs/>
                      <w:color w:val="auto"/>
                      <w:sz w:val="21"/>
                      <w:szCs w:val="21"/>
                      <w:u w:val="none" w:color="auto"/>
                      <w:lang w:val="en-US" w:eastAsia="zh-CN" w:bidi="ar"/>
                    </w:rPr>
                  </w:pPr>
                  <w:r>
                    <w:rPr>
                      <w:rFonts w:hint="eastAsia" w:cs="Times New Roman"/>
                      <w:b w:val="0"/>
                      <w:bCs/>
                      <w:color w:val="auto"/>
                      <w:sz w:val="21"/>
                      <w:szCs w:val="21"/>
                      <w:u w:val="none" w:color="auto"/>
                      <w:lang w:val="en-US" w:eastAsia="zh-CN" w:bidi="ar"/>
                    </w:rPr>
                    <w:t>20</w:t>
                  </w:r>
                </w:p>
              </w:tc>
              <w:tc>
                <w:tcPr>
                  <w:tcW w:w="462" w:type="pct"/>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default" w:ascii="Times New Roman" w:hAnsi="Times New Roman" w:eastAsia="宋体" w:cs="Times New Roman"/>
                      <w:b w:val="0"/>
                      <w:bCs/>
                      <w:color w:val="auto"/>
                      <w:sz w:val="21"/>
                      <w:szCs w:val="21"/>
                      <w:u w:val="none" w:color="auto"/>
                      <w:lang w:val="en-US" w:eastAsia="zh-CN" w:bidi="ar"/>
                    </w:rPr>
                  </w:pPr>
                  <w:r>
                    <w:rPr>
                      <w:rFonts w:hint="default" w:ascii="Times New Roman" w:hAnsi="Times New Roman" w:eastAsia="宋体" w:cs="Times New Roman"/>
                      <w:b w:val="0"/>
                      <w:bCs/>
                      <w:color w:val="auto"/>
                      <w:sz w:val="21"/>
                      <w:szCs w:val="21"/>
                      <w:u w:val="none" w:color="auto"/>
                      <w:lang w:val="en-US" w:eastAsia="zh-CN" w:bidi="ar"/>
                    </w:rPr>
                    <w:t>新增</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28" w:type="pct"/>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default" w:ascii="Times New Roman" w:hAnsi="Times New Roman" w:eastAsia="宋体" w:cs="Times New Roman"/>
                      <w:b w:val="0"/>
                      <w:bCs/>
                      <w:color w:val="auto"/>
                      <w:sz w:val="21"/>
                      <w:szCs w:val="21"/>
                      <w:u w:val="none" w:color="auto"/>
                    </w:rPr>
                  </w:pPr>
                  <w:r>
                    <w:rPr>
                      <w:rFonts w:hint="default" w:ascii="Times New Roman" w:hAnsi="Times New Roman" w:eastAsia="宋体" w:cs="Times New Roman"/>
                      <w:b w:val="0"/>
                      <w:bCs/>
                      <w:color w:val="auto"/>
                      <w:sz w:val="21"/>
                      <w:szCs w:val="21"/>
                      <w:u w:val="none" w:color="auto"/>
                      <w:lang w:bidi="ar"/>
                    </w:rPr>
                    <w:t>3</w:t>
                  </w:r>
                </w:p>
              </w:tc>
              <w:tc>
                <w:tcPr>
                  <w:tcW w:w="1412" w:type="pct"/>
                  <w:gridSpan w:val="2"/>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default" w:ascii="Times New Roman" w:hAnsi="Times New Roman" w:eastAsia="宋体" w:cs="Times New Roman"/>
                      <w:b w:val="0"/>
                      <w:bCs/>
                      <w:color w:val="auto"/>
                      <w:sz w:val="21"/>
                      <w:szCs w:val="21"/>
                      <w:u w:val="none" w:color="auto"/>
                    </w:rPr>
                  </w:pPr>
                  <w:r>
                    <w:rPr>
                      <w:rFonts w:hint="default" w:ascii="Times New Roman" w:hAnsi="Times New Roman" w:eastAsia="宋体" w:cs="Times New Roman"/>
                      <w:b w:val="0"/>
                      <w:bCs/>
                      <w:color w:val="auto"/>
                      <w:sz w:val="21"/>
                      <w:szCs w:val="21"/>
                      <w:u w:val="none" w:color="auto"/>
                      <w:lang w:bidi="ar"/>
                    </w:rPr>
                    <w:t>噪声</w:t>
                  </w:r>
                </w:p>
              </w:tc>
              <w:tc>
                <w:tcPr>
                  <w:tcW w:w="2107" w:type="pct"/>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default" w:ascii="Times New Roman" w:hAnsi="Times New Roman" w:eastAsia="宋体" w:cs="Times New Roman"/>
                      <w:b w:val="0"/>
                      <w:bCs/>
                      <w:color w:val="auto"/>
                      <w:sz w:val="21"/>
                      <w:szCs w:val="21"/>
                      <w:u w:val="none" w:color="auto"/>
                      <w:lang w:val="en-US" w:eastAsia="zh-CN" w:bidi="ar"/>
                    </w:rPr>
                  </w:pPr>
                  <w:r>
                    <w:rPr>
                      <w:rFonts w:hint="default" w:ascii="Times New Roman" w:hAnsi="Times New Roman" w:eastAsia="宋体" w:cs="Times New Roman"/>
                      <w:b w:val="0"/>
                      <w:bCs/>
                      <w:color w:val="auto"/>
                      <w:sz w:val="21"/>
                      <w:szCs w:val="21"/>
                      <w:u w:val="none" w:color="auto"/>
                      <w:lang w:bidi="ar"/>
                    </w:rPr>
                    <w:t>隔声、减震垫等降噪等措施</w:t>
                  </w:r>
                </w:p>
              </w:tc>
              <w:tc>
                <w:tcPr>
                  <w:tcW w:w="588" w:type="pct"/>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default" w:ascii="Times New Roman" w:hAnsi="Times New Roman" w:eastAsia="宋体" w:cs="Times New Roman"/>
                      <w:b w:val="0"/>
                      <w:bCs/>
                      <w:color w:val="auto"/>
                      <w:sz w:val="21"/>
                      <w:szCs w:val="21"/>
                      <w:u w:val="none" w:color="auto"/>
                      <w:lang w:val="en-US" w:eastAsia="zh-CN"/>
                    </w:rPr>
                  </w:pPr>
                  <w:r>
                    <w:rPr>
                      <w:rFonts w:hint="eastAsia" w:cs="Times New Roman"/>
                      <w:b w:val="0"/>
                      <w:bCs/>
                      <w:color w:val="auto"/>
                      <w:sz w:val="21"/>
                      <w:szCs w:val="21"/>
                      <w:u w:val="none" w:color="auto"/>
                      <w:lang w:val="en-US" w:eastAsia="zh-CN"/>
                    </w:rPr>
                    <w:t>2</w:t>
                  </w:r>
                </w:p>
              </w:tc>
              <w:tc>
                <w:tcPr>
                  <w:tcW w:w="462" w:type="pct"/>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default" w:ascii="Times New Roman" w:hAnsi="Times New Roman" w:eastAsia="宋体" w:cs="Times New Roman"/>
                      <w:b w:val="0"/>
                      <w:bCs/>
                      <w:color w:val="auto"/>
                      <w:sz w:val="21"/>
                      <w:szCs w:val="21"/>
                      <w:u w:val="none" w:color="auto"/>
                      <w:lang w:val="en-US" w:eastAsia="zh-CN"/>
                    </w:rPr>
                  </w:pPr>
                  <w:r>
                    <w:rPr>
                      <w:rFonts w:hint="default" w:ascii="Times New Roman" w:hAnsi="Times New Roman" w:eastAsia="宋体" w:cs="Times New Roman"/>
                      <w:b w:val="0"/>
                      <w:bCs/>
                      <w:color w:val="auto"/>
                      <w:sz w:val="21"/>
                      <w:szCs w:val="21"/>
                      <w:u w:val="none" w:color="auto"/>
                      <w:lang w:val="en-US" w:eastAsia="zh-CN"/>
                    </w:rPr>
                    <w:t>新增</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28" w:type="pct"/>
                  <w:vMerge w:val="restart"/>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default" w:ascii="Times New Roman" w:hAnsi="Times New Roman" w:eastAsia="宋体" w:cs="Times New Roman"/>
                      <w:b w:val="0"/>
                      <w:bCs/>
                      <w:color w:val="auto"/>
                      <w:sz w:val="21"/>
                      <w:szCs w:val="21"/>
                      <w:u w:val="none" w:color="auto"/>
                      <w:lang w:eastAsia="zh-CN" w:bidi="ar"/>
                    </w:rPr>
                  </w:pPr>
                  <w:r>
                    <w:rPr>
                      <w:rFonts w:hint="default" w:ascii="Times New Roman" w:hAnsi="Times New Roman" w:eastAsia="宋体" w:cs="Times New Roman"/>
                      <w:b w:val="0"/>
                      <w:bCs/>
                      <w:color w:val="auto"/>
                      <w:sz w:val="21"/>
                      <w:szCs w:val="21"/>
                      <w:u w:val="none" w:color="auto"/>
                      <w:lang w:val="en-US" w:eastAsia="zh-CN" w:bidi="ar"/>
                    </w:rPr>
                    <w:t>4</w:t>
                  </w:r>
                </w:p>
              </w:tc>
              <w:tc>
                <w:tcPr>
                  <w:tcW w:w="416" w:type="pct"/>
                  <w:vMerge w:val="restart"/>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default" w:ascii="Times New Roman" w:hAnsi="Times New Roman" w:eastAsia="宋体" w:cs="Times New Roman"/>
                      <w:b w:val="0"/>
                      <w:bCs/>
                      <w:color w:val="auto"/>
                      <w:sz w:val="21"/>
                      <w:szCs w:val="21"/>
                      <w:u w:val="none" w:color="auto"/>
                    </w:rPr>
                  </w:pPr>
                  <w:r>
                    <w:rPr>
                      <w:rFonts w:hint="default" w:ascii="Times New Roman" w:hAnsi="Times New Roman" w:eastAsia="宋体" w:cs="Times New Roman"/>
                      <w:b w:val="0"/>
                      <w:bCs/>
                      <w:color w:val="auto"/>
                      <w:sz w:val="21"/>
                      <w:szCs w:val="21"/>
                      <w:u w:val="none" w:color="auto"/>
                      <w:lang w:bidi="ar"/>
                    </w:rPr>
                    <w:t>固废</w:t>
                  </w:r>
                </w:p>
              </w:tc>
              <w:tc>
                <w:tcPr>
                  <w:tcW w:w="996" w:type="pct"/>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default" w:ascii="Times New Roman" w:hAnsi="Times New Roman" w:eastAsia="宋体" w:cs="Times New Roman"/>
                      <w:b w:val="0"/>
                      <w:bCs/>
                      <w:color w:val="auto"/>
                      <w:kern w:val="0"/>
                      <w:sz w:val="21"/>
                      <w:szCs w:val="21"/>
                      <w:u w:val="none" w:color="auto"/>
                    </w:rPr>
                  </w:pPr>
                  <w:r>
                    <w:rPr>
                      <w:rFonts w:hint="default" w:ascii="Times New Roman" w:hAnsi="Times New Roman" w:eastAsia="宋体" w:cs="Times New Roman"/>
                      <w:b w:val="0"/>
                      <w:bCs/>
                      <w:color w:val="auto"/>
                      <w:kern w:val="0"/>
                      <w:sz w:val="21"/>
                      <w:szCs w:val="21"/>
                      <w:u w:val="none" w:color="auto"/>
                      <w:lang w:bidi="ar"/>
                    </w:rPr>
                    <w:t>生活垃圾</w:t>
                  </w:r>
                </w:p>
              </w:tc>
              <w:tc>
                <w:tcPr>
                  <w:tcW w:w="2107" w:type="pct"/>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default" w:ascii="Times New Roman" w:hAnsi="Times New Roman" w:eastAsia="宋体" w:cs="Times New Roman"/>
                      <w:b w:val="0"/>
                      <w:bCs/>
                      <w:color w:val="auto"/>
                      <w:sz w:val="21"/>
                      <w:szCs w:val="21"/>
                      <w:u w:val="none" w:color="auto"/>
                      <w:lang w:val="en-US" w:eastAsia="zh-CN" w:bidi="ar"/>
                    </w:rPr>
                  </w:pPr>
                  <w:r>
                    <w:rPr>
                      <w:rFonts w:hint="default" w:ascii="Times New Roman" w:hAnsi="Times New Roman" w:eastAsia="宋体" w:cs="Times New Roman"/>
                      <w:b w:val="0"/>
                      <w:bCs/>
                      <w:color w:val="auto"/>
                      <w:sz w:val="21"/>
                      <w:szCs w:val="21"/>
                      <w:u w:val="none" w:color="auto"/>
                      <w:lang w:val="en-US" w:eastAsia="zh-CN" w:bidi="ar"/>
                    </w:rPr>
                    <w:t>垃圾桶</w:t>
                  </w:r>
                </w:p>
              </w:tc>
              <w:tc>
                <w:tcPr>
                  <w:tcW w:w="588" w:type="pct"/>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default" w:ascii="Times New Roman" w:hAnsi="Times New Roman" w:eastAsia="宋体" w:cs="Times New Roman"/>
                      <w:b w:val="0"/>
                      <w:bCs/>
                      <w:color w:val="auto"/>
                      <w:sz w:val="21"/>
                      <w:szCs w:val="21"/>
                      <w:u w:val="none" w:color="auto"/>
                      <w:lang w:val="en-US" w:eastAsia="zh-CN"/>
                    </w:rPr>
                  </w:pPr>
                  <w:r>
                    <w:rPr>
                      <w:rFonts w:hint="eastAsia" w:cs="Times New Roman"/>
                      <w:b w:val="0"/>
                      <w:bCs/>
                      <w:color w:val="auto"/>
                      <w:sz w:val="21"/>
                      <w:szCs w:val="21"/>
                      <w:u w:val="none" w:color="auto"/>
                      <w:lang w:val="en-US" w:eastAsia="zh-CN" w:bidi="ar"/>
                    </w:rPr>
                    <w:t>0.5</w:t>
                  </w:r>
                </w:p>
              </w:tc>
              <w:tc>
                <w:tcPr>
                  <w:tcW w:w="462" w:type="pct"/>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default" w:ascii="Times New Roman" w:hAnsi="Times New Roman" w:eastAsia="宋体" w:cs="Times New Roman"/>
                      <w:b w:val="0"/>
                      <w:bCs/>
                      <w:color w:val="auto"/>
                      <w:sz w:val="21"/>
                      <w:szCs w:val="21"/>
                      <w:u w:val="none" w:color="auto"/>
                      <w:lang w:val="en-US" w:eastAsia="zh-CN" w:bidi="ar"/>
                    </w:rPr>
                  </w:pPr>
                  <w:r>
                    <w:rPr>
                      <w:rFonts w:hint="default" w:ascii="Times New Roman" w:hAnsi="Times New Roman" w:eastAsia="宋体" w:cs="Times New Roman"/>
                      <w:b w:val="0"/>
                      <w:bCs/>
                      <w:color w:val="auto"/>
                      <w:sz w:val="21"/>
                      <w:szCs w:val="21"/>
                      <w:u w:val="none" w:color="auto"/>
                      <w:lang w:val="en-US" w:eastAsia="zh-CN"/>
                    </w:rPr>
                    <w:t>新增</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2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default" w:ascii="Times New Roman" w:hAnsi="Times New Roman" w:eastAsia="宋体" w:cs="Times New Roman"/>
                      <w:b w:val="0"/>
                      <w:bCs/>
                      <w:color w:val="auto"/>
                      <w:sz w:val="21"/>
                      <w:szCs w:val="21"/>
                      <w:u w:val="none" w:color="auto"/>
                      <w:lang w:val="en-US" w:eastAsia="zh-CN" w:bidi="ar"/>
                    </w:rPr>
                  </w:pPr>
                </w:p>
              </w:tc>
              <w:tc>
                <w:tcPr>
                  <w:tcW w:w="416"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default" w:ascii="Times New Roman" w:hAnsi="Times New Roman" w:eastAsia="宋体" w:cs="Times New Roman"/>
                      <w:b w:val="0"/>
                      <w:bCs/>
                      <w:color w:val="auto"/>
                      <w:sz w:val="21"/>
                      <w:szCs w:val="21"/>
                      <w:u w:val="none" w:color="auto"/>
                      <w:lang w:bidi="ar"/>
                    </w:rPr>
                  </w:pPr>
                </w:p>
              </w:tc>
              <w:tc>
                <w:tcPr>
                  <w:tcW w:w="996" w:type="pct"/>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default" w:ascii="Times New Roman" w:hAnsi="Times New Roman" w:eastAsia="宋体" w:cs="Times New Roman"/>
                      <w:b w:val="0"/>
                      <w:bCs/>
                      <w:color w:val="auto"/>
                      <w:kern w:val="0"/>
                      <w:sz w:val="21"/>
                      <w:szCs w:val="21"/>
                      <w:u w:val="none" w:color="auto"/>
                      <w:lang w:val="en-US" w:eastAsia="zh-CN" w:bidi="ar"/>
                    </w:rPr>
                  </w:pPr>
                  <w:r>
                    <w:rPr>
                      <w:rFonts w:hint="eastAsia" w:ascii="Times New Roman" w:hAnsi="Times New Roman" w:eastAsia="宋体" w:cs="Times New Roman"/>
                      <w:b w:val="0"/>
                      <w:bCs/>
                      <w:color w:val="auto"/>
                      <w:kern w:val="0"/>
                      <w:sz w:val="21"/>
                      <w:szCs w:val="21"/>
                      <w:u w:val="none" w:color="auto"/>
                      <w:lang w:val="en-US" w:eastAsia="zh-CN" w:bidi="ar"/>
                    </w:rPr>
                    <w:t>产品</w:t>
                  </w:r>
                </w:p>
              </w:tc>
              <w:tc>
                <w:tcPr>
                  <w:tcW w:w="2107" w:type="pct"/>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default" w:ascii="Times New Roman" w:hAnsi="Times New Roman" w:eastAsia="宋体" w:cs="Times New Roman"/>
                      <w:b w:val="0"/>
                      <w:bCs/>
                      <w:color w:val="auto"/>
                      <w:sz w:val="21"/>
                      <w:szCs w:val="21"/>
                      <w:u w:val="none" w:color="auto"/>
                      <w:lang w:val="en-US" w:eastAsia="zh-CN" w:bidi="ar"/>
                    </w:rPr>
                  </w:pPr>
                  <w:r>
                    <w:rPr>
                      <w:rFonts w:hint="eastAsia" w:ascii="Times New Roman" w:hAnsi="Times New Roman" w:eastAsia="宋体" w:cs="Times New Roman"/>
                      <w:b w:val="0"/>
                      <w:bCs/>
                      <w:color w:val="auto"/>
                      <w:sz w:val="21"/>
                      <w:szCs w:val="21"/>
                      <w:u w:val="none" w:color="auto"/>
                      <w:lang w:val="en-US" w:eastAsia="zh-CN" w:bidi="ar"/>
                    </w:rPr>
                    <w:t>产品堆场依托已建综合楼1、2楼</w:t>
                  </w:r>
                </w:p>
              </w:tc>
              <w:tc>
                <w:tcPr>
                  <w:tcW w:w="588" w:type="pct"/>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eastAsia" w:cs="Times New Roman"/>
                      <w:b w:val="0"/>
                      <w:bCs/>
                      <w:color w:val="auto"/>
                      <w:sz w:val="21"/>
                      <w:szCs w:val="21"/>
                      <w:u w:val="none" w:color="auto"/>
                      <w:lang w:val="en-US" w:eastAsia="zh-CN" w:bidi="ar"/>
                    </w:rPr>
                  </w:pPr>
                  <w:r>
                    <w:rPr>
                      <w:rFonts w:hint="default" w:ascii="Times New Roman" w:hAnsi="Times New Roman" w:eastAsia="宋体" w:cs="Times New Roman"/>
                      <w:b w:val="0"/>
                      <w:bCs/>
                      <w:color w:val="auto"/>
                      <w:sz w:val="21"/>
                      <w:szCs w:val="21"/>
                      <w:u w:val="none" w:color="auto"/>
                      <w:lang w:val="en-US" w:eastAsia="zh-CN" w:bidi="ar"/>
                    </w:rPr>
                    <w:t>/</w:t>
                  </w:r>
                </w:p>
              </w:tc>
              <w:tc>
                <w:tcPr>
                  <w:tcW w:w="462" w:type="pct"/>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eastAsia" w:ascii="Times New Roman" w:hAnsi="Times New Roman" w:eastAsia="宋体" w:cs="Times New Roman"/>
                      <w:b w:val="0"/>
                      <w:bCs/>
                      <w:color w:val="auto"/>
                      <w:sz w:val="21"/>
                      <w:szCs w:val="21"/>
                      <w:u w:val="none" w:color="auto"/>
                      <w:lang w:val="en-US" w:eastAsia="zh-CN"/>
                    </w:rPr>
                  </w:pPr>
                  <w:r>
                    <w:rPr>
                      <w:rFonts w:hint="default" w:ascii="Times New Roman" w:hAnsi="Times New Roman" w:eastAsia="宋体" w:cs="Times New Roman"/>
                      <w:b w:val="0"/>
                      <w:bCs/>
                      <w:color w:val="auto"/>
                      <w:sz w:val="21"/>
                      <w:szCs w:val="21"/>
                      <w:u w:val="none" w:color="auto"/>
                      <w:lang w:val="en-US" w:eastAsia="zh-CN"/>
                    </w:rPr>
                    <w:t>依托</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2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default" w:ascii="Times New Roman" w:hAnsi="Times New Roman" w:eastAsia="宋体" w:cs="Times New Roman"/>
                      <w:b w:val="0"/>
                      <w:bCs/>
                      <w:color w:val="auto"/>
                      <w:sz w:val="21"/>
                      <w:szCs w:val="21"/>
                      <w:u w:val="none" w:color="auto"/>
                      <w:lang w:val="en-US" w:eastAsia="zh-CN" w:bidi="ar"/>
                    </w:rPr>
                  </w:pPr>
                </w:p>
              </w:tc>
              <w:tc>
                <w:tcPr>
                  <w:tcW w:w="416"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default" w:ascii="Times New Roman" w:hAnsi="Times New Roman" w:eastAsia="宋体" w:cs="Times New Roman"/>
                      <w:b w:val="0"/>
                      <w:bCs/>
                      <w:color w:val="auto"/>
                      <w:sz w:val="21"/>
                      <w:szCs w:val="21"/>
                      <w:u w:val="none" w:color="auto"/>
                      <w:lang w:bidi="ar"/>
                    </w:rPr>
                  </w:pPr>
                </w:p>
              </w:tc>
              <w:tc>
                <w:tcPr>
                  <w:tcW w:w="996" w:type="pct"/>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default" w:ascii="Times New Roman" w:hAnsi="Times New Roman" w:eastAsia="宋体" w:cs="Times New Roman"/>
                      <w:b w:val="0"/>
                      <w:bCs/>
                      <w:color w:val="auto"/>
                      <w:kern w:val="0"/>
                      <w:sz w:val="21"/>
                      <w:szCs w:val="21"/>
                      <w:u w:val="none" w:color="auto"/>
                      <w:lang w:val="en-US" w:eastAsia="zh-CN" w:bidi="ar"/>
                    </w:rPr>
                  </w:pPr>
                  <w:r>
                    <w:rPr>
                      <w:rFonts w:hint="eastAsia" w:ascii="Times New Roman" w:hAnsi="Times New Roman" w:eastAsia="宋体" w:cs="Times New Roman"/>
                      <w:b w:val="0"/>
                      <w:bCs/>
                      <w:color w:val="auto"/>
                      <w:kern w:val="0"/>
                      <w:sz w:val="21"/>
                      <w:szCs w:val="21"/>
                      <w:u w:val="none" w:color="auto"/>
                      <w:lang w:val="en-US" w:eastAsia="zh-CN" w:bidi="ar"/>
                    </w:rPr>
                    <w:t>一般固废</w:t>
                  </w:r>
                </w:p>
              </w:tc>
              <w:tc>
                <w:tcPr>
                  <w:tcW w:w="2107" w:type="pct"/>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default" w:ascii="Times New Roman" w:hAnsi="Times New Roman" w:eastAsia="宋体" w:cs="Times New Roman"/>
                      <w:b w:val="0"/>
                      <w:bCs/>
                      <w:color w:val="auto"/>
                      <w:sz w:val="21"/>
                      <w:szCs w:val="21"/>
                      <w:u w:val="none" w:color="auto"/>
                      <w:lang w:val="en-US" w:eastAsia="zh-CN" w:bidi="ar"/>
                    </w:rPr>
                  </w:pPr>
                  <w:r>
                    <w:rPr>
                      <w:rFonts w:hint="eastAsia" w:ascii="Times New Roman" w:hAnsi="Times New Roman" w:eastAsia="宋体" w:cs="Times New Roman"/>
                      <w:b w:val="0"/>
                      <w:bCs/>
                      <w:color w:val="auto"/>
                      <w:sz w:val="21"/>
                      <w:szCs w:val="21"/>
                      <w:u w:val="none" w:color="auto"/>
                      <w:lang w:val="en-US" w:eastAsia="zh-CN" w:bidi="ar"/>
                    </w:rPr>
                    <w:t>一般固废暂存间</w:t>
                  </w:r>
                  <w:r>
                    <w:rPr>
                      <w:rFonts w:hint="eastAsia" w:cs="Times New Roman"/>
                      <w:b w:val="0"/>
                      <w:bCs/>
                      <w:color w:val="auto"/>
                      <w:sz w:val="21"/>
                      <w:szCs w:val="21"/>
                      <w:u w:val="none" w:color="auto"/>
                      <w:lang w:val="en-US" w:eastAsia="zh-CN" w:bidi="ar"/>
                    </w:rPr>
                    <w:t>以及简单防渗措施等</w:t>
                  </w:r>
                </w:p>
              </w:tc>
              <w:tc>
                <w:tcPr>
                  <w:tcW w:w="588" w:type="pct"/>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default" w:ascii="Times New Roman" w:hAnsi="Times New Roman" w:eastAsia="宋体" w:cs="Times New Roman"/>
                      <w:b w:val="0"/>
                      <w:bCs/>
                      <w:color w:val="auto"/>
                      <w:sz w:val="21"/>
                      <w:szCs w:val="21"/>
                      <w:u w:val="none" w:color="auto"/>
                      <w:lang w:val="en-US" w:eastAsia="zh-CN" w:bidi="ar"/>
                    </w:rPr>
                  </w:pPr>
                  <w:r>
                    <w:rPr>
                      <w:rFonts w:hint="eastAsia" w:cs="Times New Roman"/>
                      <w:b w:val="0"/>
                      <w:bCs/>
                      <w:color w:val="auto"/>
                      <w:sz w:val="21"/>
                      <w:szCs w:val="21"/>
                      <w:u w:val="none" w:color="auto"/>
                      <w:lang w:val="en-US" w:eastAsia="zh-CN" w:bidi="ar"/>
                    </w:rPr>
                    <w:t>4.5</w:t>
                  </w:r>
                </w:p>
              </w:tc>
              <w:tc>
                <w:tcPr>
                  <w:tcW w:w="462" w:type="pct"/>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default" w:ascii="Times New Roman" w:hAnsi="Times New Roman" w:eastAsia="宋体" w:cs="Times New Roman"/>
                      <w:b w:val="0"/>
                      <w:bCs/>
                      <w:color w:val="auto"/>
                      <w:sz w:val="21"/>
                      <w:szCs w:val="21"/>
                      <w:u w:val="none" w:color="auto"/>
                      <w:lang w:val="en-US" w:eastAsia="zh-CN"/>
                    </w:rPr>
                  </w:pPr>
                  <w:r>
                    <w:rPr>
                      <w:rFonts w:hint="eastAsia" w:ascii="Times New Roman" w:hAnsi="Times New Roman" w:eastAsia="宋体" w:cs="Times New Roman"/>
                      <w:b w:val="0"/>
                      <w:bCs/>
                      <w:color w:val="auto"/>
                      <w:sz w:val="21"/>
                      <w:szCs w:val="21"/>
                      <w:u w:val="none" w:color="auto"/>
                      <w:lang w:val="en-US" w:eastAsia="zh-CN"/>
                    </w:rPr>
                    <w:t>新增</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2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default" w:ascii="Times New Roman" w:hAnsi="Times New Roman" w:eastAsia="宋体" w:cs="Times New Roman"/>
                      <w:b w:val="0"/>
                      <w:bCs/>
                      <w:color w:val="auto"/>
                      <w:sz w:val="21"/>
                      <w:szCs w:val="21"/>
                      <w:u w:val="none" w:color="auto"/>
                      <w:lang w:bidi="ar"/>
                    </w:rPr>
                  </w:pPr>
                </w:p>
              </w:tc>
              <w:tc>
                <w:tcPr>
                  <w:tcW w:w="416"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default" w:ascii="Times New Roman" w:hAnsi="Times New Roman" w:eastAsia="宋体" w:cs="Times New Roman"/>
                      <w:b w:val="0"/>
                      <w:bCs/>
                      <w:color w:val="auto"/>
                      <w:sz w:val="21"/>
                      <w:szCs w:val="21"/>
                      <w:u w:val="none" w:color="auto"/>
                      <w:lang w:bidi="ar"/>
                    </w:rPr>
                  </w:pPr>
                </w:p>
              </w:tc>
              <w:tc>
                <w:tcPr>
                  <w:tcW w:w="996" w:type="pct"/>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default" w:ascii="Times New Roman" w:hAnsi="Times New Roman" w:eastAsia="宋体" w:cs="Times New Roman"/>
                      <w:b w:val="0"/>
                      <w:bCs/>
                      <w:color w:val="auto"/>
                      <w:kern w:val="0"/>
                      <w:sz w:val="21"/>
                      <w:szCs w:val="21"/>
                      <w:u w:val="none" w:color="auto"/>
                      <w:lang w:eastAsia="zh-CN" w:bidi="ar"/>
                    </w:rPr>
                  </w:pPr>
                  <w:r>
                    <w:rPr>
                      <w:rFonts w:hint="default" w:ascii="Times New Roman" w:hAnsi="Times New Roman" w:eastAsia="宋体" w:cs="Times New Roman"/>
                      <w:b w:val="0"/>
                      <w:bCs/>
                      <w:color w:val="auto"/>
                      <w:kern w:val="0"/>
                      <w:sz w:val="21"/>
                      <w:szCs w:val="21"/>
                      <w:u w:val="none" w:color="auto"/>
                      <w:lang w:eastAsia="zh-CN" w:bidi="ar"/>
                    </w:rPr>
                    <w:t>危险废物</w:t>
                  </w:r>
                </w:p>
              </w:tc>
              <w:tc>
                <w:tcPr>
                  <w:tcW w:w="2107" w:type="pct"/>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default" w:ascii="Times New Roman" w:hAnsi="Times New Roman" w:eastAsia="宋体" w:cs="Times New Roman"/>
                      <w:b w:val="0"/>
                      <w:bCs/>
                      <w:color w:val="auto"/>
                      <w:sz w:val="21"/>
                      <w:szCs w:val="21"/>
                      <w:u w:val="none" w:color="auto"/>
                      <w:lang w:val="en-US" w:eastAsia="zh-CN" w:bidi="ar"/>
                    </w:rPr>
                  </w:pPr>
                  <w:r>
                    <w:rPr>
                      <w:rFonts w:hint="default" w:ascii="Times New Roman" w:hAnsi="Times New Roman" w:eastAsia="宋体" w:cs="Times New Roman"/>
                      <w:b w:val="0"/>
                      <w:bCs/>
                      <w:color w:val="auto"/>
                      <w:sz w:val="21"/>
                      <w:szCs w:val="21"/>
                      <w:u w:val="none" w:color="auto"/>
                      <w:lang w:val="en-US" w:eastAsia="zh-CN" w:bidi="ar"/>
                    </w:rPr>
                    <w:t>危废</w:t>
                  </w:r>
                  <w:r>
                    <w:rPr>
                      <w:rFonts w:hint="default" w:ascii="Times New Roman" w:hAnsi="Times New Roman" w:eastAsia="宋体" w:cs="Times New Roman"/>
                      <w:b w:val="0"/>
                      <w:bCs/>
                      <w:color w:val="auto"/>
                      <w:sz w:val="21"/>
                      <w:szCs w:val="21"/>
                      <w:u w:val="none" w:color="auto"/>
                      <w:lang w:eastAsia="zh-CN" w:bidi="ar"/>
                    </w:rPr>
                    <w:t>暂存间</w:t>
                  </w:r>
                  <w:r>
                    <w:rPr>
                      <w:rFonts w:hint="eastAsia" w:cs="Times New Roman"/>
                      <w:b w:val="0"/>
                      <w:bCs/>
                      <w:color w:val="auto"/>
                      <w:sz w:val="21"/>
                      <w:szCs w:val="21"/>
                      <w:u w:val="none" w:color="auto"/>
                      <w:lang w:val="en-US" w:eastAsia="zh-CN" w:bidi="ar"/>
                    </w:rPr>
                    <w:t>以及重点防渗措施等</w:t>
                  </w:r>
                </w:p>
              </w:tc>
              <w:tc>
                <w:tcPr>
                  <w:tcW w:w="588" w:type="pct"/>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default" w:ascii="Times New Roman" w:hAnsi="Times New Roman" w:eastAsia="宋体" w:cs="Times New Roman"/>
                      <w:b w:val="0"/>
                      <w:bCs/>
                      <w:color w:val="auto"/>
                      <w:sz w:val="21"/>
                      <w:szCs w:val="21"/>
                      <w:u w:val="none" w:color="auto"/>
                      <w:lang w:val="en-US" w:eastAsia="zh-CN" w:bidi="ar"/>
                    </w:rPr>
                  </w:pPr>
                  <w:r>
                    <w:rPr>
                      <w:rFonts w:hint="eastAsia" w:cs="Times New Roman"/>
                      <w:b w:val="0"/>
                      <w:bCs/>
                      <w:color w:val="auto"/>
                      <w:sz w:val="21"/>
                      <w:szCs w:val="21"/>
                      <w:u w:val="none" w:color="auto"/>
                      <w:lang w:val="en-US" w:eastAsia="zh-CN" w:bidi="ar"/>
                    </w:rPr>
                    <w:t>10</w:t>
                  </w:r>
                </w:p>
              </w:tc>
              <w:tc>
                <w:tcPr>
                  <w:tcW w:w="462" w:type="pct"/>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default" w:ascii="Times New Roman" w:hAnsi="Times New Roman" w:eastAsia="宋体" w:cs="Times New Roman"/>
                      <w:b w:val="0"/>
                      <w:bCs/>
                      <w:color w:val="auto"/>
                      <w:sz w:val="21"/>
                      <w:szCs w:val="21"/>
                      <w:u w:val="none" w:color="auto"/>
                      <w:lang w:val="en-US" w:eastAsia="zh-CN" w:bidi="ar"/>
                    </w:rPr>
                  </w:pPr>
                  <w:r>
                    <w:rPr>
                      <w:rFonts w:hint="default" w:ascii="Times New Roman" w:hAnsi="Times New Roman" w:eastAsia="宋体" w:cs="Times New Roman"/>
                      <w:b w:val="0"/>
                      <w:bCs/>
                      <w:color w:val="auto"/>
                      <w:sz w:val="21"/>
                      <w:szCs w:val="21"/>
                      <w:u w:val="none" w:color="auto"/>
                      <w:lang w:val="en-US" w:eastAsia="zh-CN"/>
                    </w:rPr>
                    <w:t>新增</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28" w:type="pct"/>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eastAsia" w:ascii="Times New Roman" w:hAnsi="Times New Roman" w:eastAsia="宋体" w:cs="Times New Roman"/>
                      <w:b w:val="0"/>
                      <w:bCs/>
                      <w:color w:val="auto"/>
                      <w:sz w:val="21"/>
                      <w:szCs w:val="21"/>
                      <w:u w:val="none" w:color="auto"/>
                      <w:lang w:val="en-US" w:eastAsia="zh-CN" w:bidi="ar"/>
                    </w:rPr>
                  </w:pPr>
                  <w:r>
                    <w:rPr>
                      <w:rFonts w:hint="eastAsia" w:cs="Times New Roman"/>
                      <w:b w:val="0"/>
                      <w:bCs/>
                      <w:color w:val="auto"/>
                      <w:sz w:val="21"/>
                      <w:szCs w:val="21"/>
                      <w:u w:val="none" w:color="auto"/>
                      <w:lang w:val="en-US" w:eastAsia="zh-CN" w:bidi="ar"/>
                    </w:rPr>
                    <w:t>5</w:t>
                  </w:r>
                </w:p>
              </w:tc>
              <w:tc>
                <w:tcPr>
                  <w:tcW w:w="1412" w:type="pct"/>
                  <w:gridSpan w:val="2"/>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default" w:ascii="Times New Roman" w:hAnsi="Times New Roman" w:eastAsia="宋体" w:cs="Times New Roman"/>
                      <w:b w:val="0"/>
                      <w:bCs/>
                      <w:color w:val="auto"/>
                      <w:kern w:val="0"/>
                      <w:sz w:val="21"/>
                      <w:szCs w:val="21"/>
                      <w:u w:val="none" w:color="auto"/>
                      <w:lang w:eastAsia="zh-CN" w:bidi="ar"/>
                    </w:rPr>
                  </w:pPr>
                  <w:r>
                    <w:rPr>
                      <w:rFonts w:hint="eastAsia" w:cs="Times New Roman"/>
                      <w:b w:val="0"/>
                      <w:bCs/>
                      <w:color w:val="auto"/>
                      <w:sz w:val="21"/>
                      <w:szCs w:val="21"/>
                      <w:u w:val="none" w:color="auto"/>
                      <w:lang w:val="en-US" w:eastAsia="zh-CN" w:bidi="ar"/>
                    </w:rPr>
                    <w:t>环境风险</w:t>
                  </w:r>
                </w:p>
              </w:tc>
              <w:tc>
                <w:tcPr>
                  <w:tcW w:w="2107" w:type="pct"/>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default" w:ascii="Times New Roman" w:hAnsi="Times New Roman" w:eastAsia="宋体" w:cs="Times New Roman"/>
                      <w:b w:val="0"/>
                      <w:bCs/>
                      <w:color w:val="auto"/>
                      <w:sz w:val="21"/>
                      <w:szCs w:val="21"/>
                      <w:u w:val="none" w:color="auto"/>
                      <w:lang w:val="en-US" w:eastAsia="zh-CN" w:bidi="ar"/>
                    </w:rPr>
                  </w:pPr>
                  <w:r>
                    <w:rPr>
                      <w:rFonts w:hint="eastAsia" w:cs="Times New Roman"/>
                      <w:b w:val="0"/>
                      <w:bCs/>
                      <w:color w:val="auto"/>
                      <w:sz w:val="21"/>
                      <w:szCs w:val="21"/>
                      <w:u w:val="none" w:color="auto"/>
                      <w:lang w:val="en-US" w:eastAsia="zh-CN" w:bidi="ar"/>
                    </w:rPr>
                    <w:t>分区防渗、事故应急池、购买应急物资、编制突发环境事件应急预案</w:t>
                  </w:r>
                </w:p>
              </w:tc>
              <w:tc>
                <w:tcPr>
                  <w:tcW w:w="588" w:type="pct"/>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default" w:cs="Times New Roman"/>
                      <w:b w:val="0"/>
                      <w:bCs/>
                      <w:color w:val="auto"/>
                      <w:sz w:val="21"/>
                      <w:szCs w:val="21"/>
                      <w:u w:val="none" w:color="auto"/>
                      <w:lang w:val="en-US" w:eastAsia="zh-CN" w:bidi="ar"/>
                    </w:rPr>
                  </w:pPr>
                  <w:r>
                    <w:rPr>
                      <w:rFonts w:hint="eastAsia" w:cs="Times New Roman"/>
                      <w:b w:val="0"/>
                      <w:bCs/>
                      <w:color w:val="auto"/>
                      <w:sz w:val="21"/>
                      <w:szCs w:val="21"/>
                      <w:u w:val="none" w:color="auto"/>
                      <w:lang w:val="en-US" w:eastAsia="zh-CN" w:bidi="ar"/>
                    </w:rPr>
                    <w:t>10</w:t>
                  </w:r>
                </w:p>
              </w:tc>
              <w:tc>
                <w:tcPr>
                  <w:tcW w:w="462" w:type="pct"/>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default" w:ascii="Times New Roman" w:hAnsi="Times New Roman" w:eastAsia="宋体" w:cs="Times New Roman"/>
                      <w:b w:val="0"/>
                      <w:bCs/>
                      <w:color w:val="auto"/>
                      <w:sz w:val="21"/>
                      <w:szCs w:val="21"/>
                      <w:u w:val="none" w:color="auto"/>
                      <w:lang w:val="en-US" w:eastAsia="zh-CN"/>
                    </w:rPr>
                  </w:pPr>
                  <w:r>
                    <w:rPr>
                      <w:rFonts w:hint="default" w:ascii="Times New Roman" w:hAnsi="Times New Roman" w:eastAsia="宋体" w:cs="Times New Roman"/>
                      <w:b w:val="0"/>
                      <w:bCs/>
                      <w:color w:val="auto"/>
                      <w:sz w:val="21"/>
                      <w:szCs w:val="21"/>
                      <w:u w:val="none" w:color="auto"/>
                      <w:lang w:val="en-US" w:eastAsia="zh-CN"/>
                    </w:rPr>
                    <w:t>新增</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48" w:type="pct"/>
                  <w:gridSpan w:val="4"/>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default" w:ascii="Times New Roman" w:hAnsi="Times New Roman" w:eastAsia="宋体" w:cs="Times New Roman"/>
                      <w:b w:val="0"/>
                      <w:bCs/>
                      <w:color w:val="auto"/>
                      <w:sz w:val="21"/>
                      <w:szCs w:val="21"/>
                      <w:u w:val="none" w:color="auto"/>
                    </w:rPr>
                  </w:pPr>
                  <w:r>
                    <w:rPr>
                      <w:rFonts w:hint="default" w:ascii="Times New Roman" w:hAnsi="Times New Roman" w:eastAsia="宋体" w:cs="Times New Roman"/>
                      <w:b w:val="0"/>
                      <w:bCs/>
                      <w:color w:val="auto"/>
                      <w:sz w:val="21"/>
                      <w:szCs w:val="21"/>
                      <w:u w:val="none" w:color="auto"/>
                      <w:lang w:bidi="ar"/>
                    </w:rPr>
                    <w:t>合计</w:t>
                  </w:r>
                </w:p>
              </w:tc>
              <w:tc>
                <w:tcPr>
                  <w:tcW w:w="1051" w:type="pct"/>
                  <w:gridSpan w:val="2"/>
                  <w:tcBorders>
                    <w:tl2br w:val="nil"/>
                    <w:tr2bl w:val="nil"/>
                  </w:tcBorders>
                  <w:vAlign w:val="center"/>
                </w:tcPr>
                <w:p>
                  <w:pPr>
                    <w:keepNext w:val="0"/>
                    <w:keepLines w:val="0"/>
                    <w:pageBreakBefore w:val="0"/>
                    <w:widowControl w:val="0"/>
                    <w:kinsoku/>
                    <w:wordWrap/>
                    <w:overflowPunct/>
                    <w:topLinePunct w:val="0"/>
                    <w:autoSpaceDE/>
                    <w:autoSpaceDN/>
                    <w:bidi w:val="0"/>
                    <w:snapToGrid/>
                    <w:spacing w:line="240" w:lineRule="auto"/>
                    <w:jc w:val="center"/>
                    <w:rPr>
                      <w:rFonts w:hint="default" w:ascii="Times New Roman" w:hAnsi="Times New Roman" w:eastAsia="宋体" w:cs="Times New Roman"/>
                      <w:b w:val="0"/>
                      <w:bCs/>
                      <w:color w:val="auto"/>
                      <w:sz w:val="21"/>
                      <w:szCs w:val="21"/>
                      <w:u w:val="none" w:color="auto"/>
                      <w:lang w:val="en-US" w:eastAsia="zh-CN"/>
                    </w:rPr>
                  </w:pPr>
                  <w:r>
                    <w:rPr>
                      <w:rFonts w:hint="eastAsia" w:cs="Times New Roman"/>
                      <w:b w:val="0"/>
                      <w:bCs/>
                      <w:color w:val="auto"/>
                      <w:sz w:val="21"/>
                      <w:szCs w:val="21"/>
                      <w:u w:val="none" w:color="auto"/>
                      <w:lang w:val="en-US" w:eastAsia="zh-CN"/>
                    </w:rPr>
                    <w:t>50</w:t>
                  </w:r>
                </w:p>
              </w:tc>
            </w:tr>
          </w:tbl>
          <w:p>
            <w:pPr>
              <w:pStyle w:val="15"/>
              <w:keepNext w:val="0"/>
              <w:keepLines w:val="0"/>
              <w:pageBreakBefore w:val="0"/>
              <w:widowControl/>
              <w:kinsoku/>
              <w:wordWrap/>
              <w:overflowPunct/>
              <w:topLinePunct w:val="0"/>
              <w:autoSpaceDE/>
              <w:autoSpaceDN/>
              <w:bidi w:val="0"/>
              <w:adjustRightInd/>
              <w:snapToGrid/>
              <w:spacing w:before="0" w:beforeAutospacing="0" w:after="0" w:afterAutospacing="0" w:line="240" w:lineRule="auto"/>
              <w:jc w:val="both"/>
              <w:textAlignment w:val="auto"/>
              <w:outlineLvl w:val="0"/>
              <w:rPr>
                <w:rFonts w:hint="eastAsia" w:ascii="Times New Roman" w:hAnsi="Times New Roman" w:eastAsia="宋体" w:cs="Times New Roman"/>
                <w:b/>
                <w:bCs/>
                <w:snapToGrid w:val="0"/>
                <w:color w:val="auto"/>
                <w:sz w:val="28"/>
                <w:szCs w:val="28"/>
                <w:u w:val="none" w:color="auto"/>
                <w:vertAlign w:val="baseline"/>
              </w:rPr>
            </w:pPr>
          </w:p>
        </w:tc>
      </w:tr>
    </w:tbl>
    <w:p>
      <w:pPr>
        <w:pStyle w:val="15"/>
        <w:keepNext w:val="0"/>
        <w:keepLines w:val="0"/>
        <w:pageBreakBefore w:val="0"/>
        <w:widowControl/>
        <w:kinsoku/>
        <w:wordWrap/>
        <w:overflowPunct/>
        <w:topLinePunct w:val="0"/>
        <w:autoSpaceDE/>
        <w:autoSpaceDN/>
        <w:bidi w:val="0"/>
        <w:adjustRightInd/>
        <w:snapToGrid/>
        <w:spacing w:before="0" w:beforeAutospacing="0" w:after="0" w:afterAutospacing="0" w:line="240" w:lineRule="auto"/>
        <w:jc w:val="both"/>
        <w:textAlignment w:val="auto"/>
        <w:outlineLvl w:val="0"/>
        <w:rPr>
          <w:rFonts w:hint="eastAsia" w:ascii="Times New Roman" w:hAnsi="Times New Roman" w:eastAsia="宋体" w:cs="Times New Roman"/>
          <w:b/>
          <w:bCs/>
          <w:snapToGrid w:val="0"/>
          <w:color w:val="auto"/>
          <w:sz w:val="28"/>
          <w:szCs w:val="28"/>
          <w:u w:val="none" w:color="auto"/>
        </w:rPr>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15"/>
        <w:keepNext w:val="0"/>
        <w:keepLines w:val="0"/>
        <w:pageBreakBefore w:val="0"/>
        <w:widowControl/>
        <w:kinsoku/>
        <w:wordWrap/>
        <w:overflowPunct/>
        <w:topLinePunct w:val="0"/>
        <w:autoSpaceDE/>
        <w:autoSpaceDN/>
        <w:bidi w:val="0"/>
        <w:adjustRightInd/>
        <w:snapToGrid/>
        <w:spacing w:before="0" w:beforeAutospacing="0" w:after="0" w:afterAutospacing="0" w:line="240" w:lineRule="auto"/>
        <w:jc w:val="center"/>
        <w:textAlignment w:val="auto"/>
        <w:outlineLvl w:val="0"/>
        <w:rPr>
          <w:rFonts w:hint="eastAsia" w:ascii="Times New Roman" w:hAnsi="Times New Roman" w:eastAsia="宋体" w:cs="Times New Roman"/>
          <w:b/>
          <w:bCs/>
          <w:snapToGrid w:val="0"/>
          <w:color w:val="auto"/>
          <w:sz w:val="28"/>
          <w:szCs w:val="28"/>
          <w:u w:val="none" w:color="auto"/>
        </w:rPr>
      </w:pPr>
      <w:bookmarkStart w:id="10" w:name="_Toc8523"/>
      <w:bookmarkStart w:id="11" w:name="_Toc6734"/>
      <w:r>
        <w:rPr>
          <w:rFonts w:hint="eastAsia" w:ascii="Times New Roman" w:hAnsi="Times New Roman" w:eastAsia="宋体" w:cs="Times New Roman"/>
          <w:b/>
          <w:bCs/>
          <w:snapToGrid w:val="0"/>
          <w:color w:val="auto"/>
          <w:sz w:val="28"/>
          <w:szCs w:val="28"/>
          <w:u w:val="none" w:color="auto"/>
        </w:rPr>
        <w:t>五、</w:t>
      </w:r>
      <w:bookmarkStart w:id="12" w:name="_Hlk54167917"/>
      <w:r>
        <w:rPr>
          <w:rFonts w:hint="eastAsia" w:ascii="Times New Roman" w:hAnsi="Times New Roman" w:eastAsia="宋体" w:cs="Times New Roman"/>
          <w:b/>
          <w:bCs/>
          <w:snapToGrid w:val="0"/>
          <w:color w:val="auto"/>
          <w:sz w:val="28"/>
          <w:szCs w:val="28"/>
          <w:u w:val="none" w:color="auto"/>
        </w:rPr>
        <w:t>环境保护措施监督检查清单</w:t>
      </w:r>
      <w:bookmarkEnd w:id="10"/>
      <w:bookmarkEnd w:id="11"/>
      <w:bookmarkEnd w:id="12"/>
    </w:p>
    <w:tbl>
      <w:tblPr>
        <w:tblStyle w:val="18"/>
        <w:tblW w:w="9672" w:type="dxa"/>
        <w:tblInd w:w="-19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36"/>
        <w:gridCol w:w="1512"/>
        <w:gridCol w:w="1488"/>
        <w:gridCol w:w="2160"/>
        <w:gridCol w:w="327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0" w:hRule="atLeast"/>
        </w:trPr>
        <w:tc>
          <w:tcPr>
            <w:tcW w:w="1236" w:type="dxa"/>
            <w:tcBorders>
              <w:tl2br w:val="nil"/>
              <w:tr2bl w:val="nil"/>
            </w:tcBorders>
            <w:vAlign w:val="center"/>
          </w:tcPr>
          <w:p>
            <w:pPr>
              <w:keepNext w:val="0"/>
              <w:keepLines w:val="0"/>
              <w:pageBreakBefore w:val="0"/>
              <w:kinsoku/>
              <w:wordWrap/>
              <w:overflowPunct/>
              <w:topLinePunct w:val="0"/>
              <w:autoSpaceDE/>
              <w:autoSpaceDN/>
              <w:bidi w:val="0"/>
              <w:adjustRightInd w:val="0"/>
              <w:snapToGrid w:val="0"/>
              <w:spacing w:line="360" w:lineRule="exact"/>
              <w:ind w:firstLine="210" w:firstLineChars="100"/>
              <w:jc w:val="center"/>
              <w:textAlignment w:val="auto"/>
              <w:rPr>
                <w:rFonts w:hint="eastAsia" w:ascii="Times New Roman" w:hAnsi="Times New Roman" w:eastAsia="宋体" w:cs="宋体"/>
                <w:color w:val="auto"/>
                <w:sz w:val="21"/>
                <w:szCs w:val="21"/>
                <w:u w:val="none" w:color="auto"/>
                <w:lang w:val="en-US" w:eastAsia="zh-CN"/>
              </w:rPr>
            </w:pPr>
            <w:r>
              <w:rPr>
                <w:rFonts w:ascii="Times New Roman" w:hAnsi="Times New Roman" w:eastAsia="宋体"/>
                <w:color w:val="auto"/>
                <w:sz w:val="21"/>
                <w:szCs w:val="21"/>
                <w:u w:val="none" w:color="auto"/>
              </w:rPr>
              <mc:AlternateContent>
                <mc:Choice Requires="wps">
                  <w:drawing>
                    <wp:anchor distT="0" distB="0" distL="114300" distR="114300" simplePos="0" relativeHeight="251665408" behindDoc="0" locked="0" layoutInCell="1" allowOverlap="1">
                      <wp:simplePos x="0" y="0"/>
                      <wp:positionH relativeFrom="column">
                        <wp:posOffset>-67310</wp:posOffset>
                      </wp:positionH>
                      <wp:positionV relativeFrom="paragraph">
                        <wp:posOffset>-11430</wp:posOffset>
                      </wp:positionV>
                      <wp:extent cx="704215" cy="716280"/>
                      <wp:effectExtent l="3175" t="3175" r="8890" b="12065"/>
                      <wp:wrapNone/>
                      <wp:docPr id="9" name="直接连接符 9"/>
                      <wp:cNvGraphicFramePr/>
                      <a:graphic xmlns:a="http://schemas.openxmlformats.org/drawingml/2006/main">
                        <a:graphicData uri="http://schemas.microsoft.com/office/word/2010/wordprocessingShape">
                          <wps:wsp>
                            <wps:cNvCnPr/>
                            <wps:spPr>
                              <a:xfrm flipH="1" flipV="1">
                                <a:off x="0" y="0"/>
                                <a:ext cx="704215" cy="716280"/>
                              </a:xfrm>
                              <a:prstGeom prst="line">
                                <a:avLst/>
                              </a:prstGeom>
                              <a:ln w="3175" cap="flat" cmpd="sng">
                                <a:solidFill>
                                  <a:srgbClr val="000000"/>
                                </a:solidFill>
                                <a:prstDash val="solid"/>
                                <a:headEnd type="none" w="med" len="med"/>
                                <a:tailEnd type="none" w="med" len="med"/>
                              </a:ln>
                            </wps:spPr>
                            <wps:bodyPr upright="1"/>
                          </wps:wsp>
                        </a:graphicData>
                      </a:graphic>
                    </wp:anchor>
                  </w:drawing>
                </mc:Choice>
                <mc:Fallback>
                  <w:pict>
                    <v:line id="_x0000_s1026" o:spid="_x0000_s1026" o:spt="20" style="position:absolute;left:0pt;flip:x y;margin-left:-5.3pt;margin-top:-0.9pt;height:56.4pt;width:55.45pt;z-index:251665408;mso-width-relative:page;mso-height-relative:page;" filled="f" stroked="t" coordsize="21600,21600" o:gfxdata="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CZ04UD1QAAAAoBAAAPAAAAAAAAAAEAIAAAACIAAABkcnMv&#10;ZG93bnJldi54bWxQSwECFAAUAAAACACHTuJAcOr04wYCAAD8AwAADgAAAAAAAAABACAAAAAkAQAA&#10;ZHJzL2Uyb0RvYy54bWxQSwUGAAAAAAYABgBZAQAAnAUAAAAA&#10;">
                      <v:fill on="f" focussize="0,0"/>
                      <v:stroke weight="0.25pt" color="#000000" joinstyle="round"/>
                      <v:imagedata o:title=""/>
                      <o:lock v:ext="edit" aspectratio="f"/>
                    </v:line>
                  </w:pict>
                </mc:Fallback>
              </mc:AlternateContent>
            </w:r>
            <w:r>
              <w:rPr>
                <w:rFonts w:hint="eastAsia" w:ascii="Times New Roman" w:hAnsi="Times New Roman" w:eastAsia="宋体"/>
                <w:color w:val="auto"/>
                <w:sz w:val="21"/>
                <w:szCs w:val="21"/>
                <w:u w:val="none" w:color="auto"/>
                <w:lang w:val="en-US" w:eastAsia="zh-CN"/>
              </w:rPr>
              <w:t>内</w:t>
            </w:r>
            <w:r>
              <w:rPr>
                <w:rFonts w:hint="eastAsia" w:ascii="Times New Roman" w:hAnsi="Times New Roman" w:eastAsia="宋体" w:cs="宋体"/>
                <w:color w:val="auto"/>
                <w:sz w:val="21"/>
                <w:szCs w:val="21"/>
                <w:u w:val="none" w:color="auto"/>
              </w:rPr>
              <w:t>容</w:t>
            </w:r>
          </w:p>
          <w:p>
            <w:pPr>
              <w:keepNext w:val="0"/>
              <w:keepLines w:val="0"/>
              <w:pageBreakBefore w:val="0"/>
              <w:kinsoku/>
              <w:wordWrap/>
              <w:overflowPunct/>
              <w:topLinePunct w:val="0"/>
              <w:autoSpaceDE/>
              <w:autoSpaceDN/>
              <w:bidi w:val="0"/>
              <w:adjustRightInd w:val="0"/>
              <w:snapToGrid w:val="0"/>
              <w:spacing w:line="360" w:lineRule="exact"/>
              <w:jc w:val="center"/>
              <w:textAlignment w:val="auto"/>
              <w:rPr>
                <w:rFonts w:hint="eastAsia" w:ascii="Times New Roman" w:hAnsi="Times New Roman" w:eastAsia="宋体" w:cs="宋体"/>
                <w:color w:val="auto"/>
                <w:sz w:val="21"/>
                <w:szCs w:val="21"/>
                <w:u w:val="none" w:color="auto"/>
              </w:rPr>
            </w:pPr>
          </w:p>
          <w:p>
            <w:pPr>
              <w:keepNext w:val="0"/>
              <w:keepLines w:val="0"/>
              <w:pageBreakBefore w:val="0"/>
              <w:kinsoku/>
              <w:wordWrap/>
              <w:overflowPunct/>
              <w:topLinePunct w:val="0"/>
              <w:autoSpaceDE/>
              <w:autoSpaceDN/>
              <w:bidi w:val="0"/>
              <w:adjustRightInd w:val="0"/>
              <w:snapToGrid w:val="0"/>
              <w:spacing w:line="360" w:lineRule="exact"/>
              <w:jc w:val="center"/>
              <w:textAlignment w:val="auto"/>
              <w:rPr>
                <w:rFonts w:hint="eastAsia" w:ascii="Times New Roman" w:hAnsi="Times New Roman" w:eastAsia="宋体" w:cs="宋体"/>
                <w:color w:val="auto"/>
                <w:sz w:val="21"/>
                <w:szCs w:val="21"/>
                <w:u w:val="none" w:color="auto"/>
              </w:rPr>
            </w:pPr>
            <w:r>
              <w:rPr>
                <w:rFonts w:hint="eastAsia" w:ascii="Times New Roman" w:hAnsi="Times New Roman" w:eastAsia="宋体" w:cs="宋体"/>
                <w:color w:val="auto"/>
                <w:sz w:val="21"/>
                <w:szCs w:val="21"/>
                <w:u w:val="none" w:color="auto"/>
              </w:rPr>
              <w:t>要素</w:t>
            </w:r>
          </w:p>
        </w:tc>
        <w:tc>
          <w:tcPr>
            <w:tcW w:w="1512" w:type="dxa"/>
            <w:tcBorders>
              <w:tl2br w:val="nil"/>
              <w:tr2bl w:val="nil"/>
            </w:tcBorders>
            <w:vAlign w:val="center"/>
          </w:tcPr>
          <w:p>
            <w:pPr>
              <w:keepNext w:val="0"/>
              <w:keepLines w:val="0"/>
              <w:pageBreakBefore w:val="0"/>
              <w:kinsoku/>
              <w:wordWrap/>
              <w:overflowPunct/>
              <w:topLinePunct w:val="0"/>
              <w:autoSpaceDE/>
              <w:autoSpaceDN/>
              <w:bidi w:val="0"/>
              <w:adjustRightInd w:val="0"/>
              <w:snapToGrid w:val="0"/>
              <w:spacing w:line="360" w:lineRule="exact"/>
              <w:jc w:val="center"/>
              <w:textAlignment w:val="auto"/>
              <w:rPr>
                <w:rFonts w:hint="eastAsia" w:ascii="Times New Roman" w:hAnsi="Times New Roman" w:eastAsia="宋体" w:cs="宋体"/>
                <w:color w:val="auto"/>
                <w:sz w:val="21"/>
                <w:szCs w:val="21"/>
                <w:u w:val="none" w:color="auto"/>
              </w:rPr>
            </w:pPr>
            <w:r>
              <w:rPr>
                <w:rFonts w:hint="eastAsia" w:ascii="Times New Roman" w:hAnsi="Times New Roman" w:eastAsia="宋体" w:cs="宋体"/>
                <w:color w:val="auto"/>
                <w:sz w:val="21"/>
                <w:szCs w:val="21"/>
                <w:u w:val="none" w:color="auto"/>
              </w:rPr>
              <w:t>排放口(编号、名称)/污染源</w:t>
            </w:r>
          </w:p>
        </w:tc>
        <w:tc>
          <w:tcPr>
            <w:tcW w:w="1488" w:type="dxa"/>
            <w:tcBorders>
              <w:tl2br w:val="nil"/>
              <w:tr2bl w:val="nil"/>
            </w:tcBorders>
            <w:vAlign w:val="center"/>
          </w:tcPr>
          <w:p>
            <w:pPr>
              <w:keepNext w:val="0"/>
              <w:keepLines w:val="0"/>
              <w:pageBreakBefore w:val="0"/>
              <w:kinsoku/>
              <w:wordWrap/>
              <w:overflowPunct/>
              <w:topLinePunct w:val="0"/>
              <w:autoSpaceDE/>
              <w:autoSpaceDN/>
              <w:bidi w:val="0"/>
              <w:adjustRightInd w:val="0"/>
              <w:snapToGrid w:val="0"/>
              <w:spacing w:line="360" w:lineRule="exact"/>
              <w:jc w:val="center"/>
              <w:textAlignment w:val="auto"/>
              <w:rPr>
                <w:rFonts w:hint="eastAsia" w:ascii="Times New Roman" w:hAnsi="Times New Roman" w:eastAsia="宋体" w:cs="宋体"/>
                <w:color w:val="auto"/>
                <w:sz w:val="21"/>
                <w:szCs w:val="21"/>
                <w:u w:val="none" w:color="auto"/>
              </w:rPr>
            </w:pPr>
            <w:r>
              <w:rPr>
                <w:rFonts w:hint="eastAsia" w:ascii="Times New Roman" w:hAnsi="Times New Roman" w:eastAsia="宋体" w:cs="宋体"/>
                <w:color w:val="auto"/>
                <w:sz w:val="21"/>
                <w:szCs w:val="21"/>
                <w:u w:val="none" w:color="auto"/>
              </w:rPr>
              <w:t>污染物项目</w:t>
            </w:r>
          </w:p>
        </w:tc>
        <w:tc>
          <w:tcPr>
            <w:tcW w:w="2160" w:type="dxa"/>
            <w:tcBorders>
              <w:tl2br w:val="nil"/>
              <w:tr2bl w:val="nil"/>
            </w:tcBorders>
            <w:vAlign w:val="center"/>
          </w:tcPr>
          <w:p>
            <w:pPr>
              <w:keepNext w:val="0"/>
              <w:keepLines w:val="0"/>
              <w:pageBreakBefore w:val="0"/>
              <w:kinsoku/>
              <w:wordWrap/>
              <w:overflowPunct/>
              <w:topLinePunct w:val="0"/>
              <w:autoSpaceDE/>
              <w:autoSpaceDN/>
              <w:bidi w:val="0"/>
              <w:adjustRightInd w:val="0"/>
              <w:snapToGrid w:val="0"/>
              <w:spacing w:line="360" w:lineRule="exact"/>
              <w:jc w:val="center"/>
              <w:textAlignment w:val="auto"/>
              <w:rPr>
                <w:rFonts w:hint="eastAsia" w:ascii="Times New Roman" w:hAnsi="Times New Roman" w:eastAsia="宋体" w:cs="宋体"/>
                <w:color w:val="auto"/>
                <w:sz w:val="21"/>
                <w:szCs w:val="21"/>
                <w:u w:val="none" w:color="auto"/>
              </w:rPr>
            </w:pPr>
            <w:r>
              <w:rPr>
                <w:rFonts w:hint="eastAsia" w:ascii="Times New Roman" w:hAnsi="Times New Roman" w:eastAsia="宋体" w:cs="宋体"/>
                <w:color w:val="auto"/>
                <w:sz w:val="21"/>
                <w:szCs w:val="21"/>
                <w:u w:val="none" w:color="auto"/>
              </w:rPr>
              <w:t>环境保护措施</w:t>
            </w:r>
          </w:p>
        </w:tc>
        <w:tc>
          <w:tcPr>
            <w:tcW w:w="3276" w:type="dxa"/>
            <w:tcBorders>
              <w:tl2br w:val="nil"/>
              <w:tr2bl w:val="nil"/>
            </w:tcBorders>
            <w:vAlign w:val="center"/>
          </w:tcPr>
          <w:p>
            <w:pPr>
              <w:keepNext w:val="0"/>
              <w:keepLines w:val="0"/>
              <w:pageBreakBefore w:val="0"/>
              <w:kinsoku/>
              <w:wordWrap/>
              <w:overflowPunct/>
              <w:topLinePunct w:val="0"/>
              <w:autoSpaceDE/>
              <w:autoSpaceDN/>
              <w:bidi w:val="0"/>
              <w:adjustRightInd w:val="0"/>
              <w:snapToGrid w:val="0"/>
              <w:spacing w:line="360" w:lineRule="exact"/>
              <w:jc w:val="center"/>
              <w:textAlignment w:val="auto"/>
              <w:rPr>
                <w:rFonts w:hint="eastAsia" w:ascii="Times New Roman" w:hAnsi="Times New Roman" w:eastAsia="宋体" w:cs="宋体"/>
                <w:color w:val="auto"/>
                <w:sz w:val="21"/>
                <w:szCs w:val="21"/>
                <w:u w:val="none" w:color="auto"/>
              </w:rPr>
            </w:pPr>
            <w:r>
              <w:rPr>
                <w:rFonts w:hint="eastAsia" w:ascii="Times New Roman" w:hAnsi="Times New Roman" w:eastAsia="宋体" w:cs="宋体"/>
                <w:color w:val="auto"/>
                <w:sz w:val="21"/>
                <w:szCs w:val="21"/>
                <w:u w:val="none" w:color="auto"/>
              </w:rPr>
              <w:t>执行标准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36" w:type="dxa"/>
            <w:vMerge w:val="restart"/>
            <w:tcBorders>
              <w:tl2br w:val="nil"/>
              <w:tr2bl w:val="nil"/>
            </w:tcBorders>
            <w:vAlign w:val="center"/>
          </w:tcPr>
          <w:p>
            <w:pPr>
              <w:keepNext w:val="0"/>
              <w:keepLines w:val="0"/>
              <w:pageBreakBefore w:val="0"/>
              <w:kinsoku/>
              <w:wordWrap/>
              <w:overflowPunct/>
              <w:topLinePunct w:val="0"/>
              <w:autoSpaceDE/>
              <w:autoSpaceDN/>
              <w:bidi w:val="0"/>
              <w:adjustRightInd w:val="0"/>
              <w:snapToGrid w:val="0"/>
              <w:spacing w:line="360" w:lineRule="exact"/>
              <w:jc w:val="center"/>
              <w:textAlignment w:val="auto"/>
              <w:rPr>
                <w:rFonts w:hint="eastAsia" w:ascii="Times New Roman" w:hAnsi="Times New Roman" w:eastAsia="宋体" w:cs="宋体"/>
                <w:color w:val="auto"/>
                <w:sz w:val="21"/>
                <w:szCs w:val="21"/>
                <w:u w:val="none" w:color="auto"/>
                <w:lang w:val="en-US" w:eastAsia="zh-CN"/>
              </w:rPr>
            </w:pPr>
            <w:r>
              <w:rPr>
                <w:rFonts w:hint="eastAsia" w:ascii="Times New Roman" w:hAnsi="Times New Roman" w:eastAsia="宋体" w:cs="宋体"/>
                <w:color w:val="auto"/>
                <w:sz w:val="21"/>
                <w:szCs w:val="21"/>
                <w:u w:val="none" w:color="auto"/>
                <w:lang w:val="en-US" w:eastAsia="zh-CN"/>
              </w:rPr>
              <w:t>大气环境</w:t>
            </w:r>
          </w:p>
        </w:tc>
        <w:tc>
          <w:tcPr>
            <w:tcW w:w="1512" w:type="dxa"/>
            <w:tcBorders>
              <w:tl2br w:val="nil"/>
              <w:tr2bl w:val="nil"/>
            </w:tcBorders>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宋体"/>
                <w:color w:val="auto"/>
                <w:sz w:val="21"/>
                <w:szCs w:val="21"/>
                <w:u w:val="none" w:color="auto"/>
                <w:lang w:val="en-US" w:eastAsia="zh-CN"/>
              </w:rPr>
            </w:pPr>
            <w:r>
              <w:rPr>
                <w:rFonts w:hint="eastAsia" w:ascii="Times New Roman" w:hAnsi="Times New Roman" w:eastAsia="宋体" w:cs="宋体"/>
                <w:color w:val="auto"/>
                <w:sz w:val="21"/>
                <w:szCs w:val="21"/>
                <w:u w:val="none" w:color="auto"/>
                <w:lang w:val="en-US" w:eastAsia="zh-CN"/>
              </w:rPr>
              <w:t>废油液挥发</w:t>
            </w:r>
          </w:p>
        </w:tc>
        <w:tc>
          <w:tcPr>
            <w:tcW w:w="1488" w:type="dxa"/>
            <w:tcBorders>
              <w:tl2br w:val="nil"/>
              <w:tr2bl w:val="nil"/>
            </w:tcBorders>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宋体"/>
                <w:color w:val="auto"/>
                <w:sz w:val="21"/>
                <w:szCs w:val="21"/>
                <w:u w:val="none" w:color="auto"/>
                <w:lang w:val="en-US" w:eastAsia="zh-CN"/>
              </w:rPr>
            </w:pPr>
            <w:r>
              <w:rPr>
                <w:rFonts w:hint="eastAsia" w:cs="宋体"/>
                <w:color w:val="auto"/>
                <w:sz w:val="21"/>
                <w:szCs w:val="21"/>
                <w:u w:val="none" w:color="auto"/>
                <w:lang w:val="en-US" w:eastAsia="zh-CN"/>
              </w:rPr>
              <w:t>非甲烷总烃</w:t>
            </w:r>
          </w:p>
        </w:tc>
        <w:tc>
          <w:tcPr>
            <w:tcW w:w="2160" w:type="dxa"/>
            <w:tcBorders>
              <w:tl2br w:val="nil"/>
              <w:tr2bl w:val="nil"/>
            </w:tcBorders>
            <w:vAlign w:val="center"/>
          </w:tcPr>
          <w:p>
            <w:pPr>
              <w:keepNext w:val="0"/>
              <w:keepLines w:val="0"/>
              <w:pageBreakBefore w:val="0"/>
              <w:kinsoku/>
              <w:wordWrap/>
              <w:overflowPunct/>
              <w:topLinePunct w:val="0"/>
              <w:autoSpaceDE/>
              <w:autoSpaceDN/>
              <w:bidi w:val="0"/>
              <w:adjustRightInd w:val="0"/>
              <w:snapToGrid w:val="0"/>
              <w:spacing w:line="240" w:lineRule="auto"/>
              <w:ind w:firstLine="420" w:firstLineChars="200"/>
              <w:jc w:val="center"/>
              <w:textAlignment w:val="auto"/>
              <w:rPr>
                <w:rFonts w:hint="default" w:ascii="Times New Roman" w:hAnsi="Times New Roman" w:eastAsia="宋体" w:cs="宋体"/>
                <w:color w:val="auto"/>
                <w:sz w:val="21"/>
                <w:szCs w:val="21"/>
                <w:u w:val="none" w:color="auto"/>
                <w:lang w:val="en-US" w:eastAsia="zh-CN"/>
              </w:rPr>
            </w:pPr>
            <w:r>
              <w:rPr>
                <w:rFonts w:hint="eastAsia" w:cs="宋体"/>
                <w:color w:val="auto"/>
                <w:sz w:val="21"/>
                <w:szCs w:val="21"/>
                <w:u w:val="none" w:color="auto"/>
                <w:lang w:val="en-US" w:eastAsia="zh-CN"/>
              </w:rPr>
              <w:t>加强通风</w:t>
            </w:r>
          </w:p>
        </w:tc>
        <w:tc>
          <w:tcPr>
            <w:tcW w:w="3276" w:type="dxa"/>
            <w:vMerge w:val="restart"/>
            <w:tcBorders>
              <w:tl2br w:val="nil"/>
              <w:tr2bl w:val="nil"/>
            </w:tcBorders>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宋体"/>
                <w:color w:val="auto"/>
                <w:sz w:val="21"/>
                <w:szCs w:val="21"/>
                <w:u w:val="none" w:color="auto"/>
                <w:lang w:val="en-US" w:eastAsia="zh-CN"/>
              </w:rPr>
            </w:pPr>
            <w:r>
              <w:rPr>
                <w:rFonts w:hint="default" w:ascii="Times New Roman" w:hAnsi="Times New Roman" w:eastAsia="宋体" w:cs="Times New Roman"/>
                <w:color w:val="auto"/>
                <w:sz w:val="21"/>
                <w:szCs w:val="21"/>
                <w:u w:val="none" w:color="auto"/>
                <w:vertAlign w:val="baseline"/>
                <w:lang w:val="en-US" w:eastAsia="zh-CN"/>
              </w:rPr>
              <w:t>《大气污染物综合排放标准》（GB16297-1996）</w:t>
            </w:r>
            <w:r>
              <w:rPr>
                <w:rFonts w:hint="eastAsia" w:cs="Times New Roman"/>
                <w:color w:val="auto"/>
                <w:sz w:val="21"/>
                <w:szCs w:val="21"/>
                <w:u w:val="none" w:color="auto"/>
                <w:vertAlign w:val="baseline"/>
                <w:lang w:val="en-US" w:eastAsia="zh-CN"/>
              </w:rPr>
              <w:t>表2</w:t>
            </w:r>
            <w:r>
              <w:rPr>
                <w:rFonts w:hint="eastAsia" w:ascii="Times New Roman" w:hAnsi="Times New Roman" w:eastAsia="宋体" w:cs="Times New Roman"/>
                <w:color w:val="auto"/>
                <w:sz w:val="21"/>
                <w:szCs w:val="21"/>
                <w:u w:val="none" w:color="auto"/>
                <w:vertAlign w:val="baseline"/>
                <w:lang w:val="en-US" w:eastAsia="zh-CN"/>
              </w:rPr>
              <w:t>无组织</w:t>
            </w:r>
            <w:r>
              <w:rPr>
                <w:rFonts w:hint="default" w:ascii="Times New Roman" w:hAnsi="Times New Roman" w:eastAsia="宋体" w:cs="Times New Roman"/>
                <w:color w:val="auto"/>
                <w:sz w:val="21"/>
                <w:szCs w:val="21"/>
                <w:u w:val="none" w:color="auto"/>
                <w:vertAlign w:val="baseline"/>
                <w:lang w:val="en-US" w:eastAsia="zh-CN"/>
              </w:rPr>
              <w:t>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36" w:type="dxa"/>
            <w:vMerge w:val="continue"/>
            <w:tcBorders>
              <w:tl2br w:val="nil"/>
              <w:tr2bl w:val="nil"/>
            </w:tcBorders>
            <w:vAlign w:val="center"/>
          </w:tcPr>
          <w:p>
            <w:pPr>
              <w:keepNext w:val="0"/>
              <w:keepLines w:val="0"/>
              <w:pageBreakBefore w:val="0"/>
              <w:kinsoku/>
              <w:wordWrap/>
              <w:overflowPunct/>
              <w:topLinePunct w:val="0"/>
              <w:autoSpaceDE/>
              <w:autoSpaceDN/>
              <w:bidi w:val="0"/>
              <w:adjustRightInd w:val="0"/>
              <w:snapToGrid w:val="0"/>
              <w:spacing w:line="360" w:lineRule="exact"/>
              <w:jc w:val="center"/>
              <w:textAlignment w:val="auto"/>
              <w:rPr>
                <w:rFonts w:hint="eastAsia" w:ascii="Times New Roman" w:hAnsi="Times New Roman" w:eastAsia="宋体" w:cs="宋体"/>
                <w:color w:val="auto"/>
                <w:sz w:val="21"/>
                <w:szCs w:val="21"/>
                <w:u w:val="none" w:color="auto"/>
                <w:lang w:val="en-US" w:eastAsia="zh-CN"/>
              </w:rPr>
            </w:pPr>
          </w:p>
        </w:tc>
        <w:tc>
          <w:tcPr>
            <w:tcW w:w="1512" w:type="dxa"/>
            <w:tcBorders>
              <w:tl2br w:val="nil"/>
              <w:tr2bl w:val="nil"/>
            </w:tcBorders>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宋体"/>
                <w:color w:val="auto"/>
                <w:sz w:val="21"/>
                <w:szCs w:val="21"/>
                <w:u w:val="none" w:color="auto"/>
                <w:lang w:val="en-US" w:eastAsia="zh-CN"/>
              </w:rPr>
            </w:pPr>
            <w:r>
              <w:rPr>
                <w:rFonts w:hint="eastAsia" w:cs="宋体"/>
                <w:color w:val="auto"/>
                <w:sz w:val="21"/>
                <w:szCs w:val="21"/>
                <w:u w:val="none" w:color="auto"/>
                <w:lang w:val="en-US" w:eastAsia="zh-CN"/>
              </w:rPr>
              <w:t>制冷剂废气</w:t>
            </w:r>
          </w:p>
        </w:tc>
        <w:tc>
          <w:tcPr>
            <w:tcW w:w="1488" w:type="dxa"/>
            <w:tcBorders>
              <w:tl2br w:val="nil"/>
              <w:tr2bl w:val="nil"/>
            </w:tcBorders>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cs="宋体"/>
                <w:color w:val="auto"/>
                <w:sz w:val="21"/>
                <w:szCs w:val="21"/>
                <w:u w:val="none" w:color="auto"/>
                <w:lang w:val="en-US" w:eastAsia="zh-CN"/>
              </w:rPr>
            </w:pPr>
            <w:r>
              <w:rPr>
                <w:rFonts w:hint="eastAsia" w:cs="宋体"/>
                <w:color w:val="auto"/>
                <w:sz w:val="21"/>
                <w:szCs w:val="21"/>
                <w:u w:val="none" w:color="auto"/>
                <w:lang w:val="en-US" w:eastAsia="zh-CN"/>
              </w:rPr>
              <w:t>非甲烷总烃、氟化物</w:t>
            </w:r>
          </w:p>
        </w:tc>
        <w:tc>
          <w:tcPr>
            <w:tcW w:w="2160" w:type="dxa"/>
            <w:tcBorders>
              <w:tl2br w:val="nil"/>
              <w:tr2bl w:val="nil"/>
            </w:tcBorders>
            <w:vAlign w:val="center"/>
          </w:tcPr>
          <w:p>
            <w:pPr>
              <w:keepNext w:val="0"/>
              <w:keepLines w:val="0"/>
              <w:pageBreakBefore w:val="0"/>
              <w:kinsoku/>
              <w:wordWrap/>
              <w:overflowPunct/>
              <w:topLinePunct w:val="0"/>
              <w:autoSpaceDE/>
              <w:autoSpaceDN/>
              <w:bidi w:val="0"/>
              <w:adjustRightInd w:val="0"/>
              <w:snapToGrid w:val="0"/>
              <w:spacing w:line="240" w:lineRule="auto"/>
              <w:ind w:firstLine="420" w:firstLineChars="200"/>
              <w:jc w:val="center"/>
              <w:textAlignment w:val="auto"/>
              <w:rPr>
                <w:rFonts w:hint="default" w:cs="宋体"/>
                <w:color w:val="auto"/>
                <w:sz w:val="21"/>
                <w:szCs w:val="21"/>
                <w:u w:val="none" w:color="auto"/>
                <w:lang w:val="en-US" w:eastAsia="zh-CN"/>
              </w:rPr>
            </w:pPr>
            <w:r>
              <w:rPr>
                <w:rFonts w:hint="eastAsia" w:cs="宋体"/>
                <w:color w:val="auto"/>
                <w:sz w:val="21"/>
                <w:szCs w:val="21"/>
                <w:u w:val="none" w:color="auto"/>
                <w:lang w:val="en-US" w:eastAsia="zh-CN"/>
              </w:rPr>
              <w:t>加强通风</w:t>
            </w:r>
          </w:p>
        </w:tc>
        <w:tc>
          <w:tcPr>
            <w:tcW w:w="3276" w:type="dxa"/>
            <w:vMerge w:val="continue"/>
            <w:tcBorders>
              <w:tl2br w:val="nil"/>
              <w:tr2bl w:val="nil"/>
            </w:tcBorders>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auto"/>
                <w:sz w:val="21"/>
                <w:szCs w:val="21"/>
                <w:u w:val="none" w:color="auto"/>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36" w:type="dxa"/>
            <w:vMerge w:val="continue"/>
            <w:tcBorders>
              <w:tl2br w:val="nil"/>
              <w:tr2bl w:val="nil"/>
            </w:tcBorders>
            <w:vAlign w:val="center"/>
          </w:tcPr>
          <w:p>
            <w:pPr>
              <w:keepNext w:val="0"/>
              <w:keepLines w:val="0"/>
              <w:pageBreakBefore w:val="0"/>
              <w:kinsoku/>
              <w:wordWrap/>
              <w:overflowPunct/>
              <w:topLinePunct w:val="0"/>
              <w:autoSpaceDE/>
              <w:autoSpaceDN/>
              <w:bidi w:val="0"/>
              <w:adjustRightInd w:val="0"/>
              <w:snapToGrid w:val="0"/>
              <w:spacing w:line="360" w:lineRule="exact"/>
              <w:jc w:val="center"/>
              <w:textAlignment w:val="auto"/>
              <w:rPr>
                <w:rFonts w:hint="eastAsia" w:ascii="Times New Roman" w:hAnsi="Times New Roman" w:eastAsia="宋体" w:cs="宋体"/>
                <w:color w:val="auto"/>
                <w:sz w:val="21"/>
                <w:szCs w:val="21"/>
                <w:u w:val="none" w:color="auto"/>
                <w:lang w:val="en-US" w:eastAsia="zh-CN"/>
              </w:rPr>
            </w:pPr>
          </w:p>
        </w:tc>
        <w:tc>
          <w:tcPr>
            <w:tcW w:w="1512" w:type="dxa"/>
            <w:tcBorders>
              <w:tl2br w:val="nil"/>
              <w:tr2bl w:val="nil"/>
            </w:tcBorders>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cs="宋体"/>
                <w:color w:val="auto"/>
                <w:sz w:val="21"/>
                <w:szCs w:val="21"/>
                <w:u w:val="none" w:color="auto"/>
                <w:lang w:val="en-US" w:eastAsia="zh-CN"/>
              </w:rPr>
            </w:pPr>
            <w:r>
              <w:rPr>
                <w:rFonts w:hint="eastAsia" w:cs="宋体"/>
                <w:color w:val="auto"/>
                <w:sz w:val="21"/>
                <w:szCs w:val="21"/>
                <w:u w:val="none" w:color="auto"/>
                <w:lang w:val="en-US" w:eastAsia="zh-CN"/>
              </w:rPr>
              <w:t>拆解粉尘</w:t>
            </w:r>
          </w:p>
        </w:tc>
        <w:tc>
          <w:tcPr>
            <w:tcW w:w="1488" w:type="dxa"/>
            <w:tcBorders>
              <w:tl2br w:val="nil"/>
              <w:tr2bl w:val="nil"/>
            </w:tcBorders>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宋体"/>
                <w:color w:val="auto"/>
                <w:sz w:val="21"/>
                <w:szCs w:val="21"/>
                <w:u w:val="none" w:color="auto"/>
                <w:lang w:val="en-US" w:eastAsia="zh-CN"/>
              </w:rPr>
            </w:pPr>
            <w:r>
              <w:rPr>
                <w:rFonts w:hint="eastAsia" w:ascii="Times New Roman" w:hAnsi="Times New Roman" w:eastAsia="宋体" w:cs="宋体"/>
                <w:color w:val="auto"/>
                <w:sz w:val="21"/>
                <w:szCs w:val="21"/>
                <w:u w:val="none" w:color="auto"/>
                <w:lang w:val="en-US" w:eastAsia="zh-CN"/>
              </w:rPr>
              <w:t>颗粒物</w:t>
            </w:r>
          </w:p>
        </w:tc>
        <w:tc>
          <w:tcPr>
            <w:tcW w:w="2160" w:type="dxa"/>
            <w:tcBorders>
              <w:tl2br w:val="nil"/>
              <w:tr2bl w:val="nil"/>
            </w:tcBorders>
            <w:vAlign w:val="center"/>
          </w:tcPr>
          <w:p>
            <w:pPr>
              <w:keepNext w:val="0"/>
              <w:keepLines w:val="0"/>
              <w:pageBreakBefore w:val="0"/>
              <w:kinsoku/>
              <w:wordWrap/>
              <w:overflowPunct/>
              <w:topLinePunct w:val="0"/>
              <w:autoSpaceDE/>
              <w:autoSpaceDN/>
              <w:bidi w:val="0"/>
              <w:adjustRightInd w:val="0"/>
              <w:snapToGrid w:val="0"/>
              <w:spacing w:line="240" w:lineRule="auto"/>
              <w:ind w:firstLine="420" w:firstLineChars="200"/>
              <w:jc w:val="center"/>
              <w:textAlignment w:val="auto"/>
              <w:rPr>
                <w:rFonts w:hint="eastAsia" w:cs="宋体"/>
                <w:color w:val="auto"/>
                <w:sz w:val="21"/>
                <w:szCs w:val="21"/>
                <w:u w:val="none" w:color="auto"/>
                <w:lang w:val="en-US" w:eastAsia="zh-CN"/>
              </w:rPr>
            </w:pPr>
            <w:r>
              <w:rPr>
                <w:rFonts w:hint="eastAsia" w:cs="宋体"/>
                <w:color w:val="auto"/>
                <w:sz w:val="21"/>
                <w:szCs w:val="21"/>
                <w:u w:val="none" w:color="auto"/>
                <w:lang w:val="en-US" w:eastAsia="zh-CN"/>
              </w:rPr>
              <w:t>加强通风</w:t>
            </w:r>
          </w:p>
        </w:tc>
        <w:tc>
          <w:tcPr>
            <w:tcW w:w="3276" w:type="dxa"/>
            <w:vMerge w:val="continue"/>
            <w:tcBorders>
              <w:tl2br w:val="nil"/>
              <w:tr2bl w:val="nil"/>
            </w:tcBorders>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auto"/>
                <w:sz w:val="21"/>
                <w:szCs w:val="21"/>
                <w:u w:val="none" w:color="auto"/>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36" w:type="dxa"/>
            <w:vMerge w:val="continue"/>
            <w:tcBorders>
              <w:tl2br w:val="nil"/>
              <w:tr2bl w:val="nil"/>
            </w:tcBorders>
            <w:vAlign w:val="center"/>
          </w:tcPr>
          <w:p>
            <w:pPr>
              <w:keepNext w:val="0"/>
              <w:keepLines w:val="0"/>
              <w:pageBreakBefore w:val="0"/>
              <w:kinsoku/>
              <w:wordWrap/>
              <w:overflowPunct/>
              <w:topLinePunct w:val="0"/>
              <w:autoSpaceDE/>
              <w:autoSpaceDN/>
              <w:bidi w:val="0"/>
              <w:adjustRightInd w:val="0"/>
              <w:snapToGrid w:val="0"/>
              <w:spacing w:line="360" w:lineRule="exact"/>
              <w:jc w:val="center"/>
              <w:textAlignment w:val="auto"/>
              <w:rPr>
                <w:rFonts w:hint="eastAsia" w:ascii="Times New Roman" w:hAnsi="Times New Roman" w:eastAsia="宋体" w:cs="宋体"/>
                <w:color w:val="auto"/>
                <w:sz w:val="21"/>
                <w:szCs w:val="21"/>
                <w:u w:val="none" w:color="auto"/>
                <w:lang w:val="en-US" w:eastAsia="zh-CN"/>
              </w:rPr>
            </w:pPr>
          </w:p>
        </w:tc>
        <w:tc>
          <w:tcPr>
            <w:tcW w:w="1512" w:type="dxa"/>
            <w:tcBorders>
              <w:tl2br w:val="nil"/>
              <w:tr2bl w:val="nil"/>
            </w:tcBorders>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宋体"/>
                <w:color w:val="auto"/>
                <w:sz w:val="21"/>
                <w:szCs w:val="21"/>
                <w:u w:val="none" w:color="auto"/>
                <w:lang w:val="en-US" w:eastAsia="zh-CN"/>
              </w:rPr>
            </w:pPr>
            <w:r>
              <w:rPr>
                <w:rFonts w:hint="eastAsia" w:cs="宋体"/>
                <w:color w:val="auto"/>
                <w:sz w:val="21"/>
                <w:szCs w:val="21"/>
                <w:u w:val="none" w:color="auto"/>
                <w:lang w:val="en-US" w:eastAsia="zh-CN"/>
              </w:rPr>
              <w:t>切割</w:t>
            </w:r>
            <w:r>
              <w:rPr>
                <w:rFonts w:hint="eastAsia" w:ascii="Times New Roman" w:hAnsi="Times New Roman" w:eastAsia="宋体" w:cs="宋体"/>
                <w:color w:val="auto"/>
                <w:sz w:val="21"/>
                <w:szCs w:val="21"/>
                <w:u w:val="none" w:color="auto"/>
                <w:lang w:val="en-US" w:eastAsia="zh-CN"/>
              </w:rPr>
              <w:t>粉尘</w:t>
            </w:r>
          </w:p>
        </w:tc>
        <w:tc>
          <w:tcPr>
            <w:tcW w:w="1488" w:type="dxa"/>
            <w:tcBorders>
              <w:tl2br w:val="nil"/>
              <w:tr2bl w:val="nil"/>
            </w:tcBorders>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宋体"/>
                <w:color w:val="auto"/>
                <w:sz w:val="21"/>
                <w:szCs w:val="21"/>
                <w:u w:val="none" w:color="auto"/>
                <w:lang w:val="en-US" w:eastAsia="zh-CN"/>
              </w:rPr>
            </w:pPr>
            <w:r>
              <w:rPr>
                <w:rFonts w:hint="eastAsia" w:ascii="Times New Roman" w:hAnsi="Times New Roman" w:eastAsia="宋体" w:cs="宋体"/>
                <w:color w:val="auto"/>
                <w:sz w:val="21"/>
                <w:szCs w:val="21"/>
                <w:u w:val="none" w:color="auto"/>
                <w:lang w:val="en-US" w:eastAsia="zh-CN"/>
              </w:rPr>
              <w:t>颗粒物</w:t>
            </w:r>
          </w:p>
        </w:tc>
        <w:tc>
          <w:tcPr>
            <w:tcW w:w="2160" w:type="dxa"/>
            <w:tcBorders>
              <w:tl2br w:val="nil"/>
              <w:tr2bl w:val="nil"/>
            </w:tcBorders>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宋体"/>
                <w:color w:val="auto"/>
                <w:sz w:val="21"/>
                <w:szCs w:val="21"/>
                <w:u w:val="none" w:color="auto"/>
                <w:lang w:val="en-US" w:eastAsia="zh-CN"/>
              </w:rPr>
            </w:pPr>
            <w:r>
              <w:rPr>
                <w:rFonts w:hint="eastAsia" w:cs="宋体"/>
                <w:color w:val="auto"/>
                <w:sz w:val="21"/>
                <w:szCs w:val="21"/>
                <w:u w:val="none" w:color="auto"/>
                <w:lang w:val="en-US" w:eastAsia="zh-CN"/>
              </w:rPr>
              <w:t>移动式烟尘净化器</w:t>
            </w:r>
          </w:p>
        </w:tc>
        <w:tc>
          <w:tcPr>
            <w:tcW w:w="3276" w:type="dxa"/>
            <w:vMerge w:val="continue"/>
            <w:tcBorders>
              <w:tl2br w:val="nil"/>
              <w:tr2bl w:val="nil"/>
            </w:tcBorders>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auto"/>
                <w:sz w:val="21"/>
                <w:szCs w:val="21"/>
                <w:u w:val="none" w:color="auto"/>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36" w:type="dxa"/>
            <w:vMerge w:val="continue"/>
            <w:tcBorders>
              <w:tl2br w:val="nil"/>
              <w:tr2bl w:val="nil"/>
            </w:tcBorders>
            <w:vAlign w:val="center"/>
          </w:tcPr>
          <w:p>
            <w:pPr>
              <w:keepNext w:val="0"/>
              <w:keepLines w:val="0"/>
              <w:pageBreakBefore w:val="0"/>
              <w:kinsoku/>
              <w:wordWrap/>
              <w:overflowPunct/>
              <w:topLinePunct w:val="0"/>
              <w:autoSpaceDE/>
              <w:autoSpaceDN/>
              <w:bidi w:val="0"/>
              <w:adjustRightInd w:val="0"/>
              <w:snapToGrid w:val="0"/>
              <w:spacing w:line="360" w:lineRule="exact"/>
              <w:jc w:val="center"/>
              <w:textAlignment w:val="auto"/>
              <w:rPr>
                <w:rFonts w:hint="eastAsia" w:ascii="Times New Roman" w:hAnsi="Times New Roman" w:eastAsia="宋体" w:cs="宋体"/>
                <w:color w:val="auto"/>
                <w:sz w:val="21"/>
                <w:szCs w:val="21"/>
                <w:u w:val="none" w:color="auto"/>
                <w:lang w:val="en-US" w:eastAsia="zh-CN"/>
              </w:rPr>
            </w:pPr>
          </w:p>
        </w:tc>
        <w:tc>
          <w:tcPr>
            <w:tcW w:w="1512" w:type="dxa"/>
            <w:tcBorders>
              <w:tl2br w:val="nil"/>
              <w:tr2bl w:val="nil"/>
            </w:tcBorders>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cs="宋体"/>
                <w:color w:val="auto"/>
                <w:sz w:val="21"/>
                <w:szCs w:val="21"/>
                <w:u w:val="none" w:color="auto"/>
                <w:lang w:val="en-US" w:eastAsia="zh-CN"/>
              </w:rPr>
            </w:pPr>
            <w:r>
              <w:rPr>
                <w:rFonts w:hint="eastAsia" w:cs="宋体"/>
                <w:color w:val="auto"/>
                <w:sz w:val="21"/>
                <w:szCs w:val="21"/>
                <w:u w:val="none" w:color="auto"/>
                <w:lang w:val="en-US" w:eastAsia="zh-CN"/>
              </w:rPr>
              <w:t>食堂油烟</w:t>
            </w:r>
          </w:p>
        </w:tc>
        <w:tc>
          <w:tcPr>
            <w:tcW w:w="1488" w:type="dxa"/>
            <w:tcBorders>
              <w:tl2br w:val="nil"/>
              <w:tr2bl w:val="nil"/>
            </w:tcBorders>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宋体"/>
                <w:color w:val="auto"/>
                <w:sz w:val="21"/>
                <w:szCs w:val="21"/>
                <w:u w:val="none" w:color="auto"/>
                <w:lang w:val="en-US" w:eastAsia="zh-CN"/>
              </w:rPr>
            </w:pPr>
            <w:r>
              <w:rPr>
                <w:rFonts w:hint="eastAsia" w:cs="宋体"/>
                <w:color w:val="auto"/>
                <w:sz w:val="21"/>
                <w:szCs w:val="21"/>
                <w:u w:val="none" w:color="auto"/>
                <w:lang w:val="en-US" w:eastAsia="zh-CN"/>
              </w:rPr>
              <w:t>食堂油烟</w:t>
            </w:r>
          </w:p>
        </w:tc>
        <w:tc>
          <w:tcPr>
            <w:tcW w:w="2160" w:type="dxa"/>
            <w:tcBorders>
              <w:tl2br w:val="nil"/>
              <w:tr2bl w:val="nil"/>
            </w:tcBorders>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cs="宋体"/>
                <w:color w:val="auto"/>
                <w:sz w:val="21"/>
                <w:szCs w:val="21"/>
                <w:u w:val="none" w:color="auto"/>
                <w:lang w:val="en-US" w:eastAsia="zh-CN"/>
              </w:rPr>
            </w:pPr>
            <w:r>
              <w:rPr>
                <w:rFonts w:hint="eastAsia" w:cs="宋体"/>
                <w:color w:val="auto"/>
                <w:sz w:val="21"/>
                <w:szCs w:val="21"/>
                <w:u w:val="none" w:color="auto"/>
                <w:lang w:val="en-US" w:eastAsia="zh-CN"/>
              </w:rPr>
              <w:t>油烟净化器+管道</w:t>
            </w:r>
          </w:p>
        </w:tc>
        <w:tc>
          <w:tcPr>
            <w:tcW w:w="3276" w:type="dxa"/>
            <w:tcBorders>
              <w:tl2br w:val="nil"/>
              <w:tr2bl w:val="nil"/>
            </w:tcBorders>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auto"/>
                <w:sz w:val="21"/>
                <w:szCs w:val="21"/>
                <w:u w:val="none" w:color="auto"/>
                <w:vertAlign w:val="baseline"/>
                <w:lang w:val="en-US" w:eastAsia="zh-CN"/>
              </w:rPr>
            </w:pPr>
            <w:r>
              <w:rPr>
                <w:rFonts w:hint="default" w:ascii="Times New Roman" w:hAnsi="Times New Roman" w:eastAsia="宋体" w:cs="Times New Roman"/>
                <w:color w:val="auto"/>
                <w:sz w:val="21"/>
                <w:szCs w:val="21"/>
                <w:u w:val="none" w:color="auto"/>
                <w:vertAlign w:val="baseline"/>
                <w:lang w:val="en-US" w:eastAsia="zh-CN"/>
              </w:rPr>
              <w:t>《饮食业油烟排放标准（试行）》（GB18483-2001）表2</w:t>
            </w:r>
            <w:r>
              <w:rPr>
                <w:rFonts w:hint="eastAsia" w:ascii="Times New Roman" w:hAnsi="Times New Roman" w:eastAsia="宋体" w:cs="Times New Roman"/>
                <w:color w:val="auto"/>
                <w:sz w:val="21"/>
                <w:szCs w:val="21"/>
                <w:u w:val="none" w:color="auto"/>
                <w:vertAlign w:val="baseline"/>
                <w:lang w:val="en-US" w:eastAsia="zh-CN"/>
              </w:rPr>
              <w:t>标准限制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36" w:type="dxa"/>
            <w:vMerge w:val="restart"/>
            <w:tcBorders>
              <w:tl2br w:val="nil"/>
              <w:tr2bl w:val="nil"/>
            </w:tcBorders>
            <w:vAlign w:val="center"/>
          </w:tcPr>
          <w:p>
            <w:pPr>
              <w:keepNext w:val="0"/>
              <w:keepLines w:val="0"/>
              <w:pageBreakBefore w:val="0"/>
              <w:kinsoku/>
              <w:wordWrap/>
              <w:overflowPunct/>
              <w:topLinePunct w:val="0"/>
              <w:autoSpaceDE/>
              <w:autoSpaceDN/>
              <w:bidi w:val="0"/>
              <w:adjustRightInd w:val="0"/>
              <w:snapToGrid w:val="0"/>
              <w:spacing w:line="360" w:lineRule="exact"/>
              <w:jc w:val="center"/>
              <w:textAlignment w:val="auto"/>
              <w:rPr>
                <w:rFonts w:hint="eastAsia" w:ascii="Times New Roman" w:hAnsi="Times New Roman" w:eastAsia="宋体" w:cs="宋体"/>
                <w:color w:val="auto"/>
                <w:sz w:val="21"/>
                <w:szCs w:val="21"/>
                <w:u w:val="none" w:color="auto"/>
              </w:rPr>
            </w:pPr>
            <w:r>
              <w:rPr>
                <w:rFonts w:hint="eastAsia" w:ascii="Times New Roman" w:hAnsi="Times New Roman" w:eastAsia="宋体" w:cs="宋体"/>
                <w:color w:val="auto"/>
                <w:sz w:val="21"/>
                <w:szCs w:val="21"/>
                <w:u w:val="none" w:color="auto"/>
              </w:rPr>
              <w:t>地表水环境</w:t>
            </w:r>
          </w:p>
        </w:tc>
        <w:tc>
          <w:tcPr>
            <w:tcW w:w="1512" w:type="dxa"/>
            <w:tcBorders>
              <w:tl2br w:val="nil"/>
              <w:tr2bl w:val="nil"/>
            </w:tcBorders>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宋体"/>
                <w:color w:val="auto"/>
                <w:sz w:val="21"/>
                <w:szCs w:val="21"/>
                <w:u w:val="none" w:color="auto"/>
                <w:lang w:val="en-US" w:eastAsia="zh-CN"/>
              </w:rPr>
            </w:pPr>
            <w:r>
              <w:rPr>
                <w:rFonts w:hint="eastAsia" w:ascii="Times New Roman" w:hAnsi="Times New Roman" w:eastAsia="宋体" w:cs="宋体"/>
                <w:color w:val="auto"/>
                <w:sz w:val="21"/>
                <w:szCs w:val="21"/>
                <w:u w:val="none" w:color="auto"/>
                <w:lang w:val="en-US" w:eastAsia="zh-CN"/>
              </w:rPr>
              <w:t>生活污水</w:t>
            </w:r>
          </w:p>
        </w:tc>
        <w:tc>
          <w:tcPr>
            <w:tcW w:w="1488" w:type="dxa"/>
            <w:tcBorders>
              <w:tl2br w:val="nil"/>
              <w:tr2bl w:val="nil"/>
            </w:tcBorders>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宋体"/>
                <w:color w:val="auto"/>
                <w:sz w:val="21"/>
                <w:szCs w:val="21"/>
                <w:u w:val="none" w:color="auto"/>
                <w:lang w:val="en-US"/>
              </w:rPr>
            </w:pPr>
            <w:r>
              <w:rPr>
                <w:rFonts w:hint="eastAsia" w:ascii="Times New Roman" w:hAnsi="Times New Roman" w:eastAsia="宋体" w:cs="Times New Roman"/>
                <w:color w:val="auto"/>
                <w:kern w:val="0"/>
                <w:sz w:val="21"/>
                <w:szCs w:val="21"/>
                <w:u w:val="none" w:color="auto"/>
                <w:lang w:val="en-US" w:eastAsia="zh-CN" w:bidi="ar"/>
              </w:rPr>
              <w:t>p</w:t>
            </w:r>
            <w:r>
              <w:rPr>
                <w:rFonts w:hint="default" w:ascii="Times New Roman" w:hAnsi="Times New Roman" w:eastAsia="宋体" w:cs="Times New Roman"/>
                <w:color w:val="auto"/>
                <w:kern w:val="0"/>
                <w:sz w:val="21"/>
                <w:szCs w:val="21"/>
                <w:u w:val="none" w:color="auto"/>
                <w:lang w:val="en-US" w:eastAsia="zh-CN" w:bidi="ar"/>
              </w:rPr>
              <w:t>H</w:t>
            </w:r>
            <w:r>
              <w:rPr>
                <w:rFonts w:hint="eastAsia" w:ascii="Times New Roman" w:hAnsi="Times New Roman" w:eastAsia="宋体" w:cs="宋体"/>
                <w:color w:val="auto"/>
                <w:kern w:val="0"/>
                <w:sz w:val="21"/>
                <w:szCs w:val="21"/>
                <w:u w:val="none" w:color="auto"/>
                <w:lang w:val="en-US" w:eastAsia="zh-CN" w:bidi="ar"/>
              </w:rPr>
              <w:t>、</w:t>
            </w:r>
            <w:r>
              <w:rPr>
                <w:rFonts w:hint="default" w:ascii="Times New Roman" w:hAnsi="Times New Roman" w:eastAsia="宋体" w:cs="Times New Roman"/>
                <w:color w:val="auto"/>
                <w:kern w:val="0"/>
                <w:sz w:val="21"/>
                <w:szCs w:val="21"/>
                <w:u w:val="none" w:color="auto"/>
                <w:lang w:val="en-US" w:eastAsia="zh-CN" w:bidi="ar"/>
              </w:rPr>
              <w:t>COD</w:t>
            </w:r>
            <w:r>
              <w:rPr>
                <w:rFonts w:hint="default" w:ascii="Times New Roman" w:hAnsi="Times New Roman" w:eastAsia="宋体" w:cs="Times New Roman"/>
                <w:color w:val="auto"/>
                <w:kern w:val="0"/>
                <w:sz w:val="21"/>
                <w:szCs w:val="21"/>
                <w:u w:val="none" w:color="auto"/>
                <w:vertAlign w:val="subscript"/>
                <w:lang w:val="en-US" w:eastAsia="zh-CN" w:bidi="ar"/>
              </w:rPr>
              <w:t>Cr</w:t>
            </w:r>
            <w:r>
              <w:rPr>
                <w:rFonts w:hint="eastAsia" w:ascii="Times New Roman" w:hAnsi="Times New Roman" w:eastAsia="宋体" w:cs="宋体"/>
                <w:color w:val="auto"/>
                <w:kern w:val="0"/>
                <w:sz w:val="21"/>
                <w:szCs w:val="21"/>
                <w:u w:val="none" w:color="auto"/>
                <w:lang w:val="en-US" w:eastAsia="zh-CN" w:bidi="ar"/>
              </w:rPr>
              <w:t>、</w:t>
            </w:r>
            <w:r>
              <w:rPr>
                <w:rFonts w:hint="default" w:ascii="Times New Roman" w:hAnsi="Times New Roman" w:eastAsia="宋体" w:cs="Times New Roman"/>
                <w:color w:val="auto"/>
                <w:kern w:val="0"/>
                <w:sz w:val="21"/>
                <w:szCs w:val="21"/>
                <w:u w:val="none" w:color="auto"/>
                <w:lang w:val="en-US" w:eastAsia="zh-CN" w:bidi="ar"/>
              </w:rPr>
              <w:t>BOD</w:t>
            </w:r>
            <w:r>
              <w:rPr>
                <w:rFonts w:hint="default" w:ascii="Times New Roman" w:hAnsi="Times New Roman" w:eastAsia="宋体" w:cs="Times New Roman"/>
                <w:color w:val="auto"/>
                <w:kern w:val="0"/>
                <w:sz w:val="21"/>
                <w:szCs w:val="21"/>
                <w:u w:val="none" w:color="auto"/>
                <w:vertAlign w:val="subscript"/>
                <w:lang w:val="en-US" w:eastAsia="zh-CN" w:bidi="ar"/>
              </w:rPr>
              <w:t>5</w:t>
            </w:r>
            <w:r>
              <w:rPr>
                <w:rFonts w:hint="eastAsia" w:ascii="Times New Roman" w:hAnsi="Times New Roman" w:eastAsia="宋体" w:cs="宋体"/>
                <w:color w:val="auto"/>
                <w:kern w:val="0"/>
                <w:sz w:val="21"/>
                <w:szCs w:val="21"/>
                <w:u w:val="none" w:color="auto"/>
                <w:lang w:val="en-US" w:eastAsia="zh-CN" w:bidi="ar"/>
              </w:rPr>
              <w:t>、氨氮、SS</w:t>
            </w:r>
            <w:r>
              <w:rPr>
                <w:rFonts w:hint="eastAsia" w:cs="宋体"/>
                <w:color w:val="auto"/>
                <w:kern w:val="0"/>
                <w:sz w:val="21"/>
                <w:szCs w:val="21"/>
                <w:u w:val="none" w:color="auto"/>
                <w:lang w:val="en-US" w:eastAsia="zh-CN" w:bidi="ar"/>
              </w:rPr>
              <w:t>、动植物油</w:t>
            </w:r>
          </w:p>
        </w:tc>
        <w:tc>
          <w:tcPr>
            <w:tcW w:w="2160"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spacing w:line="240" w:lineRule="auto"/>
              <w:jc w:val="center"/>
              <w:textAlignment w:val="auto"/>
              <w:rPr>
                <w:rFonts w:hint="default" w:ascii="Times New Roman" w:hAnsi="Times New Roman" w:eastAsia="宋体" w:cs="宋体"/>
                <w:color w:val="auto"/>
                <w:sz w:val="21"/>
                <w:szCs w:val="21"/>
                <w:u w:val="none" w:color="auto"/>
                <w:lang w:val="en-US" w:eastAsia="zh-CN"/>
              </w:rPr>
            </w:pPr>
            <w:r>
              <w:rPr>
                <w:rFonts w:hint="default" w:ascii="Times New Roman" w:hAnsi="Times New Roman" w:eastAsia="宋体" w:cs="宋体"/>
                <w:color w:val="auto"/>
                <w:sz w:val="21"/>
                <w:szCs w:val="21"/>
                <w:u w:val="none" w:color="auto"/>
                <w:lang w:val="en-US" w:eastAsia="zh-CN"/>
              </w:rPr>
              <w:t>经综合楼自带的隔油池+化粪池</w:t>
            </w:r>
            <w:r>
              <w:rPr>
                <w:rFonts w:hint="eastAsia" w:cs="宋体"/>
                <w:color w:val="auto"/>
                <w:sz w:val="21"/>
                <w:szCs w:val="21"/>
                <w:u w:val="none" w:color="auto"/>
                <w:lang w:val="en-US" w:eastAsia="zh-CN"/>
              </w:rPr>
              <w:t>（TW001）</w:t>
            </w:r>
            <w:r>
              <w:rPr>
                <w:rFonts w:hint="default" w:ascii="Times New Roman" w:hAnsi="Times New Roman" w:eastAsia="宋体" w:cs="宋体"/>
                <w:color w:val="auto"/>
                <w:sz w:val="21"/>
                <w:szCs w:val="21"/>
                <w:u w:val="none" w:color="auto"/>
                <w:lang w:val="en-US" w:eastAsia="zh-CN"/>
              </w:rPr>
              <w:t>处理</w:t>
            </w:r>
          </w:p>
        </w:tc>
        <w:tc>
          <w:tcPr>
            <w:tcW w:w="3276" w:type="dxa"/>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宋体"/>
                <w:color w:val="auto"/>
                <w:sz w:val="21"/>
                <w:szCs w:val="21"/>
                <w:u w:val="none" w:color="auto"/>
                <w:lang w:val="en-US" w:eastAsia="zh-CN"/>
              </w:rPr>
            </w:pPr>
            <w:r>
              <w:rPr>
                <w:rFonts w:hint="eastAsia" w:ascii="Times New Roman" w:hAnsi="Times New Roman" w:eastAsia="宋体" w:cs="宋体"/>
                <w:color w:val="auto"/>
                <w:sz w:val="21"/>
                <w:szCs w:val="21"/>
                <w:u w:val="none" w:color="auto"/>
                <w:lang w:val="en-US" w:eastAsia="zh-CN"/>
              </w:rPr>
              <w:t>达到</w:t>
            </w:r>
            <w:r>
              <w:rPr>
                <w:rFonts w:hint="default" w:ascii="Times New Roman" w:hAnsi="Times New Roman" w:eastAsia="宋体" w:cs="Times New Roman"/>
                <w:b w:val="0"/>
                <w:bCs w:val="0"/>
                <w:color w:val="auto"/>
                <w:kern w:val="0"/>
                <w:sz w:val="21"/>
                <w:szCs w:val="21"/>
                <w:u w:val="none" w:color="auto"/>
                <w:lang w:val="en-US" w:eastAsia="zh-CN" w:bidi="ar"/>
              </w:rPr>
              <w:t>《污水综合排放标准》（GB8978-1996）表4中</w:t>
            </w:r>
            <w:r>
              <w:rPr>
                <w:rFonts w:hint="eastAsia" w:cs="Times New Roman"/>
                <w:b w:val="0"/>
                <w:bCs w:val="0"/>
                <w:color w:val="auto"/>
                <w:kern w:val="0"/>
                <w:sz w:val="21"/>
                <w:szCs w:val="21"/>
                <w:u w:val="none" w:color="auto"/>
                <w:lang w:val="en-US" w:eastAsia="zh-CN" w:bidi="ar"/>
              </w:rPr>
              <w:t>三</w:t>
            </w:r>
            <w:r>
              <w:rPr>
                <w:rFonts w:hint="default" w:ascii="Times New Roman" w:hAnsi="Times New Roman" w:eastAsia="宋体" w:cs="Times New Roman"/>
                <w:b w:val="0"/>
                <w:bCs w:val="0"/>
                <w:color w:val="auto"/>
                <w:kern w:val="0"/>
                <w:sz w:val="21"/>
                <w:szCs w:val="21"/>
                <w:u w:val="none" w:color="auto"/>
                <w:lang w:val="en-US" w:eastAsia="zh-CN" w:bidi="ar"/>
              </w:rPr>
              <w:t>级标准</w:t>
            </w:r>
            <w:r>
              <w:rPr>
                <w:rFonts w:hint="eastAsia" w:ascii="Times New Roman" w:hAnsi="Times New Roman" w:eastAsia="宋体" w:cs="Times New Roman"/>
                <w:b w:val="0"/>
                <w:bCs w:val="0"/>
                <w:color w:val="auto"/>
                <w:kern w:val="0"/>
                <w:sz w:val="21"/>
                <w:szCs w:val="21"/>
                <w:u w:val="none" w:color="auto"/>
                <w:lang w:val="en-US" w:eastAsia="zh-CN" w:bidi="ar"/>
              </w:rPr>
              <w:t>后</w:t>
            </w:r>
            <w:r>
              <w:rPr>
                <w:rFonts w:hint="default" w:ascii="Times New Roman" w:hAnsi="Times New Roman" w:eastAsia="宋体" w:cs="宋体"/>
                <w:color w:val="auto"/>
                <w:sz w:val="21"/>
                <w:szCs w:val="21"/>
                <w:u w:val="none" w:color="auto"/>
                <w:lang w:val="en-US" w:eastAsia="zh-CN"/>
              </w:rPr>
              <w:t>经市政污水管网排入归阳污水处理厂。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36"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exact"/>
              <w:jc w:val="center"/>
              <w:textAlignment w:val="auto"/>
              <w:rPr>
                <w:rFonts w:ascii="Times New Roman" w:hAnsi="Times New Roman" w:eastAsia="宋体"/>
                <w:color w:val="auto"/>
                <w:sz w:val="21"/>
                <w:szCs w:val="21"/>
                <w:u w:val="none" w:color="auto"/>
              </w:rPr>
            </w:pPr>
          </w:p>
        </w:tc>
        <w:tc>
          <w:tcPr>
            <w:tcW w:w="151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宋体"/>
                <w:color w:val="auto"/>
                <w:sz w:val="21"/>
                <w:szCs w:val="21"/>
                <w:u w:val="none" w:color="auto"/>
                <w:lang w:val="en-US" w:eastAsia="zh-CN"/>
              </w:rPr>
            </w:pPr>
            <w:r>
              <w:rPr>
                <w:rFonts w:hint="eastAsia" w:cs="宋体"/>
                <w:color w:val="auto"/>
                <w:sz w:val="21"/>
                <w:szCs w:val="21"/>
                <w:u w:val="none" w:color="auto"/>
                <w:lang w:val="en-US" w:eastAsia="zh-CN"/>
              </w:rPr>
              <w:t>拖把清洗废水</w:t>
            </w:r>
          </w:p>
        </w:tc>
        <w:tc>
          <w:tcPr>
            <w:tcW w:w="1488" w:type="dxa"/>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color w:val="auto"/>
                <w:kern w:val="0"/>
                <w:sz w:val="21"/>
                <w:szCs w:val="21"/>
                <w:u w:val="none" w:color="auto"/>
                <w:lang w:val="en-US" w:eastAsia="zh-CN" w:bidi="ar"/>
              </w:rPr>
            </w:pPr>
            <w:r>
              <w:rPr>
                <w:rFonts w:hint="default" w:ascii="Times New Roman" w:hAnsi="Times New Roman" w:eastAsia="宋体" w:cs="Times New Roman"/>
                <w:color w:val="auto"/>
                <w:kern w:val="0"/>
                <w:sz w:val="21"/>
                <w:szCs w:val="21"/>
                <w:u w:val="none" w:color="auto"/>
                <w:lang w:val="en-US" w:eastAsia="zh-CN" w:bidi="ar"/>
              </w:rPr>
              <w:t>COD</w:t>
            </w:r>
            <w:r>
              <w:rPr>
                <w:rFonts w:hint="default" w:ascii="Times New Roman" w:hAnsi="Times New Roman" w:eastAsia="宋体" w:cs="Times New Roman"/>
                <w:color w:val="auto"/>
                <w:kern w:val="0"/>
                <w:sz w:val="21"/>
                <w:szCs w:val="21"/>
                <w:u w:val="none" w:color="auto"/>
                <w:vertAlign w:val="subscript"/>
                <w:lang w:val="en-US" w:eastAsia="zh-CN" w:bidi="ar"/>
              </w:rPr>
              <w:t>Cr</w:t>
            </w:r>
            <w:r>
              <w:rPr>
                <w:rFonts w:hint="eastAsia" w:ascii="Times New Roman" w:hAnsi="Times New Roman" w:eastAsia="宋体" w:cs="宋体"/>
                <w:color w:val="auto"/>
                <w:kern w:val="0"/>
                <w:sz w:val="21"/>
                <w:szCs w:val="21"/>
                <w:u w:val="none" w:color="auto"/>
                <w:lang w:val="en-US" w:eastAsia="zh-CN" w:bidi="ar"/>
              </w:rPr>
              <w:t>、SS、</w:t>
            </w:r>
            <w:r>
              <w:rPr>
                <w:rFonts w:hint="default" w:ascii="Times New Roman" w:hAnsi="Times New Roman" w:eastAsia="宋体" w:cs="Times New Roman"/>
                <w:color w:val="auto"/>
                <w:kern w:val="0"/>
                <w:sz w:val="21"/>
                <w:szCs w:val="21"/>
                <w:u w:val="none" w:color="auto"/>
                <w:lang w:val="en-US" w:eastAsia="zh-CN" w:bidi="ar"/>
              </w:rPr>
              <w:t>BOD</w:t>
            </w:r>
            <w:r>
              <w:rPr>
                <w:rFonts w:hint="default" w:ascii="Times New Roman" w:hAnsi="Times New Roman" w:eastAsia="宋体" w:cs="Times New Roman"/>
                <w:color w:val="auto"/>
                <w:kern w:val="0"/>
                <w:sz w:val="21"/>
                <w:szCs w:val="21"/>
                <w:u w:val="none" w:color="auto"/>
                <w:vertAlign w:val="subscript"/>
                <w:lang w:val="en-US" w:eastAsia="zh-CN" w:bidi="ar"/>
              </w:rPr>
              <w:t>5</w:t>
            </w:r>
            <w:r>
              <w:rPr>
                <w:rFonts w:hint="eastAsia" w:ascii="Times New Roman" w:hAnsi="Times New Roman" w:eastAsia="宋体" w:cs="宋体"/>
                <w:color w:val="auto"/>
                <w:kern w:val="0"/>
                <w:sz w:val="21"/>
                <w:szCs w:val="21"/>
                <w:u w:val="none" w:color="auto"/>
                <w:lang w:val="en-US" w:eastAsia="zh-CN" w:bidi="ar"/>
              </w:rPr>
              <w:t>、氨氮、石油类</w:t>
            </w:r>
          </w:p>
        </w:tc>
        <w:tc>
          <w:tcPr>
            <w:tcW w:w="216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宋体"/>
                <w:color w:val="auto"/>
                <w:sz w:val="21"/>
                <w:szCs w:val="21"/>
                <w:u w:val="none" w:color="auto"/>
                <w:lang w:val="en-US" w:eastAsia="zh-CN"/>
              </w:rPr>
            </w:pPr>
            <w:r>
              <w:rPr>
                <w:rFonts w:hint="eastAsia" w:ascii="Times New Roman" w:hAnsi="Times New Roman" w:eastAsia="宋体" w:cs="宋体"/>
                <w:color w:val="auto"/>
                <w:sz w:val="21"/>
                <w:szCs w:val="21"/>
                <w:u w:val="none" w:color="auto"/>
                <w:lang w:val="en-US" w:eastAsia="zh-CN"/>
              </w:rPr>
              <w:t>隔油沉淀池（</w:t>
            </w:r>
            <w:r>
              <w:rPr>
                <w:rFonts w:hint="eastAsia" w:cs="宋体"/>
                <w:color w:val="auto"/>
                <w:sz w:val="21"/>
                <w:szCs w:val="21"/>
                <w:u w:val="none" w:color="auto"/>
                <w:lang w:val="en-US" w:eastAsia="zh-CN"/>
              </w:rPr>
              <w:t>TW002，采用</w:t>
            </w:r>
            <w:r>
              <w:rPr>
                <w:rFonts w:hint="eastAsia" w:ascii="Times New Roman" w:hAnsi="Times New Roman" w:eastAsia="宋体" w:cs="宋体"/>
                <w:color w:val="auto"/>
                <w:sz w:val="21"/>
                <w:szCs w:val="21"/>
                <w:u w:val="none" w:color="auto"/>
                <w:lang w:val="en-US" w:eastAsia="zh-CN"/>
              </w:rPr>
              <w:t>气浮+油水</w:t>
            </w:r>
            <w:r>
              <w:rPr>
                <w:rFonts w:hint="eastAsia" w:cs="宋体"/>
                <w:color w:val="auto"/>
                <w:sz w:val="21"/>
                <w:szCs w:val="21"/>
                <w:u w:val="none" w:color="auto"/>
                <w:lang w:val="en-US" w:eastAsia="zh-CN"/>
              </w:rPr>
              <w:t>技术</w:t>
            </w:r>
            <w:r>
              <w:rPr>
                <w:rFonts w:hint="eastAsia" w:ascii="Times New Roman" w:hAnsi="Times New Roman" w:eastAsia="宋体" w:cs="宋体"/>
                <w:color w:val="auto"/>
                <w:sz w:val="21"/>
                <w:szCs w:val="21"/>
                <w:u w:val="none" w:color="auto"/>
                <w:lang w:val="en-US" w:eastAsia="zh-CN"/>
              </w:rPr>
              <w:t>）</w:t>
            </w:r>
          </w:p>
        </w:tc>
        <w:tc>
          <w:tcPr>
            <w:tcW w:w="3276"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宋体"/>
                <w:color w:val="auto"/>
                <w:sz w:val="21"/>
                <w:szCs w:val="21"/>
                <w:u w:val="none" w:color="auto"/>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36"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360" w:lineRule="exact"/>
              <w:jc w:val="center"/>
              <w:textAlignment w:val="auto"/>
              <w:rPr>
                <w:rFonts w:ascii="Times New Roman" w:hAnsi="Times New Roman" w:eastAsia="宋体"/>
                <w:color w:val="auto"/>
                <w:sz w:val="21"/>
                <w:szCs w:val="21"/>
                <w:u w:val="none" w:color="auto"/>
              </w:rPr>
            </w:pPr>
          </w:p>
        </w:tc>
        <w:tc>
          <w:tcPr>
            <w:tcW w:w="151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宋体"/>
                <w:color w:val="auto"/>
                <w:sz w:val="21"/>
                <w:szCs w:val="21"/>
                <w:u w:val="none" w:color="auto"/>
                <w:lang w:val="en-US" w:eastAsia="zh-CN"/>
              </w:rPr>
            </w:pPr>
            <w:r>
              <w:rPr>
                <w:rFonts w:hint="eastAsia" w:cs="宋体"/>
                <w:color w:val="auto"/>
                <w:sz w:val="21"/>
                <w:szCs w:val="21"/>
                <w:u w:val="none" w:color="auto"/>
                <w:lang w:val="en-US" w:eastAsia="zh-CN"/>
              </w:rPr>
              <w:t>初期雨水</w:t>
            </w:r>
          </w:p>
        </w:tc>
        <w:tc>
          <w:tcPr>
            <w:tcW w:w="1488"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color w:val="auto"/>
                <w:kern w:val="0"/>
                <w:sz w:val="21"/>
                <w:szCs w:val="21"/>
                <w:u w:val="none" w:color="auto"/>
                <w:lang w:val="en-US" w:eastAsia="zh-CN" w:bidi="ar"/>
              </w:rPr>
            </w:pPr>
          </w:p>
        </w:tc>
        <w:tc>
          <w:tcPr>
            <w:tcW w:w="216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宋体"/>
                <w:color w:val="auto"/>
                <w:sz w:val="21"/>
                <w:szCs w:val="21"/>
                <w:u w:val="none" w:color="auto"/>
                <w:lang w:val="en-US" w:eastAsia="zh-CN"/>
              </w:rPr>
            </w:pPr>
            <w:r>
              <w:rPr>
                <w:rFonts w:hint="eastAsia" w:ascii="Times New Roman" w:hAnsi="Times New Roman" w:eastAsia="宋体" w:cs="宋体"/>
                <w:color w:val="auto"/>
                <w:sz w:val="21"/>
                <w:szCs w:val="21"/>
                <w:u w:val="none" w:color="auto"/>
                <w:lang w:val="en-US" w:eastAsia="zh-CN"/>
              </w:rPr>
              <w:t>初期雨水收集池+隔油沉淀池（</w:t>
            </w:r>
            <w:r>
              <w:rPr>
                <w:rFonts w:hint="eastAsia" w:cs="宋体"/>
                <w:color w:val="auto"/>
                <w:sz w:val="21"/>
                <w:szCs w:val="21"/>
                <w:u w:val="none" w:color="auto"/>
                <w:lang w:val="en-US" w:eastAsia="zh-CN"/>
              </w:rPr>
              <w:t>TW002，采用</w:t>
            </w:r>
            <w:r>
              <w:rPr>
                <w:rFonts w:hint="eastAsia" w:ascii="Times New Roman" w:hAnsi="Times New Roman" w:eastAsia="宋体" w:cs="宋体"/>
                <w:color w:val="auto"/>
                <w:sz w:val="21"/>
                <w:szCs w:val="21"/>
                <w:u w:val="none" w:color="auto"/>
                <w:lang w:val="en-US" w:eastAsia="zh-CN"/>
              </w:rPr>
              <w:t>气浮+油水</w:t>
            </w:r>
            <w:r>
              <w:rPr>
                <w:rFonts w:hint="eastAsia" w:cs="宋体"/>
                <w:color w:val="auto"/>
                <w:sz w:val="21"/>
                <w:szCs w:val="21"/>
                <w:u w:val="none" w:color="auto"/>
                <w:lang w:val="en-US" w:eastAsia="zh-CN"/>
              </w:rPr>
              <w:t>技术</w:t>
            </w:r>
            <w:r>
              <w:rPr>
                <w:rFonts w:hint="eastAsia" w:ascii="Times New Roman" w:hAnsi="Times New Roman" w:eastAsia="宋体" w:cs="宋体"/>
                <w:color w:val="auto"/>
                <w:sz w:val="21"/>
                <w:szCs w:val="21"/>
                <w:u w:val="none" w:color="auto"/>
                <w:lang w:val="en-US" w:eastAsia="zh-CN"/>
              </w:rPr>
              <w:t>）</w:t>
            </w:r>
          </w:p>
        </w:tc>
        <w:tc>
          <w:tcPr>
            <w:tcW w:w="3276"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宋体"/>
                <w:color w:val="auto"/>
                <w:sz w:val="21"/>
                <w:szCs w:val="21"/>
                <w:u w:val="none" w:color="auto"/>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36" w:type="dxa"/>
            <w:tcBorders>
              <w:tl2br w:val="nil"/>
              <w:tr2bl w:val="nil"/>
            </w:tcBorders>
            <w:vAlign w:val="center"/>
          </w:tcPr>
          <w:p>
            <w:pPr>
              <w:keepNext w:val="0"/>
              <w:keepLines w:val="0"/>
              <w:pageBreakBefore w:val="0"/>
              <w:kinsoku/>
              <w:wordWrap/>
              <w:overflowPunct/>
              <w:topLinePunct w:val="0"/>
              <w:autoSpaceDE/>
              <w:autoSpaceDN/>
              <w:bidi w:val="0"/>
              <w:adjustRightInd w:val="0"/>
              <w:snapToGrid w:val="0"/>
              <w:spacing w:line="360" w:lineRule="exact"/>
              <w:jc w:val="center"/>
              <w:textAlignment w:val="auto"/>
              <w:rPr>
                <w:rFonts w:hint="eastAsia" w:ascii="Times New Roman" w:hAnsi="Times New Roman" w:eastAsia="宋体" w:cs="宋体"/>
                <w:color w:val="auto"/>
                <w:sz w:val="21"/>
                <w:szCs w:val="21"/>
                <w:u w:val="none" w:color="auto"/>
              </w:rPr>
            </w:pPr>
            <w:r>
              <w:rPr>
                <w:rFonts w:hint="eastAsia" w:ascii="Times New Roman" w:hAnsi="Times New Roman" w:eastAsia="宋体" w:cs="宋体"/>
                <w:color w:val="auto"/>
                <w:sz w:val="21"/>
                <w:szCs w:val="21"/>
                <w:u w:val="none" w:color="auto"/>
              </w:rPr>
              <w:t>声环境</w:t>
            </w:r>
          </w:p>
        </w:tc>
        <w:tc>
          <w:tcPr>
            <w:tcW w:w="1512" w:type="dxa"/>
            <w:tcBorders>
              <w:tl2br w:val="nil"/>
              <w:tr2bl w:val="nil"/>
            </w:tcBorders>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宋体"/>
                <w:color w:val="auto"/>
                <w:sz w:val="21"/>
                <w:szCs w:val="21"/>
                <w:u w:val="none" w:color="auto"/>
                <w:lang w:val="en-US" w:eastAsia="zh-CN"/>
              </w:rPr>
            </w:pPr>
            <w:r>
              <w:rPr>
                <w:rFonts w:hint="eastAsia" w:ascii="Times New Roman" w:hAnsi="Times New Roman" w:eastAsia="宋体" w:cs="宋体"/>
                <w:color w:val="auto"/>
                <w:sz w:val="21"/>
                <w:szCs w:val="21"/>
                <w:u w:val="none" w:color="auto"/>
                <w:lang w:val="en-US" w:eastAsia="zh-CN"/>
              </w:rPr>
              <w:t>生产设备等</w:t>
            </w:r>
          </w:p>
        </w:tc>
        <w:tc>
          <w:tcPr>
            <w:tcW w:w="1488" w:type="dxa"/>
            <w:tcBorders>
              <w:tl2br w:val="nil"/>
              <w:tr2bl w:val="nil"/>
            </w:tcBorders>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宋体"/>
                <w:color w:val="auto"/>
                <w:sz w:val="21"/>
                <w:szCs w:val="21"/>
                <w:u w:val="none" w:color="auto"/>
                <w:lang w:val="en-US" w:eastAsia="zh-CN"/>
              </w:rPr>
            </w:pPr>
            <w:r>
              <w:rPr>
                <w:rFonts w:hint="eastAsia" w:ascii="Times New Roman" w:hAnsi="Times New Roman" w:eastAsia="宋体" w:cs="宋体"/>
                <w:color w:val="auto"/>
                <w:sz w:val="21"/>
                <w:szCs w:val="21"/>
                <w:u w:val="none" w:color="auto"/>
                <w:lang w:val="en-US" w:eastAsia="zh-CN"/>
              </w:rPr>
              <w:t>机械噪声</w:t>
            </w:r>
          </w:p>
        </w:tc>
        <w:tc>
          <w:tcPr>
            <w:tcW w:w="216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宋体"/>
                <w:color w:val="auto"/>
                <w:sz w:val="21"/>
                <w:szCs w:val="21"/>
                <w:u w:val="none" w:color="auto"/>
                <w:lang w:val="en-US" w:eastAsia="zh-CN"/>
              </w:rPr>
            </w:pPr>
            <w:r>
              <w:rPr>
                <w:rFonts w:hint="default" w:ascii="Times New Roman" w:hAnsi="Times New Roman" w:eastAsia="宋体" w:cs="Times New Roman"/>
                <w:color w:val="auto"/>
                <w:kern w:val="2"/>
                <w:sz w:val="21"/>
                <w:szCs w:val="21"/>
                <w:u w:val="none" w:color="auto"/>
                <w:lang w:bidi="ar"/>
              </w:rPr>
              <w:t>尽量选用低噪声设备，隔声，设置减震垫等降噪等措施</w:t>
            </w:r>
          </w:p>
        </w:tc>
        <w:tc>
          <w:tcPr>
            <w:tcW w:w="327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宋体"/>
                <w:color w:val="auto"/>
                <w:sz w:val="21"/>
                <w:szCs w:val="21"/>
                <w:u w:val="none" w:color="auto"/>
              </w:rPr>
            </w:pPr>
            <w:r>
              <w:rPr>
                <w:rFonts w:hint="default" w:ascii="Times New Roman" w:hAnsi="Times New Roman" w:eastAsia="宋体" w:cs="Times New Roman"/>
                <w:color w:val="auto"/>
                <w:sz w:val="21"/>
                <w:szCs w:val="21"/>
                <w:u w:val="none" w:color="auto"/>
              </w:rPr>
              <w:t>《工业企业厂界环境噪声排放标准》（GB12348-2008）中的</w:t>
            </w:r>
            <w:r>
              <w:rPr>
                <w:rFonts w:hint="eastAsia" w:cs="Times New Roman"/>
                <w:color w:val="auto"/>
                <w:sz w:val="21"/>
                <w:szCs w:val="21"/>
                <w:u w:val="none" w:color="auto"/>
                <w:lang w:val="en-US" w:eastAsia="zh-CN"/>
              </w:rPr>
              <w:t>3</w:t>
            </w:r>
            <w:r>
              <w:rPr>
                <w:rFonts w:hint="eastAsia" w:ascii="Times New Roman" w:hAnsi="Times New Roman" w:eastAsia="宋体" w:cs="Times New Roman"/>
                <w:color w:val="auto"/>
                <w:sz w:val="21"/>
                <w:szCs w:val="21"/>
                <w:u w:val="none" w:color="auto"/>
                <w:lang w:val="en-US" w:eastAsia="zh-CN"/>
              </w:rPr>
              <w:t>类</w:t>
            </w:r>
            <w:r>
              <w:rPr>
                <w:rFonts w:hint="default" w:ascii="Times New Roman" w:hAnsi="Times New Roman" w:eastAsia="宋体" w:cs="Times New Roman"/>
                <w:color w:val="auto"/>
                <w:sz w:val="21"/>
                <w:szCs w:val="21"/>
                <w:u w:val="none" w:color="auto"/>
              </w:rPr>
              <w:t>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36" w:type="dxa"/>
            <w:tcBorders>
              <w:tl2br w:val="nil"/>
              <w:tr2bl w:val="nil"/>
            </w:tcBorders>
            <w:vAlign w:val="center"/>
          </w:tcPr>
          <w:p>
            <w:pPr>
              <w:keepNext w:val="0"/>
              <w:keepLines w:val="0"/>
              <w:pageBreakBefore w:val="0"/>
              <w:kinsoku/>
              <w:wordWrap/>
              <w:overflowPunct/>
              <w:topLinePunct w:val="0"/>
              <w:autoSpaceDE/>
              <w:autoSpaceDN/>
              <w:bidi w:val="0"/>
              <w:adjustRightInd w:val="0"/>
              <w:snapToGrid w:val="0"/>
              <w:spacing w:line="360" w:lineRule="exact"/>
              <w:jc w:val="center"/>
              <w:textAlignment w:val="auto"/>
              <w:rPr>
                <w:rFonts w:hint="eastAsia" w:ascii="Times New Roman" w:hAnsi="Times New Roman" w:eastAsia="宋体" w:cs="宋体"/>
                <w:color w:val="auto"/>
                <w:sz w:val="21"/>
                <w:szCs w:val="21"/>
                <w:u w:val="none" w:color="auto"/>
              </w:rPr>
            </w:pPr>
            <w:r>
              <w:rPr>
                <w:rFonts w:hint="eastAsia" w:ascii="Times New Roman" w:hAnsi="Times New Roman" w:eastAsia="宋体" w:cs="宋体"/>
                <w:color w:val="auto"/>
                <w:sz w:val="21"/>
                <w:szCs w:val="21"/>
                <w:u w:val="none" w:color="auto"/>
              </w:rPr>
              <w:t>电磁辐射</w:t>
            </w:r>
          </w:p>
        </w:tc>
        <w:tc>
          <w:tcPr>
            <w:tcW w:w="1512" w:type="dxa"/>
            <w:tcBorders>
              <w:tl2br w:val="nil"/>
              <w:tr2bl w:val="nil"/>
            </w:tcBorders>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宋体"/>
                <w:color w:val="auto"/>
                <w:sz w:val="21"/>
                <w:szCs w:val="21"/>
                <w:u w:val="none" w:color="auto"/>
                <w:lang w:val="en-US" w:eastAsia="zh-CN"/>
              </w:rPr>
            </w:pPr>
            <w:r>
              <w:rPr>
                <w:rFonts w:hint="eastAsia" w:ascii="Times New Roman" w:hAnsi="Times New Roman" w:eastAsia="宋体" w:cs="宋体"/>
                <w:color w:val="auto"/>
                <w:sz w:val="21"/>
                <w:szCs w:val="21"/>
                <w:u w:val="none" w:color="auto"/>
                <w:lang w:val="en-US" w:eastAsia="zh-CN"/>
              </w:rPr>
              <w:t>无</w:t>
            </w:r>
          </w:p>
        </w:tc>
        <w:tc>
          <w:tcPr>
            <w:tcW w:w="1488" w:type="dxa"/>
            <w:tcBorders>
              <w:tl2br w:val="nil"/>
              <w:tr2bl w:val="nil"/>
            </w:tcBorders>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宋体"/>
                <w:color w:val="auto"/>
                <w:sz w:val="21"/>
                <w:szCs w:val="21"/>
                <w:u w:val="none" w:color="auto"/>
                <w:lang w:val="en-US" w:eastAsia="zh-CN"/>
              </w:rPr>
            </w:pPr>
            <w:r>
              <w:rPr>
                <w:rFonts w:hint="eastAsia" w:ascii="Times New Roman" w:hAnsi="Times New Roman" w:eastAsia="宋体" w:cs="宋体"/>
                <w:color w:val="auto"/>
                <w:sz w:val="21"/>
                <w:szCs w:val="21"/>
                <w:u w:val="none" w:color="auto"/>
                <w:lang w:val="en-US" w:eastAsia="zh-CN"/>
              </w:rPr>
              <w:t>无</w:t>
            </w:r>
          </w:p>
        </w:tc>
        <w:tc>
          <w:tcPr>
            <w:tcW w:w="2160" w:type="dxa"/>
            <w:tcBorders>
              <w:tl2br w:val="nil"/>
              <w:tr2bl w:val="nil"/>
            </w:tcBorders>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宋体"/>
                <w:color w:val="auto"/>
                <w:sz w:val="21"/>
                <w:szCs w:val="21"/>
                <w:u w:val="none" w:color="auto"/>
                <w:lang w:val="en-US" w:eastAsia="zh-CN"/>
              </w:rPr>
            </w:pPr>
            <w:r>
              <w:rPr>
                <w:rFonts w:hint="eastAsia" w:ascii="Times New Roman" w:hAnsi="Times New Roman" w:eastAsia="宋体" w:cs="宋体"/>
                <w:color w:val="auto"/>
                <w:sz w:val="21"/>
                <w:szCs w:val="21"/>
                <w:u w:val="none" w:color="auto"/>
                <w:lang w:val="en-US" w:eastAsia="zh-CN"/>
              </w:rPr>
              <w:t>无</w:t>
            </w:r>
          </w:p>
        </w:tc>
        <w:tc>
          <w:tcPr>
            <w:tcW w:w="3276" w:type="dxa"/>
            <w:tcBorders>
              <w:tl2br w:val="nil"/>
              <w:tr2bl w:val="nil"/>
            </w:tcBorders>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宋体"/>
                <w:color w:val="auto"/>
                <w:sz w:val="21"/>
                <w:szCs w:val="21"/>
                <w:u w:val="none" w:color="auto"/>
                <w:lang w:val="en-US" w:eastAsia="zh-CN"/>
              </w:rPr>
            </w:pPr>
            <w:r>
              <w:rPr>
                <w:rFonts w:hint="eastAsia" w:ascii="Times New Roman" w:hAnsi="Times New Roman" w:eastAsia="宋体" w:cs="宋体"/>
                <w:color w:val="auto"/>
                <w:sz w:val="21"/>
                <w:szCs w:val="21"/>
                <w:u w:val="none" w:color="auto"/>
                <w:lang w:val="en-US" w:eastAsia="zh-CN"/>
              </w:rPr>
              <w:t>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36" w:type="dxa"/>
            <w:vMerge w:val="restart"/>
            <w:tcBorders>
              <w:tl2br w:val="nil"/>
              <w:tr2bl w:val="nil"/>
            </w:tcBorders>
            <w:vAlign w:val="center"/>
          </w:tcPr>
          <w:p>
            <w:pPr>
              <w:keepNext w:val="0"/>
              <w:keepLines w:val="0"/>
              <w:pageBreakBefore w:val="0"/>
              <w:kinsoku/>
              <w:wordWrap/>
              <w:overflowPunct/>
              <w:topLinePunct w:val="0"/>
              <w:autoSpaceDE/>
              <w:autoSpaceDN/>
              <w:bidi w:val="0"/>
              <w:adjustRightInd w:val="0"/>
              <w:snapToGrid w:val="0"/>
              <w:spacing w:line="360" w:lineRule="exact"/>
              <w:jc w:val="center"/>
              <w:textAlignment w:val="auto"/>
              <w:rPr>
                <w:rFonts w:hint="eastAsia" w:ascii="Times New Roman" w:hAnsi="Times New Roman" w:eastAsia="宋体" w:cs="宋体"/>
                <w:color w:val="auto"/>
                <w:sz w:val="21"/>
                <w:szCs w:val="21"/>
                <w:u w:val="none" w:color="auto"/>
              </w:rPr>
            </w:pPr>
            <w:r>
              <w:rPr>
                <w:rFonts w:hint="eastAsia" w:ascii="Times New Roman" w:hAnsi="Times New Roman" w:eastAsia="宋体" w:cs="宋体"/>
                <w:color w:val="auto"/>
                <w:sz w:val="21"/>
                <w:szCs w:val="21"/>
                <w:u w:val="none" w:color="auto"/>
              </w:rPr>
              <w:t>固体废物</w:t>
            </w:r>
          </w:p>
        </w:tc>
        <w:tc>
          <w:tcPr>
            <w:tcW w:w="151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宋体"/>
                <w:color w:val="auto"/>
                <w:sz w:val="21"/>
                <w:szCs w:val="21"/>
                <w:u w:val="none" w:color="auto"/>
                <w:lang w:val="en-US"/>
              </w:rPr>
            </w:pPr>
            <w:r>
              <w:rPr>
                <w:rFonts w:hint="eastAsia" w:ascii="Times New Roman" w:hAnsi="Times New Roman" w:eastAsia="宋体" w:cs="Times New Roman"/>
                <w:bCs/>
                <w:color w:val="auto"/>
                <w:spacing w:val="-10"/>
                <w:sz w:val="21"/>
                <w:szCs w:val="21"/>
                <w:u w:val="none" w:color="auto"/>
                <w:vertAlign w:val="baseline"/>
                <w:lang w:val="en-US" w:eastAsia="zh-CN"/>
              </w:rPr>
              <w:t>员工生活</w:t>
            </w:r>
          </w:p>
        </w:tc>
        <w:tc>
          <w:tcPr>
            <w:tcW w:w="148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宋体"/>
                <w:color w:val="auto"/>
                <w:sz w:val="21"/>
                <w:szCs w:val="21"/>
                <w:u w:val="none" w:color="auto"/>
              </w:rPr>
            </w:pPr>
            <w:r>
              <w:rPr>
                <w:rFonts w:hint="eastAsia" w:ascii="Times New Roman" w:hAnsi="Times New Roman" w:eastAsia="宋体" w:cs="Times New Roman"/>
                <w:bCs/>
                <w:color w:val="auto"/>
                <w:spacing w:val="-10"/>
                <w:sz w:val="21"/>
                <w:szCs w:val="21"/>
                <w:u w:val="none" w:color="auto"/>
                <w:vertAlign w:val="baseline"/>
                <w:lang w:val="en-US" w:eastAsia="zh-CN"/>
              </w:rPr>
              <w:t>生活垃圾</w:t>
            </w:r>
          </w:p>
        </w:tc>
        <w:tc>
          <w:tcPr>
            <w:tcW w:w="2160" w:type="dxa"/>
            <w:tcBorders>
              <w:tl2br w:val="nil"/>
              <w:tr2bl w:val="nil"/>
            </w:tcBorders>
            <w:vAlign w:val="center"/>
          </w:tcPr>
          <w:p>
            <w:pPr>
              <w:pStyle w:val="15"/>
              <w:keepNext w:val="0"/>
              <w:keepLines w:val="0"/>
              <w:pageBreakBefore w:val="0"/>
              <w:widowControl w:val="0"/>
              <w:kinsoku/>
              <w:wordWrap/>
              <w:overflowPunct/>
              <w:topLinePunct w:val="0"/>
              <w:autoSpaceDE/>
              <w:autoSpaceDN/>
              <w:bidi w:val="0"/>
              <w:adjustRightInd/>
              <w:snapToGrid/>
              <w:spacing w:before="0" w:beforeAutospacing="0" w:after="0" w:afterAutospacing="0" w:line="240" w:lineRule="auto"/>
              <w:jc w:val="center"/>
              <w:textAlignment w:val="auto"/>
              <w:rPr>
                <w:rFonts w:hint="eastAsia" w:ascii="Times New Roman" w:hAnsi="Times New Roman" w:eastAsia="宋体" w:cs="宋体"/>
                <w:color w:val="auto"/>
                <w:sz w:val="21"/>
                <w:szCs w:val="21"/>
                <w:u w:val="none" w:color="auto"/>
              </w:rPr>
            </w:pPr>
            <w:r>
              <w:rPr>
                <w:rFonts w:hint="default" w:ascii="Times New Roman" w:hAnsi="Times New Roman" w:eastAsia="宋体" w:cs="Times New Roman"/>
                <w:color w:val="auto"/>
                <w:kern w:val="2"/>
                <w:sz w:val="21"/>
                <w:szCs w:val="21"/>
                <w:u w:val="none" w:color="auto"/>
                <w:lang w:bidi="ar"/>
              </w:rPr>
              <w:t>经收集后交由环卫部门</w:t>
            </w:r>
            <w:r>
              <w:rPr>
                <w:rFonts w:hint="eastAsia" w:ascii="Times New Roman" w:hAnsi="Times New Roman" w:eastAsia="宋体" w:cs="Times New Roman"/>
                <w:color w:val="auto"/>
                <w:kern w:val="2"/>
                <w:sz w:val="21"/>
                <w:szCs w:val="21"/>
                <w:u w:val="none" w:color="auto"/>
                <w:lang w:val="en-US" w:eastAsia="zh-CN" w:bidi="ar"/>
              </w:rPr>
              <w:t>统一</w:t>
            </w:r>
            <w:r>
              <w:rPr>
                <w:rFonts w:hint="default" w:ascii="Times New Roman" w:hAnsi="Times New Roman" w:eastAsia="宋体" w:cs="Times New Roman"/>
                <w:color w:val="auto"/>
                <w:kern w:val="2"/>
                <w:sz w:val="21"/>
                <w:szCs w:val="21"/>
                <w:u w:val="none" w:color="auto"/>
                <w:lang w:bidi="ar"/>
              </w:rPr>
              <w:t>处理</w:t>
            </w:r>
          </w:p>
        </w:tc>
        <w:tc>
          <w:tcPr>
            <w:tcW w:w="3276" w:type="dxa"/>
            <w:tcBorders>
              <w:tl2br w:val="nil"/>
              <w:tr2bl w:val="nil"/>
            </w:tcBorders>
            <w:vAlign w:val="center"/>
          </w:tcPr>
          <w:p>
            <w:pPr>
              <w:keepNext w:val="0"/>
              <w:keepLines w:val="0"/>
              <w:pageBreakBefore w:val="0"/>
              <w:kinsoku/>
              <w:wordWrap/>
              <w:overflowPunct/>
              <w:topLinePunct w:val="0"/>
              <w:autoSpaceDE/>
              <w:autoSpaceDN/>
              <w:bidi w:val="0"/>
              <w:spacing w:line="240" w:lineRule="auto"/>
              <w:jc w:val="center"/>
              <w:textAlignment w:val="auto"/>
              <w:rPr>
                <w:rFonts w:hint="eastAsia" w:ascii="Times New Roman" w:hAnsi="Times New Roman" w:eastAsia="宋体" w:cs="宋体"/>
                <w:color w:val="auto"/>
                <w:sz w:val="21"/>
                <w:szCs w:val="21"/>
                <w:u w:val="none" w:color="auto"/>
              </w:rPr>
            </w:pPr>
            <w:r>
              <w:rPr>
                <w:rFonts w:hint="default" w:ascii="Times New Roman" w:hAnsi="Times New Roman" w:eastAsia="宋体" w:cs="Times New Roman"/>
                <w:color w:val="auto"/>
                <w:sz w:val="21"/>
                <w:szCs w:val="21"/>
                <w:u w:val="none" w:color="auto"/>
              </w:rPr>
              <w:t>《生活垃圾填埋场污染物控制标准》（GB16899-2001）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36" w:type="dxa"/>
            <w:vMerge w:val="continue"/>
            <w:tcBorders>
              <w:tl2br w:val="nil"/>
              <w:tr2bl w:val="nil"/>
            </w:tcBorders>
            <w:vAlign w:val="center"/>
          </w:tcPr>
          <w:p>
            <w:pPr>
              <w:keepNext w:val="0"/>
              <w:keepLines w:val="0"/>
              <w:pageBreakBefore w:val="0"/>
              <w:kinsoku/>
              <w:wordWrap/>
              <w:overflowPunct/>
              <w:topLinePunct w:val="0"/>
              <w:autoSpaceDE/>
              <w:autoSpaceDN/>
              <w:bidi w:val="0"/>
              <w:adjustRightInd w:val="0"/>
              <w:snapToGrid w:val="0"/>
              <w:spacing w:line="360" w:lineRule="exact"/>
              <w:jc w:val="center"/>
              <w:textAlignment w:val="auto"/>
              <w:rPr>
                <w:rFonts w:hint="eastAsia" w:ascii="Times New Roman" w:hAnsi="Times New Roman" w:eastAsia="宋体" w:cs="宋体"/>
                <w:color w:val="auto"/>
                <w:sz w:val="21"/>
                <w:szCs w:val="21"/>
                <w:u w:val="none" w:color="auto"/>
              </w:rPr>
            </w:pPr>
          </w:p>
        </w:tc>
        <w:tc>
          <w:tcPr>
            <w:tcW w:w="1512" w:type="dxa"/>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Cs/>
                <w:color w:val="auto"/>
                <w:spacing w:val="-10"/>
                <w:sz w:val="21"/>
                <w:szCs w:val="21"/>
                <w:u w:val="none" w:color="auto"/>
                <w:vertAlign w:val="baseline"/>
                <w:lang w:val="en-US" w:eastAsia="zh-CN"/>
              </w:rPr>
            </w:pPr>
            <w:r>
              <w:rPr>
                <w:rFonts w:hint="eastAsia" w:ascii="Times New Roman" w:hAnsi="Times New Roman" w:eastAsia="宋体" w:cs="Times New Roman"/>
                <w:bCs/>
                <w:color w:val="auto"/>
                <w:spacing w:val="-10"/>
                <w:sz w:val="21"/>
                <w:szCs w:val="21"/>
                <w:u w:val="none" w:color="auto"/>
                <w:vertAlign w:val="baseline"/>
                <w:lang w:val="en-US" w:eastAsia="zh-CN"/>
              </w:rPr>
              <w:t>预处理、拆解工序</w:t>
            </w:r>
          </w:p>
        </w:tc>
        <w:tc>
          <w:tcPr>
            <w:tcW w:w="148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Cs/>
                <w:color w:val="auto"/>
                <w:spacing w:val="-10"/>
                <w:sz w:val="21"/>
                <w:szCs w:val="21"/>
                <w:u w:val="none" w:color="auto"/>
                <w:vertAlign w:val="baseline"/>
                <w:lang w:val="en-US" w:eastAsia="zh-CN"/>
              </w:rPr>
            </w:pPr>
            <w:r>
              <w:rPr>
                <w:rFonts w:hint="eastAsia" w:ascii="Times New Roman" w:hAnsi="Times New Roman" w:eastAsia="宋体" w:cs="Times New Roman"/>
                <w:bCs/>
                <w:color w:val="auto"/>
                <w:spacing w:val="-10"/>
                <w:sz w:val="21"/>
                <w:szCs w:val="21"/>
                <w:u w:val="none" w:color="auto"/>
                <w:vertAlign w:val="baseline"/>
                <w:lang w:val="en-US" w:eastAsia="zh-CN"/>
              </w:rPr>
              <w:t>废安全气囊、废动力电池组、不可利用材料</w:t>
            </w:r>
          </w:p>
        </w:tc>
        <w:tc>
          <w:tcPr>
            <w:tcW w:w="2160" w:type="dxa"/>
            <w:tcBorders>
              <w:tl2br w:val="nil"/>
              <w:tr2bl w:val="nil"/>
            </w:tcBorders>
            <w:vAlign w:val="center"/>
          </w:tcPr>
          <w:p>
            <w:pPr>
              <w:pStyle w:val="15"/>
              <w:keepNext w:val="0"/>
              <w:keepLines w:val="0"/>
              <w:pageBreakBefore w:val="0"/>
              <w:widowControl w:val="0"/>
              <w:kinsoku/>
              <w:wordWrap/>
              <w:overflowPunct/>
              <w:topLinePunct w:val="0"/>
              <w:autoSpaceDE/>
              <w:autoSpaceDN/>
              <w:bidi w:val="0"/>
              <w:adjustRightInd/>
              <w:snapToGrid/>
              <w:spacing w:before="0" w:beforeAutospacing="0" w:after="0" w:afterAutospacing="0" w:line="240" w:lineRule="auto"/>
              <w:jc w:val="center"/>
              <w:textAlignment w:val="auto"/>
              <w:rPr>
                <w:rFonts w:hint="default" w:ascii="Times New Roman" w:hAnsi="Times New Roman" w:eastAsia="宋体" w:cs="Times New Roman"/>
                <w:color w:val="auto"/>
                <w:kern w:val="2"/>
                <w:sz w:val="21"/>
                <w:szCs w:val="21"/>
                <w:u w:val="none" w:color="auto"/>
                <w:lang w:val="en-US" w:eastAsia="zh-CN" w:bidi="ar"/>
              </w:rPr>
            </w:pPr>
            <w:r>
              <w:rPr>
                <w:rFonts w:hint="eastAsia" w:ascii="Times New Roman" w:hAnsi="Times New Roman" w:eastAsia="宋体" w:cs="Times New Roman"/>
                <w:color w:val="auto"/>
                <w:kern w:val="2"/>
                <w:sz w:val="21"/>
                <w:szCs w:val="21"/>
                <w:u w:val="none" w:color="auto"/>
                <w:lang w:val="en-US" w:eastAsia="zh-CN" w:bidi="ar"/>
              </w:rPr>
              <w:t>经收集后暂存于一般固废暂存间，做好防风、防雨、防晒等措施，分类收集存放</w:t>
            </w:r>
          </w:p>
        </w:tc>
        <w:tc>
          <w:tcPr>
            <w:tcW w:w="327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1"/>
                <w:szCs w:val="21"/>
                <w:u w:val="none" w:color="auto"/>
              </w:rPr>
            </w:pPr>
            <w:r>
              <w:rPr>
                <w:rFonts w:hint="default" w:ascii="Times New Roman" w:hAnsi="Times New Roman" w:eastAsia="宋体" w:cs="Times New Roman"/>
                <w:color w:val="auto"/>
                <w:sz w:val="21"/>
                <w:szCs w:val="21"/>
                <w:u w:val="none" w:color="auto"/>
              </w:rPr>
              <w:t>《一般工业固体废物贮存和填埋污染控制标准》(GB18599-2020)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36" w:type="dxa"/>
            <w:vMerge w:val="continue"/>
            <w:tcBorders>
              <w:tl2br w:val="nil"/>
              <w:tr2bl w:val="nil"/>
            </w:tcBorders>
            <w:vAlign w:val="center"/>
          </w:tcPr>
          <w:p>
            <w:pPr>
              <w:keepNext w:val="0"/>
              <w:keepLines w:val="0"/>
              <w:pageBreakBefore w:val="0"/>
              <w:kinsoku/>
              <w:wordWrap/>
              <w:overflowPunct/>
              <w:topLinePunct w:val="0"/>
              <w:autoSpaceDE/>
              <w:autoSpaceDN/>
              <w:bidi w:val="0"/>
              <w:adjustRightInd w:val="0"/>
              <w:snapToGrid w:val="0"/>
              <w:spacing w:line="360" w:lineRule="exact"/>
              <w:jc w:val="center"/>
              <w:textAlignment w:val="auto"/>
              <w:rPr>
                <w:rFonts w:ascii="Times New Roman" w:hAnsi="Times New Roman" w:eastAsia="宋体"/>
                <w:color w:val="auto"/>
                <w:sz w:val="21"/>
                <w:szCs w:val="21"/>
                <w:u w:val="none" w:color="auto"/>
              </w:rPr>
            </w:pPr>
          </w:p>
        </w:tc>
        <w:tc>
          <w:tcPr>
            <w:tcW w:w="1512"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olor w:val="auto"/>
                <w:sz w:val="21"/>
                <w:szCs w:val="21"/>
                <w:u w:val="none" w:color="auto"/>
                <w:lang w:val="en-US"/>
              </w:rPr>
            </w:pPr>
          </w:p>
        </w:tc>
        <w:tc>
          <w:tcPr>
            <w:tcW w:w="1488"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olor w:val="auto"/>
                <w:sz w:val="21"/>
                <w:szCs w:val="21"/>
                <w:u w:val="none" w:color="auto"/>
                <w:lang w:val="en-US" w:eastAsia="zh-CN"/>
              </w:rPr>
            </w:pPr>
            <w:r>
              <w:rPr>
                <w:rFonts w:hint="eastAsia" w:ascii="Times New Roman" w:hAnsi="Times New Roman" w:eastAsia="宋体"/>
                <w:color w:val="auto"/>
                <w:sz w:val="21"/>
                <w:szCs w:val="21"/>
                <w:u w:val="none" w:color="auto"/>
                <w:lang w:val="en-US" w:eastAsia="zh-CN"/>
              </w:rPr>
              <w:t>废蓄电池、废尾气净化装置（含催化剂）、废线路板、废油液、废冷却液、废空调制冷剂、废液化气罐、含铅部件、含汞开关、</w:t>
            </w:r>
            <w:r>
              <w:rPr>
                <w:rFonts w:hint="eastAsia"/>
                <w:color w:val="auto"/>
                <w:sz w:val="21"/>
                <w:szCs w:val="21"/>
                <w:u w:val="none" w:color="auto"/>
                <w:lang w:val="en-US" w:eastAsia="zh-CN"/>
              </w:rPr>
              <w:t>油水分离器废油</w:t>
            </w:r>
            <w:r>
              <w:rPr>
                <w:rFonts w:hint="eastAsia" w:ascii="Times New Roman" w:hAnsi="Times New Roman" w:eastAsia="宋体"/>
                <w:color w:val="auto"/>
                <w:sz w:val="21"/>
                <w:szCs w:val="21"/>
                <w:u w:val="none" w:color="auto"/>
                <w:lang w:val="en-US" w:eastAsia="zh-CN"/>
              </w:rPr>
              <w:t>、废含油手套抹布</w:t>
            </w:r>
            <w:r>
              <w:rPr>
                <w:rFonts w:hint="eastAsia"/>
                <w:color w:val="auto"/>
                <w:sz w:val="21"/>
                <w:szCs w:val="21"/>
                <w:u w:val="none" w:color="auto"/>
                <w:lang w:val="en-US" w:eastAsia="zh-CN"/>
              </w:rPr>
              <w:t>、污泥</w:t>
            </w:r>
          </w:p>
        </w:tc>
        <w:tc>
          <w:tcPr>
            <w:tcW w:w="2160" w:type="dxa"/>
            <w:tcBorders>
              <w:tl2br w:val="nil"/>
              <w:tr2bl w:val="nil"/>
            </w:tcBorders>
            <w:vAlign w:val="center"/>
          </w:tcPr>
          <w:p>
            <w:pPr>
              <w:pStyle w:val="15"/>
              <w:keepNext w:val="0"/>
              <w:keepLines w:val="0"/>
              <w:pageBreakBefore w:val="0"/>
              <w:widowControl w:val="0"/>
              <w:kinsoku/>
              <w:wordWrap/>
              <w:overflowPunct/>
              <w:topLinePunct w:val="0"/>
              <w:autoSpaceDE/>
              <w:autoSpaceDN/>
              <w:bidi w:val="0"/>
              <w:adjustRightInd/>
              <w:snapToGrid/>
              <w:spacing w:before="0" w:beforeAutospacing="0" w:after="0" w:afterAutospacing="0" w:line="240" w:lineRule="auto"/>
              <w:jc w:val="center"/>
              <w:textAlignment w:val="auto"/>
              <w:rPr>
                <w:rFonts w:ascii="Times New Roman" w:hAnsi="Times New Roman" w:eastAsia="宋体"/>
                <w:color w:val="auto"/>
                <w:sz w:val="21"/>
                <w:szCs w:val="21"/>
                <w:u w:val="none" w:color="auto"/>
              </w:rPr>
            </w:pPr>
            <w:r>
              <w:rPr>
                <w:rFonts w:hint="eastAsia" w:ascii="Times New Roman" w:hAnsi="Times New Roman" w:eastAsia="宋体" w:cs="Times New Roman"/>
                <w:color w:val="auto"/>
                <w:kern w:val="2"/>
                <w:sz w:val="21"/>
                <w:szCs w:val="21"/>
                <w:u w:val="none" w:color="auto"/>
                <w:lang w:eastAsia="zh-CN" w:bidi="ar"/>
              </w:rPr>
              <w:t>经收集后分类暂存于危险废物暂存间（</w:t>
            </w:r>
            <w:r>
              <w:rPr>
                <w:rFonts w:hint="eastAsia" w:ascii="Times New Roman" w:hAnsi="Times New Roman" w:cs="Times New Roman"/>
                <w:color w:val="auto"/>
                <w:kern w:val="2"/>
                <w:sz w:val="21"/>
                <w:szCs w:val="21"/>
                <w:u w:val="none" w:color="auto"/>
                <w:lang w:val="en-US" w:eastAsia="zh-CN" w:bidi="ar"/>
              </w:rPr>
              <w:t>35</w:t>
            </w:r>
            <w:r>
              <w:rPr>
                <w:rFonts w:hint="eastAsia" w:ascii="Times New Roman" w:hAnsi="Times New Roman" w:eastAsia="宋体" w:cs="Times New Roman"/>
                <w:color w:val="auto"/>
                <w:kern w:val="2"/>
                <w:sz w:val="21"/>
                <w:szCs w:val="21"/>
                <w:u w:val="none" w:color="auto"/>
                <w:lang w:val="en-US" w:eastAsia="zh-CN" w:bidi="ar"/>
              </w:rPr>
              <w:t>0m</w:t>
            </w:r>
            <w:r>
              <w:rPr>
                <w:rFonts w:hint="eastAsia" w:ascii="Times New Roman" w:hAnsi="Times New Roman" w:eastAsia="宋体" w:cs="Times New Roman"/>
                <w:color w:val="auto"/>
                <w:kern w:val="2"/>
                <w:sz w:val="21"/>
                <w:szCs w:val="21"/>
                <w:u w:val="none" w:color="auto"/>
                <w:vertAlign w:val="superscript"/>
                <w:lang w:val="en-US" w:eastAsia="zh-CN" w:bidi="ar"/>
              </w:rPr>
              <w:t>2</w:t>
            </w:r>
            <w:r>
              <w:rPr>
                <w:rFonts w:hint="eastAsia" w:ascii="Times New Roman" w:hAnsi="Times New Roman" w:eastAsia="宋体" w:cs="Times New Roman"/>
                <w:color w:val="auto"/>
                <w:kern w:val="2"/>
                <w:sz w:val="21"/>
                <w:szCs w:val="21"/>
                <w:u w:val="none" w:color="auto"/>
                <w:lang w:eastAsia="zh-CN" w:bidi="ar"/>
              </w:rPr>
              <w:t>），</w:t>
            </w:r>
            <w:r>
              <w:rPr>
                <w:rFonts w:hint="eastAsia" w:ascii="Times New Roman" w:hAnsi="Times New Roman" w:eastAsia="宋体" w:cs="Times New Roman"/>
                <w:color w:val="auto"/>
                <w:kern w:val="2"/>
                <w:sz w:val="21"/>
                <w:szCs w:val="21"/>
                <w:u w:val="none" w:color="auto"/>
                <w:lang w:val="en-US" w:eastAsia="zh-CN" w:bidi="ar"/>
              </w:rPr>
              <w:t>做好防雨淋、防泄漏、防渗漏等措施，张贴危险废物标识标牌，建立危险废物管理台账</w:t>
            </w:r>
            <w:r>
              <w:rPr>
                <w:rFonts w:hint="eastAsia" w:ascii="Times New Roman" w:hAnsi="Times New Roman" w:eastAsia="宋体" w:cs="Times New Roman"/>
                <w:color w:val="auto"/>
                <w:kern w:val="2"/>
                <w:sz w:val="21"/>
                <w:szCs w:val="21"/>
                <w:u w:val="none" w:color="auto"/>
                <w:lang w:eastAsia="zh-CN" w:bidi="ar"/>
              </w:rPr>
              <w:t>，后期交由有资质的单位进行处理</w:t>
            </w:r>
          </w:p>
        </w:tc>
        <w:tc>
          <w:tcPr>
            <w:tcW w:w="3276" w:type="dxa"/>
            <w:tcBorders>
              <w:tl2br w:val="nil"/>
              <w:tr2bl w:val="nil"/>
            </w:tcBorders>
            <w:vAlign w:val="center"/>
          </w:tcPr>
          <w:p>
            <w:pPr>
              <w:keepNext w:val="0"/>
              <w:keepLines w:val="0"/>
              <w:pageBreakBefore w:val="0"/>
              <w:kinsoku/>
              <w:wordWrap/>
              <w:overflowPunct/>
              <w:topLinePunct w:val="0"/>
              <w:autoSpaceDE/>
              <w:autoSpaceDN/>
              <w:bidi w:val="0"/>
              <w:spacing w:line="240" w:lineRule="auto"/>
              <w:jc w:val="center"/>
              <w:textAlignment w:val="auto"/>
              <w:rPr>
                <w:rFonts w:hint="eastAsia" w:ascii="Times New Roman" w:hAnsi="Times New Roman" w:eastAsia="宋体" w:cs="宋体"/>
                <w:color w:val="auto"/>
                <w:sz w:val="21"/>
                <w:szCs w:val="21"/>
                <w:u w:val="none" w:color="auto"/>
              </w:rPr>
            </w:pPr>
            <w:r>
              <w:rPr>
                <w:rFonts w:hint="default" w:ascii="Times New Roman" w:hAnsi="Times New Roman" w:eastAsia="宋体" w:cs="Times New Roman"/>
                <w:color w:val="auto"/>
                <w:sz w:val="21"/>
                <w:szCs w:val="21"/>
                <w:u w:val="none" w:color="auto"/>
                <w:lang w:val="en-US" w:eastAsia="zh-CN"/>
              </w:rPr>
              <w:t>《危险废物贮存污染控制标准》（G18597-20</w:t>
            </w:r>
            <w:r>
              <w:rPr>
                <w:rFonts w:hint="eastAsia" w:ascii="Times New Roman" w:hAnsi="Times New Roman" w:eastAsia="宋体" w:cs="Times New Roman"/>
                <w:color w:val="auto"/>
                <w:sz w:val="21"/>
                <w:szCs w:val="21"/>
                <w:u w:val="none" w:color="auto"/>
                <w:lang w:val="en-US" w:eastAsia="zh-CN"/>
              </w:rPr>
              <w:t>23</w:t>
            </w:r>
            <w:r>
              <w:rPr>
                <w:rFonts w:hint="default" w:ascii="Times New Roman" w:hAnsi="Times New Roman" w:eastAsia="宋体" w:cs="Times New Roman"/>
                <w:color w:val="auto"/>
                <w:sz w:val="21"/>
                <w:szCs w:val="21"/>
                <w:u w:val="none" w:color="auto"/>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1236" w:type="dxa"/>
            <w:tcBorders>
              <w:tl2br w:val="nil"/>
              <w:tr2bl w:val="nil"/>
            </w:tcBorders>
            <w:vAlign w:val="center"/>
          </w:tcPr>
          <w:p>
            <w:pPr>
              <w:keepNext w:val="0"/>
              <w:keepLines w:val="0"/>
              <w:pageBreakBefore w:val="0"/>
              <w:kinsoku/>
              <w:wordWrap/>
              <w:overflowPunct/>
              <w:topLinePunct w:val="0"/>
              <w:autoSpaceDE/>
              <w:autoSpaceDN/>
              <w:bidi w:val="0"/>
              <w:adjustRightInd w:val="0"/>
              <w:snapToGrid w:val="0"/>
              <w:spacing w:line="360" w:lineRule="exact"/>
              <w:jc w:val="center"/>
              <w:textAlignment w:val="auto"/>
              <w:rPr>
                <w:rFonts w:hint="eastAsia" w:ascii="Times New Roman" w:hAnsi="Times New Roman" w:eastAsia="宋体" w:cs="宋体"/>
                <w:color w:val="auto"/>
                <w:sz w:val="21"/>
                <w:szCs w:val="21"/>
                <w:u w:val="none" w:color="auto"/>
              </w:rPr>
            </w:pPr>
            <w:r>
              <w:rPr>
                <w:rFonts w:hint="eastAsia" w:ascii="Times New Roman" w:hAnsi="Times New Roman" w:eastAsia="宋体" w:cs="宋体"/>
                <w:color w:val="auto"/>
                <w:sz w:val="21"/>
                <w:szCs w:val="21"/>
                <w:u w:val="none" w:color="auto"/>
              </w:rPr>
              <w:t>土壤及地下水污染防治措施</w:t>
            </w:r>
          </w:p>
        </w:tc>
        <w:tc>
          <w:tcPr>
            <w:tcW w:w="8436" w:type="dxa"/>
            <w:gridSpan w:val="4"/>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360" w:lineRule="auto"/>
              <w:ind w:firstLine="420" w:firstLineChars="200"/>
              <w:jc w:val="center"/>
              <w:textAlignment w:val="auto"/>
              <w:rPr>
                <w:rFonts w:hint="eastAsia"/>
                <w:b/>
                <w:bCs/>
                <w:color w:val="auto"/>
                <w:sz w:val="21"/>
                <w:szCs w:val="21"/>
                <w:u w:val="none" w:color="auto"/>
                <w:lang w:val="en-US" w:eastAsia="zh-CN"/>
              </w:rPr>
            </w:pPr>
            <w:r>
              <w:rPr>
                <w:rFonts w:hint="eastAsia"/>
                <w:color w:val="auto"/>
                <w:sz w:val="21"/>
                <w:szCs w:val="21"/>
                <w:u w:val="none" w:color="auto"/>
                <w:lang w:val="en-US" w:eastAsia="zh-CN"/>
              </w:rPr>
              <w:t>结合项目污染特征因子及其污染控制难易程度及其防污特性等，对本项目场地提出防渗分区要求，分区防渗措施见下表。</w:t>
            </w:r>
          </w:p>
          <w:p>
            <w:pPr>
              <w:keepNext w:val="0"/>
              <w:keepLines w:val="0"/>
              <w:pageBreakBefore w:val="0"/>
              <w:kinsoku/>
              <w:wordWrap/>
              <w:overflowPunct/>
              <w:topLinePunct w:val="0"/>
              <w:autoSpaceDE/>
              <w:autoSpaceDN/>
              <w:bidi w:val="0"/>
              <w:adjustRightInd w:val="0"/>
              <w:snapToGrid w:val="0"/>
              <w:spacing w:line="360" w:lineRule="exact"/>
              <w:jc w:val="center"/>
              <w:textAlignment w:val="auto"/>
              <w:rPr>
                <w:rFonts w:hint="eastAsia"/>
                <w:b/>
                <w:bCs/>
                <w:color w:val="auto"/>
                <w:sz w:val="21"/>
                <w:szCs w:val="21"/>
                <w:u w:val="none" w:color="auto"/>
                <w:lang w:val="en-US" w:eastAsia="zh-CN"/>
              </w:rPr>
            </w:pPr>
            <w:r>
              <w:rPr>
                <w:rFonts w:hint="eastAsia"/>
                <w:b/>
                <w:bCs/>
                <w:color w:val="auto"/>
                <w:sz w:val="21"/>
                <w:szCs w:val="21"/>
                <w:u w:val="none" w:color="auto"/>
                <w:lang w:val="en-US" w:eastAsia="zh-CN"/>
              </w:rPr>
              <w:t>表5-1 本项目分区防渗方案及防渗措施一览表</w:t>
            </w:r>
          </w:p>
          <w:tbl>
            <w:tblPr>
              <w:tblStyle w:val="19"/>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426"/>
              <w:gridCol w:w="865"/>
              <w:gridCol w:w="2542"/>
              <w:gridCol w:w="1750"/>
              <w:gridCol w:w="260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49"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u w:val="none" w:color="auto"/>
                      <w:vertAlign w:val="baseline"/>
                      <w:lang w:val="en-US" w:eastAsia="zh-CN"/>
                    </w:rPr>
                  </w:pPr>
                  <w:r>
                    <w:rPr>
                      <w:rFonts w:hint="eastAsia" w:cs="Times New Roman"/>
                      <w:b w:val="0"/>
                      <w:bCs w:val="0"/>
                      <w:color w:val="auto"/>
                      <w:sz w:val="21"/>
                      <w:szCs w:val="21"/>
                      <w:u w:val="none" w:color="auto"/>
                      <w:vertAlign w:val="baseline"/>
                      <w:lang w:val="en-US" w:eastAsia="zh-CN"/>
                    </w:rPr>
                    <w:t>编号</w:t>
                  </w:r>
                </w:p>
              </w:tc>
              <w:tc>
                <w:tcPr>
                  <w:tcW w:w="531"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u w:val="none" w:color="auto"/>
                      <w:vertAlign w:val="baseline"/>
                      <w:lang w:val="en-US" w:eastAsia="zh-CN"/>
                    </w:rPr>
                  </w:pPr>
                  <w:r>
                    <w:rPr>
                      <w:rFonts w:hint="eastAsia" w:cs="Times New Roman"/>
                      <w:b w:val="0"/>
                      <w:bCs w:val="0"/>
                      <w:color w:val="auto"/>
                      <w:sz w:val="21"/>
                      <w:szCs w:val="21"/>
                      <w:u w:val="none" w:color="auto"/>
                      <w:vertAlign w:val="baseline"/>
                      <w:lang w:val="en-US" w:eastAsia="zh-CN"/>
                    </w:rPr>
                    <w:t>防治区分区</w:t>
                  </w:r>
                </w:p>
              </w:tc>
              <w:tc>
                <w:tcPr>
                  <w:tcW w:w="1554"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u w:val="none" w:color="auto"/>
                      <w:vertAlign w:val="baseline"/>
                      <w:lang w:val="en-US" w:eastAsia="zh-CN"/>
                    </w:rPr>
                  </w:pPr>
                  <w:r>
                    <w:rPr>
                      <w:rFonts w:hint="default" w:ascii="Times New Roman" w:hAnsi="Times New Roman" w:eastAsia="宋体" w:cs="Times New Roman"/>
                      <w:b w:val="0"/>
                      <w:bCs w:val="0"/>
                      <w:color w:val="auto"/>
                      <w:sz w:val="21"/>
                      <w:szCs w:val="21"/>
                      <w:u w:val="none" w:color="auto"/>
                      <w:vertAlign w:val="baseline"/>
                      <w:lang w:val="en-US" w:eastAsia="zh-CN"/>
                    </w:rPr>
                    <w:t>装置或构筑物名称</w:t>
                  </w:r>
                </w:p>
              </w:tc>
              <w:tc>
                <w:tcPr>
                  <w:tcW w:w="1070"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u w:val="none" w:color="auto"/>
                      <w:vertAlign w:val="baseline"/>
                      <w:lang w:val="en-US" w:eastAsia="zh-CN"/>
                    </w:rPr>
                  </w:pPr>
                  <w:r>
                    <w:rPr>
                      <w:rFonts w:hint="default" w:ascii="Times New Roman" w:hAnsi="Times New Roman" w:eastAsia="宋体" w:cs="Times New Roman"/>
                      <w:b w:val="0"/>
                      <w:bCs w:val="0"/>
                      <w:color w:val="auto"/>
                      <w:sz w:val="21"/>
                      <w:szCs w:val="21"/>
                      <w:u w:val="none" w:color="auto"/>
                      <w:vertAlign w:val="baseline"/>
                      <w:lang w:val="en-US" w:eastAsia="zh-CN"/>
                    </w:rPr>
                    <w:t>防渗区域</w:t>
                  </w:r>
                </w:p>
              </w:tc>
              <w:tc>
                <w:tcPr>
                  <w:tcW w:w="1593"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u w:val="none" w:color="auto"/>
                      <w:vertAlign w:val="baseline"/>
                      <w:lang w:val="en-US" w:eastAsia="zh-CN"/>
                    </w:rPr>
                  </w:pPr>
                  <w:r>
                    <w:rPr>
                      <w:rFonts w:hint="default" w:ascii="Times New Roman" w:hAnsi="Times New Roman" w:eastAsia="宋体" w:cs="Times New Roman"/>
                      <w:b w:val="0"/>
                      <w:bCs w:val="0"/>
                      <w:color w:val="auto"/>
                      <w:sz w:val="21"/>
                      <w:szCs w:val="21"/>
                      <w:u w:val="none" w:color="auto"/>
                      <w:vertAlign w:val="baseline"/>
                      <w:lang w:val="en-US" w:eastAsia="zh-CN"/>
                    </w:rPr>
                    <w:t>防渗要求</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49"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u w:val="none" w:color="auto"/>
                      <w:vertAlign w:val="baseline"/>
                      <w:lang w:val="en-US" w:eastAsia="zh-CN"/>
                    </w:rPr>
                  </w:pPr>
                  <w:r>
                    <w:rPr>
                      <w:rFonts w:hint="eastAsia" w:cs="Times New Roman"/>
                      <w:b w:val="0"/>
                      <w:bCs w:val="0"/>
                      <w:color w:val="auto"/>
                      <w:sz w:val="21"/>
                      <w:szCs w:val="21"/>
                      <w:u w:val="none" w:color="auto"/>
                      <w:vertAlign w:val="baseline"/>
                      <w:lang w:val="en-US" w:eastAsia="zh-CN"/>
                    </w:rPr>
                    <w:t>1</w:t>
                  </w:r>
                </w:p>
              </w:tc>
              <w:tc>
                <w:tcPr>
                  <w:tcW w:w="531" w:type="pct"/>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u w:val="none" w:color="auto"/>
                      <w:vertAlign w:val="baseline"/>
                      <w:lang w:val="en-US" w:eastAsia="zh-CN"/>
                    </w:rPr>
                  </w:pPr>
                  <w:r>
                    <w:rPr>
                      <w:rFonts w:hint="default" w:ascii="Times New Roman" w:hAnsi="Times New Roman" w:eastAsia="宋体" w:cs="Times New Roman"/>
                      <w:b w:val="0"/>
                      <w:bCs w:val="0"/>
                      <w:color w:val="auto"/>
                      <w:sz w:val="21"/>
                      <w:szCs w:val="21"/>
                      <w:u w:val="none" w:color="auto"/>
                      <w:vertAlign w:val="baseline"/>
                      <w:lang w:val="en-US" w:eastAsia="zh-CN"/>
                    </w:rPr>
                    <w:t>重点防渗区</w:t>
                  </w:r>
                </w:p>
              </w:tc>
              <w:tc>
                <w:tcPr>
                  <w:tcW w:w="1554"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u w:val="none" w:color="auto"/>
                      <w:vertAlign w:val="baseline"/>
                      <w:lang w:val="en-US" w:eastAsia="zh-CN"/>
                    </w:rPr>
                  </w:pPr>
                  <w:r>
                    <w:rPr>
                      <w:rFonts w:hint="eastAsia" w:cs="Times New Roman"/>
                      <w:b w:val="0"/>
                      <w:bCs w:val="0"/>
                      <w:color w:val="auto"/>
                      <w:sz w:val="21"/>
                      <w:szCs w:val="21"/>
                      <w:u w:val="none" w:color="auto"/>
                      <w:vertAlign w:val="baseline"/>
                      <w:lang w:val="en-US" w:eastAsia="zh-CN"/>
                    </w:rPr>
                    <w:t>污水处理站、初期雨水收集池</w:t>
                  </w:r>
                </w:p>
              </w:tc>
              <w:tc>
                <w:tcPr>
                  <w:tcW w:w="1070"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u w:val="none" w:color="auto"/>
                      <w:vertAlign w:val="baseline"/>
                      <w:lang w:val="en-US" w:eastAsia="zh-CN"/>
                    </w:rPr>
                  </w:pPr>
                  <w:r>
                    <w:rPr>
                      <w:rFonts w:hint="eastAsia" w:cs="Times New Roman"/>
                      <w:b w:val="0"/>
                      <w:bCs w:val="0"/>
                      <w:color w:val="auto"/>
                      <w:sz w:val="21"/>
                      <w:szCs w:val="21"/>
                      <w:u w:val="none" w:color="auto"/>
                      <w:vertAlign w:val="baseline"/>
                      <w:lang w:val="en-US" w:eastAsia="zh-CN"/>
                    </w:rPr>
                    <w:t>底部、水池四周</w:t>
                  </w:r>
                </w:p>
              </w:tc>
              <w:tc>
                <w:tcPr>
                  <w:tcW w:w="1593" w:type="pct"/>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u w:val="none" w:color="auto"/>
                      <w:vertAlign w:val="baseline"/>
                      <w:lang w:val="en-US" w:eastAsia="zh-CN"/>
                    </w:rPr>
                  </w:pPr>
                  <w:r>
                    <w:rPr>
                      <w:rFonts w:hint="default" w:ascii="Times New Roman" w:hAnsi="Times New Roman" w:eastAsia="宋体" w:cs="Times New Roman"/>
                      <w:b w:val="0"/>
                      <w:bCs w:val="0"/>
                      <w:color w:val="auto"/>
                      <w:sz w:val="21"/>
                      <w:szCs w:val="21"/>
                      <w:u w:val="none" w:color="auto"/>
                      <w:vertAlign w:val="baseline"/>
                      <w:lang w:val="en-US" w:eastAsia="zh-CN"/>
                    </w:rPr>
                    <w:t>等效黏土防渗层 Mb≧6.0m，K≦1</w:t>
                  </w:r>
                  <w:r>
                    <w:rPr>
                      <w:rFonts w:hint="eastAsia" w:cs="Times New Roman"/>
                      <w:b w:val="0"/>
                      <w:bCs w:val="0"/>
                      <w:color w:val="auto"/>
                      <w:sz w:val="21"/>
                      <w:szCs w:val="21"/>
                      <w:u w:val="none" w:color="auto"/>
                      <w:vertAlign w:val="baseline"/>
                      <w:lang w:val="en-US" w:eastAsia="zh-CN"/>
                    </w:rPr>
                    <w:t>×</w:t>
                  </w:r>
                  <w:r>
                    <w:rPr>
                      <w:rFonts w:hint="default" w:ascii="Times New Roman" w:hAnsi="Times New Roman" w:eastAsia="宋体" w:cs="Times New Roman"/>
                      <w:b w:val="0"/>
                      <w:bCs w:val="0"/>
                      <w:color w:val="auto"/>
                      <w:sz w:val="21"/>
                      <w:szCs w:val="21"/>
                      <w:u w:val="none" w:color="auto"/>
                      <w:vertAlign w:val="baseline"/>
                      <w:lang w:val="en-US" w:eastAsia="zh-CN"/>
                    </w:rPr>
                    <w:t>10</w:t>
                  </w:r>
                  <w:r>
                    <w:rPr>
                      <w:rFonts w:hint="default" w:ascii="Times New Roman" w:hAnsi="Times New Roman" w:eastAsia="宋体" w:cs="Times New Roman"/>
                      <w:b w:val="0"/>
                      <w:bCs w:val="0"/>
                      <w:color w:val="auto"/>
                      <w:sz w:val="21"/>
                      <w:szCs w:val="21"/>
                      <w:u w:val="none" w:color="auto"/>
                      <w:vertAlign w:val="superscript"/>
                      <w:lang w:val="en-US" w:eastAsia="zh-CN"/>
                    </w:rPr>
                    <w:t>-7</w:t>
                  </w:r>
                  <w:r>
                    <w:rPr>
                      <w:rFonts w:hint="default" w:ascii="Times New Roman" w:hAnsi="Times New Roman" w:eastAsia="宋体" w:cs="Times New Roman"/>
                      <w:b w:val="0"/>
                      <w:bCs w:val="0"/>
                      <w:color w:val="auto"/>
                      <w:sz w:val="21"/>
                      <w:szCs w:val="21"/>
                      <w:u w:val="none" w:color="auto"/>
                      <w:vertAlign w:val="baseline"/>
                      <w:lang w:val="en-US" w:eastAsia="zh-CN"/>
                    </w:rPr>
                    <w:t xml:space="preserve"> ；或参照执行GBI6889 执行</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49"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u w:val="none" w:color="auto"/>
                      <w:vertAlign w:val="baseline"/>
                      <w:lang w:val="en-US" w:eastAsia="zh-CN"/>
                    </w:rPr>
                  </w:pPr>
                  <w:r>
                    <w:rPr>
                      <w:rFonts w:hint="eastAsia" w:cs="Times New Roman"/>
                      <w:b w:val="0"/>
                      <w:bCs w:val="0"/>
                      <w:color w:val="auto"/>
                      <w:sz w:val="21"/>
                      <w:szCs w:val="21"/>
                      <w:u w:val="none" w:color="auto"/>
                      <w:vertAlign w:val="baseline"/>
                      <w:lang w:val="en-US" w:eastAsia="zh-CN"/>
                    </w:rPr>
                    <w:t>2</w:t>
                  </w:r>
                </w:p>
              </w:tc>
              <w:tc>
                <w:tcPr>
                  <w:tcW w:w="531"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auto"/>
                      <w:sz w:val="21"/>
                      <w:szCs w:val="21"/>
                      <w:u w:val="none" w:color="auto"/>
                      <w:vertAlign w:val="baseline"/>
                      <w:lang w:val="en-US" w:eastAsia="zh-CN"/>
                    </w:rPr>
                  </w:pPr>
                </w:p>
              </w:tc>
              <w:tc>
                <w:tcPr>
                  <w:tcW w:w="1554"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auto"/>
                      <w:sz w:val="21"/>
                      <w:szCs w:val="21"/>
                      <w:u w:val="none" w:color="auto"/>
                      <w:vertAlign w:val="baseline"/>
                      <w:lang w:val="en-US" w:eastAsia="zh-CN"/>
                    </w:rPr>
                  </w:pPr>
                  <w:r>
                    <w:rPr>
                      <w:rFonts w:hint="eastAsia" w:ascii="Times New Roman" w:hAnsi="Times New Roman" w:eastAsia="宋体" w:cs="Times New Roman"/>
                      <w:b w:val="0"/>
                      <w:bCs w:val="0"/>
                      <w:color w:val="auto"/>
                      <w:sz w:val="21"/>
                      <w:szCs w:val="21"/>
                      <w:u w:val="none" w:color="auto"/>
                      <w:vertAlign w:val="baseline"/>
                      <w:lang w:val="en-US" w:eastAsia="zh-CN"/>
                    </w:rPr>
                    <w:t>危险废物暂存间</w:t>
                  </w:r>
                </w:p>
              </w:tc>
              <w:tc>
                <w:tcPr>
                  <w:tcW w:w="1070"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cs="Times New Roman"/>
                      <w:b w:val="0"/>
                      <w:bCs w:val="0"/>
                      <w:color w:val="auto"/>
                      <w:sz w:val="21"/>
                      <w:szCs w:val="21"/>
                      <w:u w:val="none" w:color="auto"/>
                      <w:vertAlign w:val="baseline"/>
                      <w:lang w:val="en-US" w:eastAsia="zh-CN"/>
                    </w:rPr>
                  </w:pPr>
                  <w:r>
                    <w:rPr>
                      <w:rFonts w:hint="eastAsia" w:cs="Times New Roman"/>
                      <w:b w:val="0"/>
                      <w:bCs w:val="0"/>
                      <w:color w:val="auto"/>
                      <w:sz w:val="21"/>
                      <w:szCs w:val="21"/>
                      <w:u w:val="none" w:color="auto"/>
                      <w:vertAlign w:val="baseline"/>
                      <w:lang w:val="en-US" w:eastAsia="zh-CN"/>
                    </w:rPr>
                    <w:t>地面、裙角</w:t>
                  </w:r>
                </w:p>
              </w:tc>
              <w:tc>
                <w:tcPr>
                  <w:tcW w:w="1593"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auto"/>
                      <w:sz w:val="21"/>
                      <w:szCs w:val="21"/>
                      <w:u w:val="none" w:color="auto"/>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49"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u w:val="none" w:color="auto"/>
                      <w:vertAlign w:val="baseline"/>
                      <w:lang w:val="en-US" w:eastAsia="zh-CN"/>
                    </w:rPr>
                  </w:pPr>
                  <w:r>
                    <w:rPr>
                      <w:rFonts w:hint="eastAsia" w:cs="Times New Roman"/>
                      <w:b w:val="0"/>
                      <w:bCs w:val="0"/>
                      <w:color w:val="auto"/>
                      <w:sz w:val="21"/>
                      <w:szCs w:val="21"/>
                      <w:u w:val="none" w:color="auto"/>
                      <w:vertAlign w:val="baseline"/>
                      <w:lang w:val="en-US" w:eastAsia="zh-CN"/>
                    </w:rPr>
                    <w:t>3</w:t>
                  </w:r>
                </w:p>
              </w:tc>
              <w:tc>
                <w:tcPr>
                  <w:tcW w:w="531"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auto"/>
                      <w:sz w:val="21"/>
                      <w:szCs w:val="21"/>
                      <w:u w:val="none" w:color="auto"/>
                      <w:vertAlign w:val="baseline"/>
                      <w:lang w:val="en-US" w:eastAsia="zh-CN"/>
                    </w:rPr>
                  </w:pPr>
                </w:p>
              </w:tc>
              <w:tc>
                <w:tcPr>
                  <w:tcW w:w="1554"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auto"/>
                      <w:sz w:val="21"/>
                      <w:szCs w:val="21"/>
                      <w:u w:val="none" w:color="auto"/>
                      <w:vertAlign w:val="baseline"/>
                      <w:lang w:val="en-US" w:eastAsia="zh-CN"/>
                    </w:rPr>
                  </w:pPr>
                  <w:r>
                    <w:rPr>
                      <w:rFonts w:hint="eastAsia" w:cs="Times New Roman"/>
                      <w:b w:val="0"/>
                      <w:bCs w:val="0"/>
                      <w:color w:val="auto"/>
                      <w:sz w:val="21"/>
                      <w:szCs w:val="21"/>
                      <w:u w:val="none" w:color="auto"/>
                      <w:vertAlign w:val="baseline"/>
                      <w:lang w:val="en-US" w:eastAsia="zh-CN"/>
                    </w:rPr>
                    <w:t>拆解车间、</w:t>
                  </w:r>
                  <w:r>
                    <w:rPr>
                      <w:rFonts w:hint="eastAsia" w:ascii="Times New Roman" w:hAnsi="Times New Roman" w:eastAsia="宋体" w:cs="Times New Roman"/>
                      <w:b w:val="0"/>
                      <w:bCs w:val="0"/>
                      <w:color w:val="auto"/>
                      <w:sz w:val="21"/>
                      <w:szCs w:val="21"/>
                      <w:u w:val="none" w:color="auto"/>
                      <w:vertAlign w:val="baseline"/>
                      <w:lang w:val="en-US" w:eastAsia="zh-CN"/>
                    </w:rPr>
                    <w:t>报废汽车堆场</w:t>
                  </w:r>
                </w:p>
              </w:tc>
              <w:tc>
                <w:tcPr>
                  <w:tcW w:w="1070"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cs="Times New Roman"/>
                      <w:b w:val="0"/>
                      <w:bCs w:val="0"/>
                      <w:color w:val="auto"/>
                      <w:sz w:val="21"/>
                      <w:szCs w:val="21"/>
                      <w:u w:val="none" w:color="auto"/>
                      <w:vertAlign w:val="baseline"/>
                      <w:lang w:val="en-US" w:eastAsia="zh-CN"/>
                    </w:rPr>
                  </w:pPr>
                  <w:r>
                    <w:rPr>
                      <w:rFonts w:hint="eastAsia" w:cs="Times New Roman"/>
                      <w:b w:val="0"/>
                      <w:bCs w:val="0"/>
                      <w:color w:val="auto"/>
                      <w:sz w:val="21"/>
                      <w:szCs w:val="21"/>
                      <w:u w:val="none" w:color="auto"/>
                      <w:vertAlign w:val="baseline"/>
                      <w:lang w:val="en-US" w:eastAsia="zh-CN"/>
                    </w:rPr>
                    <w:t>地面</w:t>
                  </w:r>
                </w:p>
              </w:tc>
              <w:tc>
                <w:tcPr>
                  <w:tcW w:w="1593"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auto"/>
                      <w:sz w:val="21"/>
                      <w:szCs w:val="21"/>
                      <w:u w:val="none" w:color="auto"/>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49"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u w:val="none" w:color="auto"/>
                      <w:vertAlign w:val="baseline"/>
                      <w:lang w:val="en-US" w:eastAsia="zh-CN"/>
                    </w:rPr>
                  </w:pPr>
                  <w:r>
                    <w:rPr>
                      <w:rFonts w:hint="eastAsia" w:cs="Times New Roman"/>
                      <w:b w:val="0"/>
                      <w:bCs w:val="0"/>
                      <w:color w:val="auto"/>
                      <w:sz w:val="21"/>
                      <w:szCs w:val="21"/>
                      <w:u w:val="none" w:color="auto"/>
                      <w:vertAlign w:val="baseline"/>
                      <w:lang w:val="en-US" w:eastAsia="zh-CN"/>
                    </w:rPr>
                    <w:t>4</w:t>
                  </w:r>
                </w:p>
              </w:tc>
              <w:tc>
                <w:tcPr>
                  <w:tcW w:w="531"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auto"/>
                      <w:sz w:val="21"/>
                      <w:szCs w:val="21"/>
                      <w:u w:val="none" w:color="auto"/>
                      <w:vertAlign w:val="baseline"/>
                      <w:lang w:val="en-US" w:eastAsia="zh-CN"/>
                    </w:rPr>
                  </w:pPr>
                  <w:r>
                    <w:rPr>
                      <w:rFonts w:hint="eastAsia" w:ascii="Times New Roman" w:hAnsi="Times New Roman" w:eastAsia="宋体" w:cs="Times New Roman"/>
                      <w:b w:val="0"/>
                      <w:bCs w:val="0"/>
                      <w:color w:val="auto"/>
                      <w:sz w:val="21"/>
                      <w:szCs w:val="21"/>
                      <w:u w:val="none" w:color="auto"/>
                      <w:vertAlign w:val="baseline"/>
                      <w:lang w:val="en-US" w:eastAsia="zh-CN"/>
                    </w:rPr>
                    <w:t>一般防渗区</w:t>
                  </w:r>
                </w:p>
              </w:tc>
              <w:tc>
                <w:tcPr>
                  <w:tcW w:w="1554"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u w:val="none" w:color="auto"/>
                      <w:vertAlign w:val="baseline"/>
                      <w:lang w:val="en-US" w:eastAsia="zh-CN"/>
                    </w:rPr>
                  </w:pPr>
                  <w:r>
                    <w:rPr>
                      <w:rFonts w:hint="eastAsia" w:cs="Times New Roman"/>
                      <w:b w:val="0"/>
                      <w:bCs w:val="0"/>
                      <w:color w:val="auto"/>
                      <w:sz w:val="21"/>
                      <w:szCs w:val="21"/>
                      <w:u w:val="none" w:color="auto"/>
                      <w:vertAlign w:val="baseline"/>
                      <w:lang w:val="en-US" w:eastAsia="zh-CN"/>
                    </w:rPr>
                    <w:t>一般固废仓库（产品仓库）</w:t>
                  </w:r>
                </w:p>
              </w:tc>
              <w:tc>
                <w:tcPr>
                  <w:tcW w:w="1070"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u w:val="none" w:color="auto"/>
                      <w:vertAlign w:val="baseline"/>
                      <w:lang w:val="en-US" w:eastAsia="zh-CN"/>
                    </w:rPr>
                  </w:pPr>
                  <w:r>
                    <w:rPr>
                      <w:rFonts w:hint="eastAsia" w:cs="Times New Roman"/>
                      <w:b w:val="0"/>
                      <w:bCs w:val="0"/>
                      <w:color w:val="auto"/>
                      <w:sz w:val="21"/>
                      <w:szCs w:val="21"/>
                      <w:u w:val="none" w:color="auto"/>
                      <w:vertAlign w:val="baseline"/>
                      <w:lang w:val="en-US" w:eastAsia="zh-CN"/>
                    </w:rPr>
                    <w:t>地面</w:t>
                  </w:r>
                </w:p>
              </w:tc>
              <w:tc>
                <w:tcPr>
                  <w:tcW w:w="1593"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auto"/>
                      <w:sz w:val="21"/>
                      <w:szCs w:val="21"/>
                      <w:u w:val="none" w:color="auto"/>
                      <w:vertAlign w:val="baseline"/>
                      <w:lang w:val="en-US" w:eastAsia="zh-CN"/>
                    </w:rPr>
                  </w:pPr>
                  <w:r>
                    <w:rPr>
                      <w:rFonts w:hint="eastAsia" w:ascii="Times New Roman" w:hAnsi="Times New Roman" w:eastAsia="宋体" w:cs="Times New Roman"/>
                      <w:b w:val="0"/>
                      <w:bCs w:val="0"/>
                      <w:color w:val="auto"/>
                      <w:sz w:val="21"/>
                      <w:szCs w:val="21"/>
                      <w:u w:val="none" w:color="auto"/>
                      <w:vertAlign w:val="baseline"/>
                      <w:lang w:val="en-US" w:eastAsia="zh-CN"/>
                    </w:rPr>
                    <w:t>等效黏土防渗层 Mb≧1.5m，K≦1</w:t>
                  </w:r>
                  <w:r>
                    <w:rPr>
                      <w:rFonts w:hint="eastAsia" w:cs="Times New Roman"/>
                      <w:b w:val="0"/>
                      <w:bCs w:val="0"/>
                      <w:color w:val="auto"/>
                      <w:sz w:val="21"/>
                      <w:szCs w:val="21"/>
                      <w:u w:val="none" w:color="auto"/>
                      <w:vertAlign w:val="baseline"/>
                      <w:lang w:val="en-US" w:eastAsia="zh-CN"/>
                    </w:rPr>
                    <w:t>×</w:t>
                  </w:r>
                  <w:r>
                    <w:rPr>
                      <w:rFonts w:hint="eastAsia" w:ascii="Times New Roman" w:hAnsi="Times New Roman" w:eastAsia="宋体" w:cs="Times New Roman"/>
                      <w:b w:val="0"/>
                      <w:bCs w:val="0"/>
                      <w:color w:val="auto"/>
                      <w:sz w:val="21"/>
                      <w:szCs w:val="21"/>
                      <w:u w:val="none" w:color="auto"/>
                      <w:vertAlign w:val="baseline"/>
                      <w:lang w:val="en-US" w:eastAsia="zh-CN"/>
                    </w:rPr>
                    <w:t>10</w:t>
                  </w:r>
                  <w:r>
                    <w:rPr>
                      <w:rFonts w:hint="eastAsia" w:ascii="Times New Roman" w:hAnsi="Times New Roman" w:eastAsia="宋体" w:cs="Times New Roman"/>
                      <w:b w:val="0"/>
                      <w:bCs w:val="0"/>
                      <w:color w:val="auto"/>
                      <w:sz w:val="21"/>
                      <w:szCs w:val="21"/>
                      <w:u w:val="none" w:color="auto"/>
                      <w:vertAlign w:val="superscript"/>
                      <w:lang w:val="en-US" w:eastAsia="zh-CN"/>
                    </w:rPr>
                    <w:t>-7</w:t>
                  </w:r>
                  <w:r>
                    <w:rPr>
                      <w:rFonts w:hint="eastAsia" w:ascii="Times New Roman" w:hAnsi="Times New Roman" w:eastAsia="宋体" w:cs="Times New Roman"/>
                      <w:b w:val="0"/>
                      <w:bCs w:val="0"/>
                      <w:color w:val="auto"/>
                      <w:sz w:val="21"/>
                      <w:szCs w:val="21"/>
                      <w:u w:val="none" w:color="auto"/>
                      <w:vertAlign w:val="baseline"/>
                      <w:lang w:val="en-US" w:eastAsia="zh-CN"/>
                    </w:rPr>
                    <w:t xml:space="preserve"> ；或参照执行GB</w:t>
                  </w:r>
                  <w:r>
                    <w:rPr>
                      <w:rFonts w:hint="eastAsia" w:cs="Times New Roman"/>
                      <w:b w:val="0"/>
                      <w:bCs w:val="0"/>
                      <w:color w:val="auto"/>
                      <w:sz w:val="21"/>
                      <w:szCs w:val="21"/>
                      <w:u w:val="none" w:color="auto"/>
                      <w:vertAlign w:val="baseline"/>
                      <w:lang w:val="en-US" w:eastAsia="zh-CN"/>
                    </w:rPr>
                    <w:t>1</w:t>
                  </w:r>
                  <w:r>
                    <w:rPr>
                      <w:rFonts w:hint="eastAsia" w:ascii="Times New Roman" w:hAnsi="Times New Roman" w:eastAsia="宋体" w:cs="Times New Roman"/>
                      <w:b w:val="0"/>
                      <w:bCs w:val="0"/>
                      <w:color w:val="auto"/>
                      <w:sz w:val="21"/>
                      <w:szCs w:val="21"/>
                      <w:u w:val="none" w:color="auto"/>
                      <w:vertAlign w:val="baseline"/>
                      <w:lang w:val="en-US" w:eastAsia="zh-CN"/>
                    </w:rPr>
                    <w:t>6889 执行</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49"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u w:val="none" w:color="auto"/>
                      <w:vertAlign w:val="baseline"/>
                      <w:lang w:val="en-US" w:eastAsia="zh-CN"/>
                    </w:rPr>
                  </w:pPr>
                  <w:r>
                    <w:rPr>
                      <w:rFonts w:hint="eastAsia" w:cs="Times New Roman"/>
                      <w:b w:val="0"/>
                      <w:bCs w:val="0"/>
                      <w:color w:val="auto"/>
                      <w:sz w:val="21"/>
                      <w:szCs w:val="21"/>
                      <w:u w:val="none" w:color="auto"/>
                      <w:vertAlign w:val="baseline"/>
                      <w:lang w:val="en-US" w:eastAsia="zh-CN"/>
                    </w:rPr>
                    <w:t>5</w:t>
                  </w:r>
                </w:p>
              </w:tc>
              <w:tc>
                <w:tcPr>
                  <w:tcW w:w="531"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auto"/>
                      <w:sz w:val="21"/>
                      <w:szCs w:val="21"/>
                      <w:u w:val="none" w:color="auto"/>
                      <w:vertAlign w:val="baseline"/>
                      <w:lang w:val="en-US" w:eastAsia="zh-CN"/>
                    </w:rPr>
                  </w:pPr>
                  <w:r>
                    <w:rPr>
                      <w:rFonts w:hint="eastAsia" w:ascii="Times New Roman" w:hAnsi="Times New Roman" w:eastAsia="宋体" w:cs="Times New Roman"/>
                      <w:b w:val="0"/>
                      <w:bCs w:val="0"/>
                      <w:color w:val="auto"/>
                      <w:sz w:val="21"/>
                      <w:szCs w:val="21"/>
                      <w:u w:val="none" w:color="auto"/>
                      <w:vertAlign w:val="baseline"/>
                      <w:lang w:val="en-US" w:eastAsia="zh-CN"/>
                    </w:rPr>
                    <w:t>简单防渗区</w:t>
                  </w:r>
                </w:p>
              </w:tc>
              <w:tc>
                <w:tcPr>
                  <w:tcW w:w="1554"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val="0"/>
                      <w:bCs w:val="0"/>
                      <w:color w:val="auto"/>
                      <w:sz w:val="21"/>
                      <w:szCs w:val="21"/>
                      <w:u w:val="none" w:color="auto"/>
                      <w:vertAlign w:val="baseline"/>
                      <w:lang w:val="en-US" w:eastAsia="zh-CN"/>
                    </w:rPr>
                  </w:pPr>
                  <w:r>
                    <w:rPr>
                      <w:rFonts w:hint="eastAsia" w:ascii="Times New Roman" w:hAnsi="Times New Roman" w:eastAsia="宋体" w:cs="Times New Roman"/>
                      <w:b w:val="0"/>
                      <w:bCs w:val="0"/>
                      <w:color w:val="auto"/>
                      <w:sz w:val="21"/>
                      <w:szCs w:val="21"/>
                      <w:u w:val="none" w:color="auto"/>
                      <w:vertAlign w:val="baseline"/>
                      <w:lang w:val="en-US" w:eastAsia="zh-CN"/>
                    </w:rPr>
                    <w:t>重点、一般</w:t>
                  </w:r>
                  <w:r>
                    <w:rPr>
                      <w:rFonts w:hint="eastAsia" w:cs="Times New Roman"/>
                      <w:b w:val="0"/>
                      <w:bCs w:val="0"/>
                      <w:color w:val="auto"/>
                      <w:sz w:val="21"/>
                      <w:szCs w:val="21"/>
                      <w:u w:val="none" w:color="auto"/>
                      <w:vertAlign w:val="baseline"/>
                      <w:lang w:val="en-US" w:eastAsia="zh-CN"/>
                    </w:rPr>
                    <w:t>防渗</w:t>
                  </w:r>
                  <w:r>
                    <w:rPr>
                      <w:rFonts w:hint="eastAsia" w:ascii="Times New Roman" w:hAnsi="Times New Roman" w:eastAsia="宋体" w:cs="Times New Roman"/>
                      <w:b w:val="0"/>
                      <w:bCs w:val="0"/>
                      <w:color w:val="auto"/>
                      <w:sz w:val="21"/>
                      <w:szCs w:val="21"/>
                      <w:u w:val="none" w:color="auto"/>
                      <w:vertAlign w:val="baseline"/>
                      <w:lang w:val="en-US" w:eastAsia="zh-CN"/>
                    </w:rPr>
                    <w:t>区以外的区域</w:t>
                  </w:r>
                </w:p>
              </w:tc>
              <w:tc>
                <w:tcPr>
                  <w:tcW w:w="1070"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u w:val="none" w:color="auto"/>
                      <w:vertAlign w:val="baseline"/>
                      <w:lang w:val="en-US" w:eastAsia="zh-CN"/>
                    </w:rPr>
                  </w:pPr>
                  <w:r>
                    <w:rPr>
                      <w:rFonts w:hint="eastAsia" w:cs="Times New Roman"/>
                      <w:b w:val="0"/>
                      <w:bCs w:val="0"/>
                      <w:color w:val="auto"/>
                      <w:sz w:val="21"/>
                      <w:szCs w:val="21"/>
                      <w:u w:val="none" w:color="auto"/>
                      <w:vertAlign w:val="baseline"/>
                      <w:lang w:val="en-US" w:eastAsia="zh-CN"/>
                    </w:rPr>
                    <w:t>地面</w:t>
                  </w:r>
                </w:p>
              </w:tc>
              <w:tc>
                <w:tcPr>
                  <w:tcW w:w="1593"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u w:val="none" w:color="auto"/>
                      <w:vertAlign w:val="baseline"/>
                      <w:lang w:val="en-US" w:eastAsia="zh-CN"/>
                    </w:rPr>
                  </w:pPr>
                  <w:r>
                    <w:rPr>
                      <w:rFonts w:hint="eastAsia" w:cs="Times New Roman"/>
                      <w:b w:val="0"/>
                      <w:bCs w:val="0"/>
                      <w:color w:val="auto"/>
                      <w:sz w:val="21"/>
                      <w:szCs w:val="21"/>
                      <w:u w:val="none" w:color="auto"/>
                      <w:vertAlign w:val="baseline"/>
                      <w:lang w:val="en-US" w:eastAsia="zh-CN"/>
                    </w:rPr>
                    <w:t>一般地面硬化</w:t>
                  </w:r>
                </w:p>
              </w:tc>
            </w:tr>
          </w:tbl>
          <w:p>
            <w:pPr>
              <w:bidi w:val="0"/>
              <w:jc w:val="center"/>
              <w:rPr>
                <w:rFonts w:hint="default"/>
                <w:color w:val="auto"/>
                <w:sz w:val="21"/>
                <w:szCs w:val="21"/>
                <w:u w:val="none" w:color="auto"/>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236" w:type="dxa"/>
            <w:tcBorders>
              <w:tl2br w:val="nil"/>
              <w:tr2bl w:val="nil"/>
            </w:tcBorders>
            <w:vAlign w:val="center"/>
          </w:tcPr>
          <w:p>
            <w:pPr>
              <w:keepNext w:val="0"/>
              <w:keepLines w:val="0"/>
              <w:pageBreakBefore w:val="0"/>
              <w:kinsoku/>
              <w:wordWrap/>
              <w:overflowPunct/>
              <w:topLinePunct w:val="0"/>
              <w:autoSpaceDE/>
              <w:autoSpaceDN/>
              <w:bidi w:val="0"/>
              <w:adjustRightInd w:val="0"/>
              <w:snapToGrid w:val="0"/>
              <w:spacing w:line="360" w:lineRule="exact"/>
              <w:jc w:val="center"/>
              <w:textAlignment w:val="auto"/>
              <w:rPr>
                <w:rFonts w:hint="eastAsia" w:ascii="Times New Roman" w:hAnsi="Times New Roman" w:eastAsia="宋体" w:cs="宋体"/>
                <w:color w:val="auto"/>
                <w:sz w:val="21"/>
                <w:szCs w:val="21"/>
                <w:u w:val="none" w:color="auto"/>
              </w:rPr>
            </w:pPr>
            <w:r>
              <w:rPr>
                <w:rFonts w:hint="eastAsia" w:ascii="Times New Roman" w:hAnsi="Times New Roman" w:eastAsia="宋体" w:cs="宋体"/>
                <w:color w:val="auto"/>
                <w:sz w:val="21"/>
                <w:szCs w:val="21"/>
                <w:u w:val="none" w:color="auto"/>
              </w:rPr>
              <w:t>生态保护措施</w:t>
            </w:r>
          </w:p>
        </w:tc>
        <w:tc>
          <w:tcPr>
            <w:tcW w:w="8436" w:type="dxa"/>
            <w:gridSpan w:val="4"/>
            <w:tcBorders>
              <w:tl2br w:val="nil"/>
              <w:tr2bl w:val="nil"/>
            </w:tcBorders>
            <w:vAlign w:val="center"/>
          </w:tcPr>
          <w:p>
            <w:pPr>
              <w:keepNext w:val="0"/>
              <w:keepLines w:val="0"/>
              <w:pageBreakBefore w:val="0"/>
              <w:kinsoku/>
              <w:wordWrap/>
              <w:overflowPunct/>
              <w:topLinePunct w:val="0"/>
              <w:autoSpaceDE/>
              <w:autoSpaceDN/>
              <w:bidi w:val="0"/>
              <w:adjustRightInd w:val="0"/>
              <w:snapToGrid w:val="0"/>
              <w:spacing w:line="360" w:lineRule="exact"/>
              <w:jc w:val="center"/>
              <w:textAlignment w:val="auto"/>
              <w:rPr>
                <w:rFonts w:hint="default" w:ascii="Times New Roman" w:hAnsi="Times New Roman" w:eastAsia="宋体" w:cs="宋体"/>
                <w:color w:val="auto"/>
                <w:sz w:val="21"/>
                <w:szCs w:val="21"/>
                <w:u w:val="none" w:color="auto"/>
                <w:lang w:val="en-US" w:eastAsia="zh-CN"/>
              </w:rPr>
            </w:pPr>
            <w:r>
              <w:rPr>
                <w:rFonts w:hint="eastAsia" w:cs="宋体"/>
                <w:color w:val="auto"/>
                <w:sz w:val="21"/>
                <w:szCs w:val="21"/>
                <w:u w:val="none" w:color="auto"/>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1236" w:type="dxa"/>
            <w:tcBorders>
              <w:tl2br w:val="nil"/>
              <w:tr2bl w:val="nil"/>
            </w:tcBorders>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宋体"/>
                <w:color w:val="auto"/>
                <w:spacing w:val="-8"/>
                <w:sz w:val="21"/>
                <w:szCs w:val="21"/>
                <w:u w:val="none" w:color="auto"/>
              </w:rPr>
            </w:pPr>
            <w:r>
              <w:rPr>
                <w:rFonts w:hint="eastAsia" w:ascii="Times New Roman" w:hAnsi="Times New Roman" w:eastAsia="宋体" w:cs="宋体"/>
                <w:color w:val="auto"/>
                <w:spacing w:val="-8"/>
                <w:sz w:val="21"/>
                <w:szCs w:val="21"/>
                <w:u w:val="none" w:color="auto"/>
              </w:rPr>
              <w:t>环境风险防范措施</w:t>
            </w:r>
          </w:p>
        </w:tc>
        <w:tc>
          <w:tcPr>
            <w:tcW w:w="8436" w:type="dxa"/>
            <w:gridSpan w:val="4"/>
            <w:tcBorders>
              <w:tl2br w:val="nil"/>
              <w:tr2bl w:val="nil"/>
            </w:tcBorders>
            <w:vAlign w:val="center"/>
          </w:tcPr>
          <w:p>
            <w:pPr>
              <w:keepNext w:val="0"/>
              <w:keepLines w:val="0"/>
              <w:pageBreakBefore w:val="0"/>
              <w:kinsoku/>
              <w:wordWrap/>
              <w:overflowPunct/>
              <w:topLinePunct w:val="0"/>
              <w:autoSpaceDE/>
              <w:autoSpaceDN/>
              <w:bidi w:val="0"/>
              <w:adjustRightInd w:val="0"/>
              <w:snapToGrid w:val="0"/>
              <w:spacing w:line="240" w:lineRule="auto"/>
              <w:ind w:firstLine="420" w:firstLineChars="200"/>
              <w:jc w:val="center"/>
              <w:textAlignment w:val="auto"/>
              <w:rPr>
                <w:rFonts w:hint="eastAsia" w:ascii="Times New Roman" w:hAnsi="Times New Roman" w:eastAsia="宋体" w:cs="宋体"/>
                <w:color w:val="auto"/>
                <w:sz w:val="21"/>
                <w:szCs w:val="21"/>
                <w:u w:val="none" w:color="auto"/>
              </w:rPr>
            </w:pPr>
            <w:r>
              <w:rPr>
                <w:rFonts w:hint="eastAsia" w:ascii="Times New Roman" w:hAnsi="Times New Roman" w:eastAsia="宋体" w:cs="宋体"/>
                <w:color w:val="auto"/>
                <w:sz w:val="21"/>
                <w:szCs w:val="21"/>
                <w:u w:val="none" w:color="auto"/>
              </w:rPr>
              <w:t>①加强废气收集和处理设施维护，确保废气处理设施正常运行</w:t>
            </w:r>
          </w:p>
          <w:p>
            <w:pPr>
              <w:keepNext w:val="0"/>
              <w:keepLines w:val="0"/>
              <w:pageBreakBefore w:val="0"/>
              <w:kinsoku/>
              <w:wordWrap/>
              <w:overflowPunct/>
              <w:topLinePunct w:val="0"/>
              <w:autoSpaceDE/>
              <w:autoSpaceDN/>
              <w:bidi w:val="0"/>
              <w:adjustRightInd w:val="0"/>
              <w:snapToGrid w:val="0"/>
              <w:spacing w:line="240" w:lineRule="auto"/>
              <w:ind w:firstLine="420" w:firstLineChars="200"/>
              <w:jc w:val="center"/>
              <w:textAlignment w:val="auto"/>
              <w:rPr>
                <w:rFonts w:hint="eastAsia" w:ascii="Times New Roman" w:hAnsi="Times New Roman" w:eastAsia="宋体" w:cs="宋体"/>
                <w:color w:val="auto"/>
                <w:sz w:val="21"/>
                <w:szCs w:val="21"/>
                <w:u w:val="none" w:color="auto"/>
              </w:rPr>
            </w:pPr>
            <w:r>
              <w:rPr>
                <w:rFonts w:hint="eastAsia" w:ascii="Times New Roman" w:hAnsi="Times New Roman" w:eastAsia="宋体" w:cs="宋体"/>
                <w:color w:val="auto"/>
                <w:sz w:val="21"/>
                <w:szCs w:val="21"/>
                <w:u w:val="none" w:color="auto"/>
              </w:rPr>
              <w:t>②危废暂存间等各液体储存区设置围堰；</w:t>
            </w:r>
          </w:p>
          <w:p>
            <w:pPr>
              <w:keepNext w:val="0"/>
              <w:keepLines w:val="0"/>
              <w:pageBreakBefore w:val="0"/>
              <w:kinsoku/>
              <w:wordWrap/>
              <w:overflowPunct/>
              <w:topLinePunct w:val="0"/>
              <w:autoSpaceDE/>
              <w:autoSpaceDN/>
              <w:bidi w:val="0"/>
              <w:adjustRightInd w:val="0"/>
              <w:snapToGrid w:val="0"/>
              <w:spacing w:line="240" w:lineRule="auto"/>
              <w:ind w:firstLine="420" w:firstLineChars="200"/>
              <w:jc w:val="center"/>
              <w:textAlignment w:val="auto"/>
              <w:rPr>
                <w:rFonts w:hint="eastAsia" w:ascii="Times New Roman" w:hAnsi="Times New Roman" w:eastAsia="宋体" w:cs="宋体"/>
                <w:color w:val="auto"/>
                <w:sz w:val="21"/>
                <w:szCs w:val="21"/>
                <w:u w:val="none" w:color="auto"/>
              </w:rPr>
            </w:pPr>
            <w:r>
              <w:rPr>
                <w:rFonts w:hint="eastAsia" w:ascii="Times New Roman" w:hAnsi="Times New Roman" w:eastAsia="宋体" w:cs="宋体"/>
                <w:color w:val="auto"/>
                <w:sz w:val="21"/>
                <w:szCs w:val="21"/>
                <w:u w:val="none" w:color="auto"/>
              </w:rPr>
              <w:t>③拆解车间内设置1m</w:t>
            </w:r>
            <w:r>
              <w:rPr>
                <w:rFonts w:hint="eastAsia" w:ascii="Times New Roman" w:hAnsi="Times New Roman" w:eastAsia="宋体" w:cs="宋体"/>
                <w:color w:val="auto"/>
                <w:sz w:val="21"/>
                <w:szCs w:val="21"/>
                <w:u w:val="none" w:color="auto"/>
                <w:vertAlign w:val="superscript"/>
              </w:rPr>
              <w:t>3</w:t>
            </w:r>
            <w:r>
              <w:rPr>
                <w:rFonts w:hint="eastAsia" w:ascii="Times New Roman" w:hAnsi="Times New Roman" w:eastAsia="宋体" w:cs="宋体"/>
                <w:color w:val="auto"/>
                <w:sz w:val="21"/>
                <w:szCs w:val="21"/>
                <w:u w:val="none" w:color="auto"/>
              </w:rPr>
              <w:t>收集池；项目南侧布置有1个24m</w:t>
            </w:r>
            <w:r>
              <w:rPr>
                <w:rFonts w:hint="eastAsia" w:ascii="Times New Roman" w:hAnsi="Times New Roman" w:eastAsia="宋体" w:cs="宋体"/>
                <w:color w:val="auto"/>
                <w:sz w:val="21"/>
                <w:szCs w:val="21"/>
                <w:u w:val="none" w:color="auto"/>
                <w:vertAlign w:val="superscript"/>
              </w:rPr>
              <w:t>3</w:t>
            </w:r>
            <w:r>
              <w:rPr>
                <w:rFonts w:hint="eastAsia" w:ascii="Times New Roman" w:hAnsi="Times New Roman" w:eastAsia="宋体" w:cs="宋体"/>
                <w:color w:val="auto"/>
                <w:sz w:val="21"/>
                <w:szCs w:val="21"/>
                <w:u w:val="none" w:color="auto"/>
              </w:rPr>
              <w:t>事故水池、1个</w:t>
            </w:r>
            <w:r>
              <w:rPr>
                <w:rFonts w:hint="eastAsia" w:ascii="Times New Roman" w:hAnsi="Times New Roman" w:eastAsia="宋体" w:cs="宋体"/>
                <w:color w:val="auto"/>
                <w:sz w:val="21"/>
                <w:szCs w:val="21"/>
                <w:u w:val="none" w:color="auto"/>
                <w:lang w:val="en-US" w:eastAsia="zh-CN"/>
              </w:rPr>
              <w:t>180</w:t>
            </w:r>
            <w:r>
              <w:rPr>
                <w:rFonts w:hint="eastAsia" w:ascii="Times New Roman" w:hAnsi="Times New Roman" w:eastAsia="宋体" w:cs="宋体"/>
                <w:color w:val="auto"/>
                <w:sz w:val="21"/>
                <w:szCs w:val="21"/>
                <w:u w:val="none" w:color="auto"/>
              </w:rPr>
              <w:t>m</w:t>
            </w:r>
            <w:r>
              <w:rPr>
                <w:rFonts w:hint="eastAsia" w:ascii="Times New Roman" w:hAnsi="Times New Roman" w:eastAsia="宋体" w:cs="宋体"/>
                <w:color w:val="auto"/>
                <w:sz w:val="21"/>
                <w:szCs w:val="21"/>
                <w:u w:val="none" w:color="auto"/>
                <w:vertAlign w:val="superscript"/>
              </w:rPr>
              <w:t>3</w:t>
            </w:r>
            <w:r>
              <w:rPr>
                <w:rFonts w:hint="eastAsia" w:ascii="Times New Roman" w:hAnsi="Times New Roman" w:eastAsia="宋体" w:cs="宋体"/>
                <w:color w:val="auto"/>
                <w:sz w:val="21"/>
                <w:szCs w:val="21"/>
                <w:u w:val="none" w:color="auto"/>
              </w:rPr>
              <w:t>初期雨水收集池均可用于收集事故废水，确保消防废水不会排出厂区；④据本项目厂区可能泄漏至地面区域污染物的性质和生产单元的构筑方式，将厂区划分为重点污染防治区（括污水处理站、事故应急池、拆解车间、危废暂存库）、一般污染防治区（报废汽车堆场和一般固废仓库、产品堆场等）和简单防渗区。重点防渗区防渗要求：防渗层至少为1cm厚粘土层（防渗系数≤10</w:t>
            </w:r>
            <w:r>
              <w:rPr>
                <w:rFonts w:hint="eastAsia" w:ascii="Times New Roman" w:hAnsi="Times New Roman" w:eastAsia="宋体" w:cs="宋体"/>
                <w:color w:val="auto"/>
                <w:sz w:val="21"/>
                <w:szCs w:val="21"/>
                <w:u w:val="none" w:color="auto"/>
                <w:vertAlign w:val="superscript"/>
              </w:rPr>
              <w:t>-7</w:t>
            </w:r>
            <w:r>
              <w:rPr>
                <w:rFonts w:hint="eastAsia" w:ascii="Times New Roman" w:hAnsi="Times New Roman" w:eastAsia="宋体" w:cs="宋体"/>
                <w:color w:val="auto"/>
                <w:sz w:val="21"/>
                <w:szCs w:val="21"/>
                <w:u w:val="none" w:color="auto"/>
              </w:rPr>
              <w:t>cm/s），或2mm厚高度聚乙烯，或至少2mm厚的其它人工材料，渗透系数≤10</w:t>
            </w:r>
            <w:r>
              <w:rPr>
                <w:rFonts w:hint="eastAsia" w:ascii="Times New Roman" w:hAnsi="Times New Roman" w:eastAsia="宋体" w:cs="宋体"/>
                <w:color w:val="auto"/>
                <w:sz w:val="21"/>
                <w:szCs w:val="21"/>
                <w:u w:val="none" w:color="auto"/>
                <w:vertAlign w:val="superscript"/>
              </w:rPr>
              <w:t>-10</w:t>
            </w:r>
            <w:r>
              <w:rPr>
                <w:rFonts w:hint="eastAsia" w:ascii="Times New Roman" w:hAnsi="Times New Roman" w:eastAsia="宋体" w:cs="宋体"/>
                <w:color w:val="auto"/>
                <w:sz w:val="21"/>
                <w:szCs w:val="21"/>
                <w:u w:val="none" w:color="auto"/>
              </w:rPr>
              <w:t>cm/s。一般防渗区防渗要求：等效黏土防渗层 Mb≧1.5m，K≦1×10</w:t>
            </w:r>
            <w:r>
              <w:rPr>
                <w:rFonts w:hint="eastAsia" w:ascii="Times New Roman" w:hAnsi="Times New Roman" w:eastAsia="宋体" w:cs="宋体"/>
                <w:color w:val="auto"/>
                <w:sz w:val="21"/>
                <w:szCs w:val="21"/>
                <w:u w:val="none" w:color="auto"/>
                <w:vertAlign w:val="superscript"/>
              </w:rPr>
              <w:t>-7</w:t>
            </w:r>
            <w:r>
              <w:rPr>
                <w:rFonts w:hint="eastAsia" w:ascii="Times New Roman" w:hAnsi="Times New Roman" w:eastAsia="宋体" w:cs="宋体"/>
                <w:color w:val="auto"/>
                <w:sz w:val="21"/>
                <w:szCs w:val="21"/>
                <w:u w:val="none" w:color="auto"/>
              </w:rPr>
              <w:t xml:space="preserve"> cm/s；或参照执行GB16889 执行。</w:t>
            </w:r>
          </w:p>
          <w:p>
            <w:pPr>
              <w:keepNext w:val="0"/>
              <w:keepLines w:val="0"/>
              <w:pageBreakBefore w:val="0"/>
              <w:kinsoku/>
              <w:wordWrap/>
              <w:overflowPunct/>
              <w:topLinePunct w:val="0"/>
              <w:autoSpaceDE/>
              <w:autoSpaceDN/>
              <w:bidi w:val="0"/>
              <w:adjustRightInd w:val="0"/>
              <w:snapToGrid w:val="0"/>
              <w:spacing w:line="240" w:lineRule="auto"/>
              <w:ind w:firstLine="420" w:firstLineChars="200"/>
              <w:jc w:val="center"/>
              <w:textAlignment w:val="auto"/>
              <w:rPr>
                <w:rFonts w:hint="default" w:ascii="Times New Roman" w:hAnsi="Times New Roman" w:eastAsia="宋体" w:cs="宋体"/>
                <w:color w:val="auto"/>
                <w:sz w:val="21"/>
                <w:szCs w:val="21"/>
                <w:u w:val="none" w:color="auto"/>
                <w:lang w:val="en-US" w:eastAsia="zh-CN"/>
              </w:rPr>
            </w:pPr>
            <w:r>
              <w:rPr>
                <w:rFonts w:hint="eastAsia" w:ascii="Times New Roman" w:hAnsi="Times New Roman" w:eastAsia="宋体" w:cs="宋体"/>
                <w:color w:val="auto"/>
                <w:sz w:val="21"/>
                <w:szCs w:val="21"/>
                <w:u w:val="none" w:color="auto"/>
              </w:rPr>
              <w:t>⑤编制突发环境事件应急预案。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0" w:hRule="atLeast"/>
        </w:trPr>
        <w:tc>
          <w:tcPr>
            <w:tcW w:w="1236" w:type="dxa"/>
            <w:tcBorders>
              <w:tl2br w:val="nil"/>
              <w:tr2bl w:val="nil"/>
            </w:tcBorders>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宋体"/>
                <w:color w:val="auto"/>
                <w:spacing w:val="-8"/>
                <w:sz w:val="21"/>
                <w:szCs w:val="21"/>
                <w:u w:val="none" w:color="auto"/>
              </w:rPr>
            </w:pPr>
            <w:r>
              <w:rPr>
                <w:rFonts w:hint="eastAsia" w:ascii="Times New Roman" w:hAnsi="Times New Roman" w:eastAsia="宋体" w:cs="宋体"/>
                <w:color w:val="auto"/>
                <w:spacing w:val="-8"/>
                <w:sz w:val="21"/>
                <w:szCs w:val="21"/>
                <w:u w:val="none" w:color="auto"/>
              </w:rPr>
              <w:t>其他环境管理要求</w:t>
            </w:r>
          </w:p>
        </w:tc>
        <w:tc>
          <w:tcPr>
            <w:tcW w:w="8436" w:type="dxa"/>
            <w:gridSpan w:val="4"/>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firstLine="420" w:firstLineChars="200"/>
              <w:jc w:val="center"/>
              <w:textAlignment w:val="auto"/>
              <w:rPr>
                <w:rFonts w:hint="default" w:ascii="Times New Roman" w:hAnsi="Times New Roman" w:eastAsia="宋体" w:cs="Times New Roman"/>
                <w:color w:val="auto"/>
                <w:spacing w:val="0"/>
                <w:sz w:val="21"/>
                <w:szCs w:val="21"/>
                <w:u w:val="none" w:color="auto"/>
              </w:rPr>
            </w:pPr>
            <w:r>
              <w:rPr>
                <w:rFonts w:hint="default" w:ascii="Times New Roman" w:hAnsi="Times New Roman" w:eastAsia="宋体" w:cs="Times New Roman"/>
                <w:color w:val="auto"/>
                <w:spacing w:val="0"/>
                <w:sz w:val="21"/>
                <w:szCs w:val="21"/>
                <w:u w:val="none" w:color="auto"/>
              </w:rPr>
              <w:t>①本项目竣工后建设单位应依据《建设项目环境保护管理条例》（2017年10月1日起施行）和《建设项目竣工环境保护验收暂行办法》（国环规环评[2017]4号，2017年11月22日发布）、《建设项目竣工环境保护验收技术指南污染影响类》（公告2018年第9号，2018年5月16日印发），对配套建设的环境保护设施进行验收，编制验收报告。</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jc w:val="center"/>
              <w:textAlignment w:val="auto"/>
              <w:rPr>
                <w:rFonts w:hint="default" w:ascii="Times New Roman" w:hAnsi="Times New Roman" w:eastAsia="宋体" w:cs="宋体"/>
                <w:color w:val="auto"/>
                <w:sz w:val="21"/>
                <w:szCs w:val="21"/>
                <w:u w:val="none" w:color="auto"/>
                <w:lang w:val="en-US" w:eastAsia="zh-CN"/>
              </w:rPr>
            </w:pPr>
            <w:r>
              <w:rPr>
                <w:rFonts w:hint="default" w:ascii="Times New Roman" w:hAnsi="Times New Roman" w:eastAsia="宋体" w:cs="Times New Roman"/>
                <w:color w:val="auto"/>
                <w:spacing w:val="0"/>
                <w:sz w:val="21"/>
                <w:szCs w:val="21"/>
                <w:u w:val="none" w:color="auto"/>
              </w:rPr>
              <w:t>②根据《排污许可管理条例》（中华人民共和国国务院令 第736号）、《排污许可管理办法（试行）》（部令第48号）、环境保护部办公厅《关于做好环境影响评价制度与排污许可制衔接相关工作的通知》（环办环评[2017]84号），建设项目发生实际排污行为之前，排污单位应当按照国家环境保护相关法律法规以及排污许可证申请与核发技术规范要求申请排污许可证，不得无证排污或不按证排污，环境保护部门通过对企事业单位发放排污许可证并依证监管实施排污许可制。</w:t>
            </w:r>
            <w:r>
              <w:rPr>
                <w:rFonts w:hint="eastAsia" w:cs="Times New Roman"/>
                <w:color w:val="auto"/>
                <w:spacing w:val="0"/>
                <w:sz w:val="21"/>
                <w:szCs w:val="21"/>
                <w:u w:val="none" w:color="auto"/>
                <w:lang w:eastAsia="zh-CN"/>
              </w:rPr>
              <w:t>本项目须变更排污许可证。</w:t>
            </w:r>
          </w:p>
        </w:tc>
      </w:tr>
    </w:tbl>
    <w:p>
      <w:pPr>
        <w:pStyle w:val="15"/>
        <w:spacing w:line="240" w:lineRule="auto"/>
        <w:jc w:val="center"/>
        <w:outlineLvl w:val="0"/>
        <w:rPr>
          <w:rFonts w:ascii="Times New Roman" w:hAnsi="Times New Roman" w:eastAsia="宋体"/>
          <w:snapToGrid w:val="0"/>
          <w:color w:val="auto"/>
          <w:sz w:val="30"/>
          <w:szCs w:val="30"/>
          <w:u w:val="none" w:color="auto"/>
        </w:rPr>
      </w:pPr>
      <w:r>
        <w:rPr>
          <w:rFonts w:ascii="Times New Roman" w:hAnsi="Times New Roman" w:eastAsia="宋体"/>
          <w:snapToGrid w:val="0"/>
          <w:color w:val="auto"/>
          <w:u w:val="none" w:color="auto"/>
        </w:rPr>
        <w:br w:type="page"/>
      </w:r>
      <w:bookmarkStart w:id="13" w:name="_Toc2865"/>
      <w:bookmarkStart w:id="14" w:name="_Toc5330"/>
      <w:r>
        <w:rPr>
          <w:rFonts w:hint="eastAsia" w:ascii="Times New Roman" w:hAnsi="Times New Roman" w:eastAsia="宋体" w:cs="Times New Roman"/>
          <w:b/>
          <w:bCs/>
          <w:snapToGrid w:val="0"/>
          <w:color w:val="auto"/>
          <w:sz w:val="28"/>
          <w:szCs w:val="28"/>
          <w:u w:val="none" w:color="auto"/>
        </w:rPr>
        <w:t>六、结论</w:t>
      </w:r>
      <w:bookmarkEnd w:id="13"/>
      <w:bookmarkEnd w:id="14"/>
    </w:p>
    <w:tbl>
      <w:tblPr>
        <w:tblStyle w:val="18"/>
        <w:tblW w:w="8885"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8885"/>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PrEx>
        <w:trPr>
          <w:trHeight w:val="11991" w:hRule="atLeast"/>
          <w:jc w:val="center"/>
        </w:trPr>
        <w:tc>
          <w:tcPr>
            <w:tcW w:w="8885" w:type="dxa"/>
            <w:vAlign w:val="top"/>
          </w:tcPr>
          <w:p>
            <w:pPr>
              <w:numPr>
                <w:ilvl w:val="0"/>
                <w:numId w:val="0"/>
              </w:numPr>
              <w:spacing w:line="360" w:lineRule="auto"/>
              <w:ind w:firstLine="506" w:firstLineChars="200"/>
              <w:rPr>
                <w:rFonts w:ascii="Times New Roman" w:hAnsi="Times New Roman" w:eastAsia="宋体"/>
                <w:b/>
                <w:bCs/>
                <w:color w:val="auto"/>
                <w:spacing w:val="6"/>
                <w:sz w:val="24"/>
                <w:szCs w:val="24"/>
                <w:u w:val="none" w:color="auto"/>
              </w:rPr>
            </w:pPr>
            <w:r>
              <w:rPr>
                <w:rFonts w:hint="eastAsia" w:ascii="Times New Roman" w:hAnsi="Times New Roman" w:eastAsia="宋体"/>
                <w:b/>
                <w:bCs/>
                <w:color w:val="auto"/>
                <w:spacing w:val="6"/>
                <w:sz w:val="24"/>
                <w:szCs w:val="24"/>
                <w:u w:val="none" w:color="auto"/>
                <w:lang w:val="en-US" w:eastAsia="zh-CN"/>
              </w:rPr>
              <w:t>1、</w:t>
            </w:r>
            <w:r>
              <w:rPr>
                <w:rFonts w:hint="eastAsia"/>
                <w:b/>
                <w:bCs/>
                <w:color w:val="auto"/>
                <w:spacing w:val="6"/>
                <w:sz w:val="24"/>
                <w:szCs w:val="24"/>
                <w:u w:val="none" w:color="auto"/>
                <w:lang w:val="en-US" w:eastAsia="zh-CN"/>
              </w:rPr>
              <w:t>总</w:t>
            </w:r>
            <w:r>
              <w:rPr>
                <w:rFonts w:ascii="Times New Roman" w:hAnsi="Times New Roman" w:eastAsia="宋体"/>
                <w:b/>
                <w:bCs/>
                <w:color w:val="auto"/>
                <w:spacing w:val="6"/>
                <w:sz w:val="24"/>
                <w:szCs w:val="24"/>
                <w:u w:val="none" w:color="auto"/>
              </w:rPr>
              <w:t>结论</w:t>
            </w:r>
          </w:p>
          <w:p>
            <w:pPr>
              <w:adjustRightInd w:val="0"/>
              <w:snapToGrid w:val="0"/>
              <w:spacing w:line="360" w:lineRule="auto"/>
              <w:ind w:firstLine="480" w:firstLineChars="200"/>
              <w:rPr>
                <w:rFonts w:ascii="Times New Roman" w:hAnsi="Times New Roman" w:eastAsia="宋体"/>
                <w:color w:val="auto"/>
                <w:sz w:val="24"/>
                <w:szCs w:val="24"/>
                <w:u w:val="none" w:color="auto"/>
              </w:rPr>
            </w:pPr>
            <w:r>
              <w:rPr>
                <w:rFonts w:hint="eastAsia"/>
                <w:bCs/>
                <w:color w:val="auto"/>
                <w:sz w:val="24"/>
                <w:szCs w:val="24"/>
                <w:u w:val="none" w:color="auto"/>
                <w:lang w:eastAsia="zh-CN"/>
              </w:rPr>
              <w:t>本项目</w:t>
            </w:r>
            <w:r>
              <w:rPr>
                <w:rFonts w:hint="eastAsia" w:ascii="Times New Roman" w:hAnsi="Times New Roman" w:eastAsia="宋体"/>
                <w:bCs/>
                <w:color w:val="auto"/>
                <w:sz w:val="24"/>
                <w:szCs w:val="24"/>
                <w:u w:val="none" w:color="auto"/>
              </w:rPr>
              <w:t>符合国家现行的产业政策，项目营运期污染物在采取相应的污染防治措施后可实现达标排放，对环境的影响小；在建设单位落实本评价提出的各项污染物防治措施、落实“环境保护三同时”制度的前提下，从环境保护角度考虑，本项目建设可行</w:t>
            </w:r>
            <w:r>
              <w:rPr>
                <w:rFonts w:ascii="Times New Roman" w:hAnsi="Times New Roman" w:eastAsia="宋体"/>
                <w:bCs/>
                <w:color w:val="auto"/>
                <w:sz w:val="24"/>
                <w:szCs w:val="24"/>
                <w:u w:val="none" w:color="auto"/>
              </w:rPr>
              <w:t>。</w:t>
            </w:r>
          </w:p>
          <w:p>
            <w:pPr>
              <w:spacing w:line="360" w:lineRule="auto"/>
              <w:ind w:firstLine="506" w:firstLineChars="200"/>
              <w:rPr>
                <w:rFonts w:ascii="Times New Roman" w:hAnsi="Times New Roman" w:eastAsia="宋体"/>
                <w:b/>
                <w:bCs/>
                <w:color w:val="auto"/>
                <w:spacing w:val="6"/>
                <w:sz w:val="24"/>
                <w:szCs w:val="24"/>
                <w:u w:val="none" w:color="auto"/>
              </w:rPr>
            </w:pPr>
            <w:r>
              <w:rPr>
                <w:rFonts w:hint="eastAsia" w:ascii="Times New Roman" w:hAnsi="Times New Roman" w:eastAsia="宋体"/>
                <w:b/>
                <w:bCs/>
                <w:color w:val="auto"/>
                <w:spacing w:val="6"/>
                <w:sz w:val="24"/>
                <w:szCs w:val="24"/>
                <w:u w:val="none" w:color="auto"/>
                <w:lang w:val="en-US" w:eastAsia="zh-CN"/>
              </w:rPr>
              <w:t>2、</w:t>
            </w:r>
            <w:r>
              <w:rPr>
                <w:rFonts w:ascii="Times New Roman" w:hAnsi="Times New Roman" w:eastAsia="宋体"/>
                <w:b/>
                <w:bCs/>
                <w:color w:val="auto"/>
                <w:spacing w:val="6"/>
                <w:sz w:val="24"/>
                <w:szCs w:val="24"/>
                <w:u w:val="none" w:color="auto"/>
              </w:rPr>
              <w:t>建议</w:t>
            </w:r>
          </w:p>
          <w:p>
            <w:pPr>
              <w:spacing w:line="360" w:lineRule="auto"/>
              <w:ind w:firstLine="480" w:firstLineChars="200"/>
              <w:rPr>
                <w:rFonts w:ascii="Times New Roman" w:hAnsi="Times New Roman" w:eastAsia="宋体"/>
                <w:color w:val="auto"/>
                <w:sz w:val="24"/>
                <w:szCs w:val="24"/>
                <w:u w:val="none" w:color="auto"/>
              </w:rPr>
            </w:pPr>
            <w:r>
              <w:rPr>
                <w:rFonts w:hint="eastAsia" w:ascii="Times New Roman" w:hAnsi="Times New Roman" w:eastAsia="宋体"/>
                <w:color w:val="auto"/>
                <w:sz w:val="24"/>
                <w:szCs w:val="24"/>
                <w:u w:val="none" w:color="auto"/>
                <w:lang w:val="en-US" w:eastAsia="zh-CN"/>
              </w:rPr>
              <w:t>①</w:t>
            </w:r>
            <w:r>
              <w:rPr>
                <w:rFonts w:hint="eastAsia" w:ascii="Times New Roman" w:hAnsi="Times New Roman" w:eastAsia="宋体"/>
                <w:color w:val="auto"/>
                <w:sz w:val="24"/>
                <w:szCs w:val="24"/>
                <w:u w:val="none" w:color="auto"/>
              </w:rPr>
              <w:t>环境保护设施要与主体工程同时设计、同时施工、同时投入使用，并根据《建设项目竣工环境保护验收暂行办法》组织竣工环境保护验收后，项目方可正式投入生产</w:t>
            </w:r>
            <w:r>
              <w:rPr>
                <w:rFonts w:ascii="Times New Roman" w:hAnsi="Times New Roman" w:eastAsia="宋体"/>
                <w:color w:val="auto"/>
                <w:sz w:val="24"/>
                <w:szCs w:val="24"/>
                <w:u w:val="none" w:color="auto"/>
              </w:rPr>
              <w:t>。</w:t>
            </w:r>
          </w:p>
          <w:p>
            <w:pPr>
              <w:spacing w:line="360" w:lineRule="auto"/>
              <w:ind w:firstLine="480" w:firstLineChars="200"/>
              <w:rPr>
                <w:rFonts w:ascii="Times New Roman" w:hAnsi="Times New Roman" w:eastAsia="宋体"/>
                <w:color w:val="auto"/>
                <w:sz w:val="24"/>
                <w:szCs w:val="24"/>
                <w:u w:val="none" w:color="auto"/>
              </w:rPr>
            </w:pPr>
            <w:r>
              <w:rPr>
                <w:rFonts w:hint="eastAsia" w:ascii="Times New Roman" w:hAnsi="Times New Roman" w:eastAsia="宋体" w:cs="Times New Roman"/>
                <w:color w:val="auto"/>
                <w:sz w:val="24"/>
                <w:szCs w:val="24"/>
                <w:u w:val="none" w:color="auto"/>
                <w:lang w:val="en-US" w:eastAsia="zh-CN"/>
              </w:rPr>
              <w:t>②</w:t>
            </w:r>
            <w:r>
              <w:rPr>
                <w:rFonts w:hint="default" w:ascii="Times New Roman" w:hAnsi="Times New Roman" w:eastAsia="宋体" w:cs="Times New Roman"/>
                <w:color w:val="auto"/>
                <w:sz w:val="24"/>
                <w:szCs w:val="24"/>
                <w:u w:val="none" w:color="auto"/>
              </w:rPr>
              <w:t>要加强对危险废物进行分类收集，妥善处理处置，建立健全环境保护制度，加强环境保护宣传教育</w:t>
            </w:r>
            <w:r>
              <w:rPr>
                <w:rFonts w:ascii="Times New Roman" w:hAnsi="Times New Roman" w:eastAsia="宋体" w:cs="宋体"/>
                <w:color w:val="auto"/>
                <w:sz w:val="24"/>
                <w:szCs w:val="24"/>
                <w:u w:val="none" w:color="auto"/>
              </w:rPr>
              <w:t>。</w:t>
            </w:r>
          </w:p>
          <w:p>
            <w:pPr>
              <w:spacing w:line="360" w:lineRule="auto"/>
              <w:ind w:firstLine="480" w:firstLineChars="200"/>
              <w:jc w:val="both"/>
              <w:rPr>
                <w:rFonts w:hint="eastAsia" w:ascii="Times New Roman" w:hAnsi="Times New Roman" w:eastAsia="宋体" w:cs="宋体"/>
                <w:color w:val="auto"/>
                <w:sz w:val="21"/>
                <w:szCs w:val="21"/>
                <w:u w:val="none" w:color="auto"/>
                <w:lang w:eastAsia="zh-CN"/>
              </w:rPr>
            </w:pPr>
            <w:r>
              <w:rPr>
                <w:rFonts w:hint="eastAsia" w:ascii="Times New Roman" w:hAnsi="Times New Roman" w:eastAsia="宋体" w:cs="Times New Roman"/>
                <w:color w:val="auto"/>
                <w:sz w:val="24"/>
                <w:szCs w:val="24"/>
                <w:u w:val="none" w:color="auto"/>
                <w:lang w:val="en-US" w:eastAsia="zh-CN"/>
              </w:rPr>
              <w:t>③</w:t>
            </w:r>
            <w:r>
              <w:rPr>
                <w:rFonts w:hint="default" w:ascii="Times New Roman" w:hAnsi="Times New Roman" w:eastAsia="宋体" w:cs="Times New Roman"/>
                <w:color w:val="auto"/>
                <w:sz w:val="24"/>
                <w:szCs w:val="24"/>
                <w:u w:val="none" w:color="auto"/>
              </w:rPr>
              <w:t>确保各项环保设备的正常投入使用，保证各类污染物的达标排放</w:t>
            </w:r>
            <w:r>
              <w:rPr>
                <w:rFonts w:hint="eastAsia" w:ascii="Times New Roman" w:hAnsi="Times New Roman" w:eastAsia="宋体" w:cs="Times New Roman"/>
                <w:color w:val="auto"/>
                <w:sz w:val="24"/>
                <w:szCs w:val="24"/>
                <w:u w:val="none" w:color="auto"/>
                <w:lang w:eastAsia="zh-CN"/>
              </w:rPr>
              <w:t>。</w:t>
            </w:r>
          </w:p>
        </w:tc>
      </w:tr>
    </w:tbl>
    <w:p>
      <w:pPr>
        <w:pStyle w:val="15"/>
        <w:keepNext w:val="0"/>
        <w:keepLines w:val="0"/>
        <w:pageBreakBefore w:val="0"/>
        <w:widowControl/>
        <w:kinsoku/>
        <w:wordWrap/>
        <w:overflowPunct/>
        <w:topLinePunct w:val="0"/>
        <w:autoSpaceDE/>
        <w:autoSpaceDN/>
        <w:bidi w:val="0"/>
        <w:adjustRightInd/>
        <w:snapToGrid/>
        <w:spacing w:before="0" w:beforeAutospacing="0" w:after="0" w:afterAutospacing="0" w:line="240" w:lineRule="auto"/>
        <w:jc w:val="both"/>
        <w:textAlignment w:val="auto"/>
        <w:outlineLvl w:val="0"/>
        <w:rPr>
          <w:rFonts w:hint="eastAsia" w:ascii="Times New Roman" w:hAnsi="Times New Roman" w:eastAsia="宋体" w:cs="Times New Roman"/>
          <w:b/>
          <w:bCs/>
          <w:snapToGrid w:val="0"/>
          <w:color w:val="auto"/>
          <w:sz w:val="28"/>
          <w:szCs w:val="28"/>
          <w:u w:val="none" w:color="auto"/>
        </w:rPr>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15"/>
        <w:adjustRightInd w:val="0"/>
        <w:snapToGrid w:val="0"/>
        <w:spacing w:before="0" w:beforeAutospacing="0" w:after="0" w:afterAutospacing="0" w:line="240" w:lineRule="auto"/>
        <w:jc w:val="center"/>
        <w:outlineLvl w:val="0"/>
        <w:rPr>
          <w:rFonts w:hint="eastAsia" w:ascii="Times New Roman" w:hAnsi="Times New Roman" w:eastAsia="宋体"/>
          <w:snapToGrid w:val="0"/>
          <w:color w:val="auto"/>
          <w:sz w:val="38"/>
          <w:szCs w:val="38"/>
          <w:u w:val="none" w:color="auto"/>
        </w:rPr>
      </w:pPr>
      <w:bookmarkStart w:id="15" w:name="_Toc24183"/>
      <w:bookmarkStart w:id="16" w:name="_Toc14265"/>
      <w:r>
        <w:rPr>
          <w:rFonts w:hint="eastAsia" w:ascii="Times New Roman" w:hAnsi="Times New Roman" w:eastAsia="宋体"/>
          <w:snapToGrid w:val="0"/>
          <w:color w:val="auto"/>
          <w:sz w:val="38"/>
          <w:szCs w:val="38"/>
          <w:u w:val="none" w:color="auto"/>
        </w:rPr>
        <w:t>建设项目污染物排放量汇总表</w:t>
      </w:r>
      <w:bookmarkEnd w:id="15"/>
      <w:bookmarkEnd w:id="16"/>
    </w:p>
    <w:tbl>
      <w:tblPr>
        <w:tblStyle w:val="18"/>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1090"/>
        <w:gridCol w:w="2553"/>
        <w:gridCol w:w="1525"/>
        <w:gridCol w:w="653"/>
        <w:gridCol w:w="1525"/>
        <w:gridCol w:w="1966"/>
        <w:gridCol w:w="1145"/>
        <w:gridCol w:w="2157"/>
        <w:gridCol w:w="1400"/>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0" w:type="auto"/>
            <w:tcBorders>
              <w:tl2br w:val="single" w:color="auto" w:sz="4" w:space="0"/>
            </w:tcBorders>
            <w:tcMar>
              <w:left w:w="28" w:type="dxa"/>
              <w:right w:w="28" w:type="dxa"/>
            </w:tcMar>
            <w:vAlign w:val="center"/>
          </w:tcPr>
          <w:p>
            <w:pPr>
              <w:pStyle w:val="28"/>
              <w:spacing w:line="240" w:lineRule="auto"/>
              <w:jc w:val="center"/>
              <w:rPr>
                <w:rFonts w:hint="eastAsia" w:ascii="Times New Roman" w:hAnsi="Times New Roman" w:eastAsia="宋体" w:cs="Times New Roman"/>
                <w:b/>
                <w:bCs/>
                <w:kern w:val="2"/>
                <w:sz w:val="21"/>
                <w:szCs w:val="21"/>
                <w:lang w:val="en-US" w:eastAsia="zh-CN" w:bidi="ar-SA"/>
              </w:rPr>
            </w:pPr>
            <w:r>
              <w:rPr>
                <w:rFonts w:hint="eastAsia" w:ascii="Times New Roman" w:hAnsi="Times New Roman" w:eastAsia="宋体" w:cs="Times New Roman"/>
                <w:b/>
                <w:bCs/>
                <w:kern w:val="2"/>
                <w:sz w:val="21"/>
                <w:szCs w:val="21"/>
                <w:lang w:val="en-US" w:eastAsia="zh-CN" w:bidi="ar-SA"/>
              </w:rPr>
              <w:t>项目</w:t>
            </w:r>
          </w:p>
          <w:p>
            <w:pPr>
              <w:pStyle w:val="28"/>
              <w:spacing w:line="240" w:lineRule="auto"/>
              <w:jc w:val="center"/>
              <w:rPr>
                <w:rFonts w:hint="eastAsia" w:ascii="Times New Roman" w:hAnsi="Times New Roman" w:eastAsia="宋体" w:cs="Times New Roman"/>
                <w:b/>
                <w:bCs/>
                <w:kern w:val="2"/>
                <w:sz w:val="21"/>
                <w:szCs w:val="21"/>
                <w:lang w:val="en-US" w:eastAsia="zh-CN" w:bidi="ar-SA"/>
              </w:rPr>
            </w:pPr>
            <w:r>
              <w:rPr>
                <w:rFonts w:hint="eastAsia" w:ascii="Times New Roman" w:hAnsi="Times New Roman" w:eastAsia="宋体" w:cs="Times New Roman"/>
                <w:b/>
                <w:bCs/>
                <w:kern w:val="2"/>
                <w:sz w:val="21"/>
                <w:szCs w:val="21"/>
                <w:lang w:val="en-US" w:eastAsia="zh-CN" w:bidi="ar-SA"/>
              </w:rPr>
              <w:t>分类</w:t>
            </w:r>
          </w:p>
        </w:tc>
        <w:tc>
          <w:tcPr>
            <w:tcW w:w="0" w:type="auto"/>
            <w:tcMar>
              <w:left w:w="28" w:type="dxa"/>
              <w:right w:w="28" w:type="dxa"/>
            </w:tcMar>
            <w:vAlign w:val="center"/>
          </w:tcPr>
          <w:p>
            <w:pPr>
              <w:pStyle w:val="28"/>
              <w:spacing w:line="240" w:lineRule="auto"/>
              <w:jc w:val="center"/>
              <w:rPr>
                <w:rFonts w:hint="eastAsia" w:ascii="Times New Roman" w:hAnsi="Times New Roman" w:eastAsia="宋体" w:cs="Times New Roman"/>
                <w:b/>
                <w:bCs/>
                <w:kern w:val="2"/>
                <w:sz w:val="21"/>
                <w:szCs w:val="21"/>
                <w:lang w:val="en-US" w:eastAsia="zh-CN" w:bidi="ar-SA"/>
              </w:rPr>
            </w:pPr>
            <w:r>
              <w:rPr>
                <w:rFonts w:hint="eastAsia" w:ascii="Times New Roman" w:hAnsi="Times New Roman" w:eastAsia="宋体" w:cs="Times New Roman"/>
                <w:b/>
                <w:bCs/>
                <w:kern w:val="2"/>
                <w:sz w:val="21"/>
                <w:szCs w:val="21"/>
                <w:lang w:val="en-US" w:eastAsia="zh-CN" w:bidi="ar-SA"/>
              </w:rPr>
              <w:t>污染物名称</w:t>
            </w:r>
          </w:p>
        </w:tc>
        <w:tc>
          <w:tcPr>
            <w:tcW w:w="0" w:type="auto"/>
            <w:tcMar>
              <w:left w:w="28" w:type="dxa"/>
              <w:right w:w="28" w:type="dxa"/>
            </w:tcMar>
            <w:vAlign w:val="center"/>
          </w:tcPr>
          <w:p>
            <w:pPr>
              <w:pStyle w:val="28"/>
              <w:spacing w:line="240" w:lineRule="auto"/>
              <w:jc w:val="center"/>
              <w:rPr>
                <w:rFonts w:hint="eastAsia" w:ascii="Times New Roman" w:hAnsi="Times New Roman" w:eastAsia="宋体" w:cs="Times New Roman"/>
                <w:b/>
                <w:bCs/>
                <w:kern w:val="2"/>
                <w:sz w:val="21"/>
                <w:szCs w:val="21"/>
                <w:lang w:val="en-US" w:eastAsia="zh-CN" w:bidi="ar-SA"/>
              </w:rPr>
            </w:pPr>
            <w:r>
              <w:rPr>
                <w:rFonts w:hint="eastAsia" w:ascii="Times New Roman" w:hAnsi="Times New Roman" w:eastAsia="宋体" w:cs="Times New Roman"/>
                <w:b/>
                <w:bCs/>
                <w:kern w:val="2"/>
                <w:sz w:val="21"/>
                <w:szCs w:val="21"/>
                <w:lang w:val="en-US" w:eastAsia="zh-CN" w:bidi="ar-SA"/>
              </w:rPr>
              <w:t>现有工程</w:t>
            </w:r>
          </w:p>
          <w:p>
            <w:pPr>
              <w:pStyle w:val="28"/>
              <w:spacing w:line="240" w:lineRule="auto"/>
              <w:jc w:val="center"/>
              <w:rPr>
                <w:rFonts w:hint="eastAsia" w:ascii="Times New Roman" w:hAnsi="Times New Roman" w:eastAsia="宋体" w:cs="Times New Roman"/>
                <w:b/>
                <w:bCs/>
                <w:kern w:val="2"/>
                <w:sz w:val="21"/>
                <w:szCs w:val="21"/>
                <w:lang w:val="en-US" w:eastAsia="zh-CN" w:bidi="ar-SA"/>
              </w:rPr>
            </w:pPr>
            <w:r>
              <w:rPr>
                <w:rFonts w:hint="eastAsia" w:ascii="Times New Roman" w:hAnsi="Times New Roman" w:eastAsia="宋体" w:cs="Times New Roman"/>
                <w:b/>
                <w:bCs/>
                <w:kern w:val="2"/>
                <w:sz w:val="21"/>
                <w:szCs w:val="21"/>
                <w:lang w:val="en-US" w:eastAsia="zh-CN" w:bidi="ar-SA"/>
              </w:rPr>
              <w:t>排放量（固体废物产生量）</w:t>
            </w:r>
            <w:r>
              <w:rPr>
                <w:rFonts w:hint="eastAsia" w:ascii="Times New Roman" w:hAnsi="Times New Roman" w:eastAsia="宋体" w:cs="Times New Roman"/>
                <w:b/>
                <w:bCs/>
                <w:kern w:val="2"/>
                <w:sz w:val="21"/>
                <w:szCs w:val="21"/>
                <w:lang w:val="en-US" w:eastAsia="zh-CN" w:bidi="ar-SA"/>
              </w:rPr>
              <w:fldChar w:fldCharType="begin"/>
            </w:r>
            <w:r>
              <w:rPr>
                <w:rFonts w:hint="eastAsia" w:ascii="Times New Roman" w:hAnsi="Times New Roman" w:eastAsia="宋体" w:cs="Times New Roman"/>
                <w:b/>
                <w:bCs/>
                <w:kern w:val="2"/>
                <w:sz w:val="21"/>
                <w:szCs w:val="21"/>
                <w:lang w:val="en-US" w:eastAsia="zh-CN" w:bidi="ar-SA"/>
              </w:rPr>
              <w:instrText xml:space="preserve"> = 1 \* GB3 \* MERGEFORMAT </w:instrText>
            </w:r>
            <w:r>
              <w:rPr>
                <w:rFonts w:hint="eastAsia" w:ascii="Times New Roman" w:hAnsi="Times New Roman" w:eastAsia="宋体" w:cs="Times New Roman"/>
                <w:b/>
                <w:bCs/>
                <w:kern w:val="2"/>
                <w:sz w:val="21"/>
                <w:szCs w:val="21"/>
                <w:lang w:val="en-US" w:eastAsia="zh-CN" w:bidi="ar-SA"/>
              </w:rPr>
              <w:fldChar w:fldCharType="separate"/>
            </w:r>
            <w:r>
              <w:rPr>
                <w:rFonts w:hint="eastAsia" w:ascii="Times New Roman" w:hAnsi="Times New Roman" w:eastAsia="宋体" w:cs="Times New Roman"/>
                <w:b/>
                <w:bCs/>
                <w:kern w:val="2"/>
                <w:sz w:val="21"/>
                <w:szCs w:val="21"/>
                <w:lang w:val="en-US" w:eastAsia="zh-CN" w:bidi="ar-SA"/>
              </w:rPr>
              <w:t>①</w:t>
            </w:r>
            <w:r>
              <w:rPr>
                <w:rFonts w:hint="eastAsia" w:ascii="Times New Roman" w:hAnsi="Times New Roman" w:eastAsia="宋体" w:cs="Times New Roman"/>
                <w:b/>
                <w:bCs/>
                <w:kern w:val="2"/>
                <w:sz w:val="21"/>
                <w:szCs w:val="21"/>
                <w:lang w:val="en-US" w:eastAsia="zh-CN" w:bidi="ar-SA"/>
              </w:rPr>
              <w:fldChar w:fldCharType="end"/>
            </w:r>
          </w:p>
        </w:tc>
        <w:tc>
          <w:tcPr>
            <w:tcW w:w="0" w:type="auto"/>
            <w:tcMar>
              <w:left w:w="28" w:type="dxa"/>
              <w:right w:w="28" w:type="dxa"/>
            </w:tcMar>
            <w:vAlign w:val="center"/>
          </w:tcPr>
          <w:p>
            <w:pPr>
              <w:pStyle w:val="28"/>
              <w:spacing w:line="240" w:lineRule="auto"/>
              <w:jc w:val="center"/>
              <w:rPr>
                <w:rFonts w:hint="eastAsia" w:ascii="Times New Roman" w:hAnsi="Times New Roman" w:eastAsia="宋体" w:cs="Times New Roman"/>
                <w:b/>
                <w:bCs/>
                <w:kern w:val="2"/>
                <w:sz w:val="21"/>
                <w:szCs w:val="21"/>
                <w:lang w:val="en-US" w:eastAsia="zh-CN" w:bidi="ar-SA"/>
              </w:rPr>
            </w:pPr>
            <w:r>
              <w:rPr>
                <w:rFonts w:hint="eastAsia" w:ascii="Times New Roman" w:hAnsi="Times New Roman" w:eastAsia="宋体" w:cs="Times New Roman"/>
                <w:b/>
                <w:bCs/>
                <w:kern w:val="2"/>
                <w:sz w:val="21"/>
                <w:szCs w:val="21"/>
                <w:lang w:val="en-US" w:eastAsia="zh-CN" w:bidi="ar-SA"/>
              </w:rPr>
              <w:t>现有工程</w:t>
            </w:r>
          </w:p>
          <w:p>
            <w:pPr>
              <w:pStyle w:val="28"/>
              <w:spacing w:line="240" w:lineRule="auto"/>
              <w:jc w:val="center"/>
              <w:rPr>
                <w:rFonts w:hint="eastAsia" w:ascii="Times New Roman" w:hAnsi="Times New Roman" w:eastAsia="宋体" w:cs="Times New Roman"/>
                <w:b/>
                <w:bCs/>
                <w:kern w:val="2"/>
                <w:sz w:val="21"/>
                <w:szCs w:val="21"/>
                <w:lang w:val="en-US" w:eastAsia="zh-CN" w:bidi="ar-SA"/>
              </w:rPr>
            </w:pPr>
            <w:r>
              <w:rPr>
                <w:rFonts w:hint="eastAsia" w:ascii="Times New Roman" w:hAnsi="Times New Roman" w:eastAsia="宋体" w:cs="Times New Roman"/>
                <w:b/>
                <w:bCs/>
                <w:kern w:val="2"/>
                <w:sz w:val="21"/>
                <w:szCs w:val="21"/>
                <w:lang w:val="en-US" w:eastAsia="zh-CN" w:bidi="ar-SA"/>
              </w:rPr>
              <w:t>许可排放量</w:t>
            </w:r>
          </w:p>
          <w:p>
            <w:pPr>
              <w:pStyle w:val="28"/>
              <w:spacing w:line="240" w:lineRule="auto"/>
              <w:jc w:val="center"/>
              <w:rPr>
                <w:rFonts w:hint="eastAsia" w:ascii="Times New Roman" w:hAnsi="Times New Roman" w:eastAsia="宋体" w:cs="Times New Roman"/>
                <w:b/>
                <w:bCs/>
                <w:kern w:val="2"/>
                <w:sz w:val="21"/>
                <w:szCs w:val="21"/>
                <w:lang w:val="en-US" w:eastAsia="zh-CN" w:bidi="ar-SA"/>
              </w:rPr>
            </w:pPr>
            <w:r>
              <w:rPr>
                <w:rFonts w:hint="eastAsia" w:ascii="Times New Roman" w:hAnsi="Times New Roman" w:eastAsia="宋体" w:cs="Times New Roman"/>
                <w:b/>
                <w:bCs/>
                <w:kern w:val="2"/>
                <w:sz w:val="21"/>
                <w:szCs w:val="21"/>
                <w:lang w:val="en-US" w:eastAsia="zh-CN" w:bidi="ar-SA"/>
              </w:rPr>
              <w:fldChar w:fldCharType="begin"/>
            </w:r>
            <w:r>
              <w:rPr>
                <w:rFonts w:hint="eastAsia" w:ascii="Times New Roman" w:hAnsi="Times New Roman" w:eastAsia="宋体" w:cs="Times New Roman"/>
                <w:b/>
                <w:bCs/>
                <w:kern w:val="2"/>
                <w:sz w:val="21"/>
                <w:szCs w:val="21"/>
                <w:lang w:val="en-US" w:eastAsia="zh-CN" w:bidi="ar-SA"/>
              </w:rPr>
              <w:instrText xml:space="preserve"> = 2 \* GB3 \* MERGEFORMAT </w:instrText>
            </w:r>
            <w:r>
              <w:rPr>
                <w:rFonts w:hint="eastAsia" w:ascii="Times New Roman" w:hAnsi="Times New Roman" w:eastAsia="宋体" w:cs="Times New Roman"/>
                <w:b/>
                <w:bCs/>
                <w:kern w:val="2"/>
                <w:sz w:val="21"/>
                <w:szCs w:val="21"/>
                <w:lang w:val="en-US" w:eastAsia="zh-CN" w:bidi="ar-SA"/>
              </w:rPr>
              <w:fldChar w:fldCharType="separate"/>
            </w:r>
            <w:r>
              <w:rPr>
                <w:rFonts w:hint="eastAsia" w:ascii="Times New Roman" w:hAnsi="Times New Roman" w:eastAsia="宋体" w:cs="Times New Roman"/>
                <w:b/>
                <w:bCs/>
                <w:kern w:val="2"/>
                <w:sz w:val="21"/>
                <w:szCs w:val="21"/>
                <w:lang w:val="en-US" w:eastAsia="zh-CN" w:bidi="ar-SA"/>
              </w:rPr>
              <w:t>②</w:t>
            </w:r>
            <w:r>
              <w:rPr>
                <w:rFonts w:hint="eastAsia" w:ascii="Times New Roman" w:hAnsi="Times New Roman" w:eastAsia="宋体" w:cs="Times New Roman"/>
                <w:b/>
                <w:bCs/>
                <w:kern w:val="2"/>
                <w:sz w:val="21"/>
                <w:szCs w:val="21"/>
                <w:lang w:val="en-US" w:eastAsia="zh-CN" w:bidi="ar-SA"/>
              </w:rPr>
              <w:fldChar w:fldCharType="end"/>
            </w:r>
          </w:p>
        </w:tc>
        <w:tc>
          <w:tcPr>
            <w:tcW w:w="0" w:type="auto"/>
            <w:tcMar>
              <w:left w:w="28" w:type="dxa"/>
              <w:right w:w="28" w:type="dxa"/>
            </w:tcMar>
            <w:vAlign w:val="center"/>
          </w:tcPr>
          <w:p>
            <w:pPr>
              <w:pStyle w:val="28"/>
              <w:spacing w:line="240" w:lineRule="auto"/>
              <w:jc w:val="center"/>
              <w:rPr>
                <w:rFonts w:hint="eastAsia" w:ascii="Times New Roman" w:hAnsi="Times New Roman" w:eastAsia="宋体" w:cs="Times New Roman"/>
                <w:b/>
                <w:bCs/>
                <w:kern w:val="2"/>
                <w:sz w:val="21"/>
                <w:szCs w:val="21"/>
                <w:lang w:val="en-US" w:eastAsia="zh-CN" w:bidi="ar-SA"/>
              </w:rPr>
            </w:pPr>
            <w:r>
              <w:rPr>
                <w:rFonts w:hint="eastAsia" w:ascii="Times New Roman" w:hAnsi="Times New Roman" w:eastAsia="宋体" w:cs="Times New Roman"/>
                <w:b/>
                <w:bCs/>
                <w:kern w:val="2"/>
                <w:sz w:val="21"/>
                <w:szCs w:val="21"/>
                <w:lang w:val="en-US" w:eastAsia="zh-CN" w:bidi="ar-SA"/>
              </w:rPr>
              <w:t>在建工程</w:t>
            </w:r>
          </w:p>
          <w:p>
            <w:pPr>
              <w:pStyle w:val="28"/>
              <w:spacing w:line="240" w:lineRule="auto"/>
              <w:jc w:val="center"/>
              <w:rPr>
                <w:rFonts w:hint="eastAsia" w:ascii="Times New Roman" w:hAnsi="Times New Roman" w:eastAsia="宋体" w:cs="Times New Roman"/>
                <w:b/>
                <w:bCs/>
                <w:kern w:val="2"/>
                <w:sz w:val="21"/>
                <w:szCs w:val="21"/>
                <w:lang w:val="en-US" w:eastAsia="zh-CN" w:bidi="ar-SA"/>
              </w:rPr>
            </w:pPr>
            <w:r>
              <w:rPr>
                <w:rFonts w:hint="eastAsia" w:ascii="Times New Roman" w:hAnsi="Times New Roman" w:eastAsia="宋体" w:cs="Times New Roman"/>
                <w:b/>
                <w:bCs/>
                <w:kern w:val="2"/>
                <w:sz w:val="21"/>
                <w:szCs w:val="21"/>
                <w:lang w:val="en-US" w:eastAsia="zh-CN" w:bidi="ar-SA"/>
              </w:rPr>
              <w:t>排放量（固体废物产生量）</w:t>
            </w:r>
            <w:r>
              <w:rPr>
                <w:rFonts w:hint="eastAsia" w:ascii="Times New Roman" w:hAnsi="Times New Roman" w:eastAsia="宋体" w:cs="Times New Roman"/>
                <w:b/>
                <w:bCs/>
                <w:kern w:val="2"/>
                <w:sz w:val="21"/>
                <w:szCs w:val="21"/>
                <w:lang w:val="en-US" w:eastAsia="zh-CN" w:bidi="ar-SA"/>
              </w:rPr>
              <w:fldChar w:fldCharType="begin"/>
            </w:r>
            <w:r>
              <w:rPr>
                <w:rFonts w:hint="eastAsia" w:ascii="Times New Roman" w:hAnsi="Times New Roman" w:eastAsia="宋体" w:cs="Times New Roman"/>
                <w:b/>
                <w:bCs/>
                <w:kern w:val="2"/>
                <w:sz w:val="21"/>
                <w:szCs w:val="21"/>
                <w:lang w:val="en-US" w:eastAsia="zh-CN" w:bidi="ar-SA"/>
              </w:rPr>
              <w:instrText xml:space="preserve"> = 3 \* GB3 \* MERGEFORMAT </w:instrText>
            </w:r>
            <w:r>
              <w:rPr>
                <w:rFonts w:hint="eastAsia" w:ascii="Times New Roman" w:hAnsi="Times New Roman" w:eastAsia="宋体" w:cs="Times New Roman"/>
                <w:b/>
                <w:bCs/>
                <w:kern w:val="2"/>
                <w:sz w:val="21"/>
                <w:szCs w:val="21"/>
                <w:lang w:val="en-US" w:eastAsia="zh-CN" w:bidi="ar-SA"/>
              </w:rPr>
              <w:fldChar w:fldCharType="separate"/>
            </w:r>
            <w:r>
              <w:rPr>
                <w:rFonts w:hint="eastAsia" w:ascii="Times New Roman" w:hAnsi="Times New Roman" w:eastAsia="宋体" w:cs="Times New Roman"/>
                <w:b/>
                <w:bCs/>
                <w:kern w:val="2"/>
                <w:sz w:val="21"/>
                <w:szCs w:val="21"/>
                <w:lang w:val="en-US" w:eastAsia="zh-CN" w:bidi="ar-SA"/>
              </w:rPr>
              <w:t>③</w:t>
            </w:r>
            <w:r>
              <w:rPr>
                <w:rFonts w:hint="eastAsia" w:ascii="Times New Roman" w:hAnsi="Times New Roman" w:eastAsia="宋体" w:cs="Times New Roman"/>
                <w:b/>
                <w:bCs/>
                <w:kern w:val="2"/>
                <w:sz w:val="21"/>
                <w:szCs w:val="21"/>
                <w:lang w:val="en-US" w:eastAsia="zh-CN" w:bidi="ar-SA"/>
              </w:rPr>
              <w:fldChar w:fldCharType="end"/>
            </w:r>
          </w:p>
        </w:tc>
        <w:tc>
          <w:tcPr>
            <w:tcW w:w="0" w:type="auto"/>
            <w:tcMar>
              <w:left w:w="28" w:type="dxa"/>
              <w:right w:w="28" w:type="dxa"/>
            </w:tcMar>
            <w:vAlign w:val="center"/>
          </w:tcPr>
          <w:p>
            <w:pPr>
              <w:pStyle w:val="28"/>
              <w:spacing w:line="240" w:lineRule="auto"/>
              <w:jc w:val="center"/>
              <w:rPr>
                <w:rFonts w:hint="eastAsia" w:ascii="Times New Roman" w:hAnsi="Times New Roman" w:eastAsia="宋体" w:cs="Times New Roman"/>
                <w:b/>
                <w:bCs/>
                <w:kern w:val="2"/>
                <w:sz w:val="21"/>
                <w:szCs w:val="21"/>
                <w:lang w:val="en-US" w:eastAsia="zh-CN" w:bidi="ar-SA"/>
              </w:rPr>
            </w:pPr>
            <w:r>
              <w:rPr>
                <w:rFonts w:hint="eastAsia" w:ascii="Times New Roman" w:hAnsi="Times New Roman" w:eastAsia="宋体" w:cs="Times New Roman"/>
                <w:b/>
                <w:bCs/>
                <w:kern w:val="2"/>
                <w:sz w:val="21"/>
                <w:szCs w:val="21"/>
                <w:lang w:val="en-US" w:eastAsia="zh-CN" w:bidi="ar-SA"/>
              </w:rPr>
              <w:t>本项目</w:t>
            </w:r>
          </w:p>
          <w:p>
            <w:pPr>
              <w:pStyle w:val="28"/>
              <w:spacing w:line="240" w:lineRule="auto"/>
              <w:jc w:val="center"/>
              <w:rPr>
                <w:rFonts w:hint="eastAsia" w:ascii="Times New Roman" w:hAnsi="Times New Roman" w:eastAsia="宋体" w:cs="Times New Roman"/>
                <w:b/>
                <w:bCs/>
                <w:kern w:val="2"/>
                <w:sz w:val="21"/>
                <w:szCs w:val="21"/>
                <w:lang w:val="en-US" w:eastAsia="zh-CN" w:bidi="ar-SA"/>
              </w:rPr>
            </w:pPr>
            <w:r>
              <w:rPr>
                <w:rFonts w:hint="eastAsia" w:ascii="Times New Roman" w:hAnsi="Times New Roman" w:eastAsia="宋体" w:cs="Times New Roman"/>
                <w:b/>
                <w:bCs/>
                <w:kern w:val="2"/>
                <w:sz w:val="21"/>
                <w:szCs w:val="21"/>
                <w:lang w:val="en-US" w:eastAsia="zh-CN" w:bidi="ar-SA"/>
              </w:rPr>
              <w:t>排放量（固体废物产生量）</w:t>
            </w:r>
            <w:r>
              <w:rPr>
                <w:rFonts w:hint="eastAsia" w:ascii="Times New Roman" w:hAnsi="Times New Roman" w:eastAsia="宋体" w:cs="Times New Roman"/>
                <w:b/>
                <w:bCs/>
                <w:kern w:val="2"/>
                <w:sz w:val="21"/>
                <w:szCs w:val="21"/>
                <w:lang w:val="en-US" w:eastAsia="zh-CN" w:bidi="ar-SA"/>
              </w:rPr>
              <w:fldChar w:fldCharType="begin"/>
            </w:r>
            <w:r>
              <w:rPr>
                <w:rFonts w:hint="eastAsia" w:ascii="Times New Roman" w:hAnsi="Times New Roman" w:eastAsia="宋体" w:cs="Times New Roman"/>
                <w:b/>
                <w:bCs/>
                <w:kern w:val="2"/>
                <w:sz w:val="21"/>
                <w:szCs w:val="21"/>
                <w:lang w:val="en-US" w:eastAsia="zh-CN" w:bidi="ar-SA"/>
              </w:rPr>
              <w:instrText xml:space="preserve"> = 4 \* GB3 \* MERGEFORMAT </w:instrText>
            </w:r>
            <w:r>
              <w:rPr>
                <w:rFonts w:hint="eastAsia" w:ascii="Times New Roman" w:hAnsi="Times New Roman" w:eastAsia="宋体" w:cs="Times New Roman"/>
                <w:b/>
                <w:bCs/>
                <w:kern w:val="2"/>
                <w:sz w:val="21"/>
                <w:szCs w:val="21"/>
                <w:lang w:val="en-US" w:eastAsia="zh-CN" w:bidi="ar-SA"/>
              </w:rPr>
              <w:fldChar w:fldCharType="separate"/>
            </w:r>
            <w:r>
              <w:rPr>
                <w:rFonts w:hint="eastAsia" w:ascii="Times New Roman" w:hAnsi="Times New Roman" w:eastAsia="宋体" w:cs="Times New Roman"/>
                <w:b/>
                <w:bCs/>
                <w:kern w:val="2"/>
                <w:sz w:val="21"/>
                <w:szCs w:val="21"/>
                <w:lang w:val="en-US" w:eastAsia="zh-CN" w:bidi="ar-SA"/>
              </w:rPr>
              <w:t>④</w:t>
            </w:r>
            <w:r>
              <w:rPr>
                <w:rFonts w:hint="eastAsia" w:ascii="Times New Roman" w:hAnsi="Times New Roman" w:eastAsia="宋体" w:cs="Times New Roman"/>
                <w:b/>
                <w:bCs/>
                <w:kern w:val="2"/>
                <w:sz w:val="21"/>
                <w:szCs w:val="21"/>
                <w:lang w:val="en-US" w:eastAsia="zh-CN" w:bidi="ar-SA"/>
              </w:rPr>
              <w:fldChar w:fldCharType="end"/>
            </w:r>
          </w:p>
        </w:tc>
        <w:tc>
          <w:tcPr>
            <w:tcW w:w="0" w:type="auto"/>
            <w:tcMar>
              <w:left w:w="28" w:type="dxa"/>
              <w:right w:w="28" w:type="dxa"/>
            </w:tcMar>
            <w:vAlign w:val="center"/>
          </w:tcPr>
          <w:p>
            <w:pPr>
              <w:pStyle w:val="28"/>
              <w:spacing w:line="240" w:lineRule="auto"/>
              <w:jc w:val="center"/>
              <w:rPr>
                <w:rFonts w:hint="eastAsia" w:ascii="Times New Roman" w:hAnsi="Times New Roman" w:eastAsia="宋体" w:cs="Times New Roman"/>
                <w:b/>
                <w:bCs/>
                <w:kern w:val="2"/>
                <w:sz w:val="21"/>
                <w:szCs w:val="21"/>
                <w:lang w:val="en-US" w:eastAsia="zh-CN" w:bidi="ar-SA"/>
              </w:rPr>
            </w:pPr>
            <w:r>
              <w:rPr>
                <w:rFonts w:hint="eastAsia" w:ascii="Times New Roman" w:hAnsi="Times New Roman" w:eastAsia="宋体" w:cs="Times New Roman"/>
                <w:b/>
                <w:bCs/>
                <w:kern w:val="2"/>
                <w:sz w:val="21"/>
                <w:szCs w:val="21"/>
                <w:lang w:val="en-US" w:eastAsia="zh-CN" w:bidi="ar-SA"/>
              </w:rPr>
              <w:t>以新带老削减量</w:t>
            </w:r>
          </w:p>
          <w:p>
            <w:pPr>
              <w:pStyle w:val="28"/>
              <w:spacing w:line="240" w:lineRule="auto"/>
              <w:jc w:val="center"/>
              <w:rPr>
                <w:rFonts w:hint="eastAsia" w:ascii="Times New Roman" w:hAnsi="Times New Roman" w:eastAsia="宋体" w:cs="Times New Roman"/>
                <w:b/>
                <w:bCs/>
                <w:kern w:val="2"/>
                <w:sz w:val="21"/>
                <w:szCs w:val="21"/>
                <w:lang w:val="en-US" w:eastAsia="zh-CN" w:bidi="ar-SA"/>
              </w:rPr>
            </w:pPr>
            <w:r>
              <w:rPr>
                <w:rFonts w:hint="eastAsia" w:ascii="Times New Roman" w:hAnsi="Times New Roman" w:eastAsia="宋体" w:cs="Times New Roman"/>
                <w:b/>
                <w:bCs/>
                <w:kern w:val="2"/>
                <w:sz w:val="21"/>
                <w:szCs w:val="21"/>
                <w:lang w:val="en-US" w:eastAsia="zh-CN" w:bidi="ar-SA"/>
              </w:rPr>
              <w:t>（新建项目不填）</w:t>
            </w:r>
            <w:r>
              <w:rPr>
                <w:rFonts w:hint="eastAsia" w:ascii="Times New Roman" w:hAnsi="Times New Roman" w:eastAsia="宋体" w:cs="Times New Roman"/>
                <w:b/>
                <w:bCs/>
                <w:kern w:val="2"/>
                <w:sz w:val="21"/>
                <w:szCs w:val="21"/>
                <w:lang w:val="en-US" w:eastAsia="zh-CN" w:bidi="ar-SA"/>
              </w:rPr>
              <w:fldChar w:fldCharType="begin"/>
            </w:r>
            <w:r>
              <w:rPr>
                <w:rFonts w:hint="eastAsia" w:ascii="Times New Roman" w:hAnsi="Times New Roman" w:eastAsia="宋体" w:cs="Times New Roman"/>
                <w:b/>
                <w:bCs/>
                <w:kern w:val="2"/>
                <w:sz w:val="21"/>
                <w:szCs w:val="21"/>
                <w:lang w:val="en-US" w:eastAsia="zh-CN" w:bidi="ar-SA"/>
              </w:rPr>
              <w:instrText xml:space="preserve"> = 5 \* GB3 \* MERGEFORMAT </w:instrText>
            </w:r>
            <w:r>
              <w:rPr>
                <w:rFonts w:hint="eastAsia" w:ascii="Times New Roman" w:hAnsi="Times New Roman" w:eastAsia="宋体" w:cs="Times New Roman"/>
                <w:b/>
                <w:bCs/>
                <w:kern w:val="2"/>
                <w:sz w:val="21"/>
                <w:szCs w:val="21"/>
                <w:lang w:val="en-US" w:eastAsia="zh-CN" w:bidi="ar-SA"/>
              </w:rPr>
              <w:fldChar w:fldCharType="separate"/>
            </w:r>
            <w:r>
              <w:rPr>
                <w:rFonts w:hint="eastAsia" w:ascii="Times New Roman" w:hAnsi="Times New Roman" w:eastAsia="宋体" w:cs="Times New Roman"/>
                <w:b/>
                <w:bCs/>
                <w:kern w:val="2"/>
                <w:sz w:val="21"/>
                <w:szCs w:val="21"/>
                <w:lang w:val="en-US" w:eastAsia="zh-CN" w:bidi="ar-SA"/>
              </w:rPr>
              <w:t>⑤</w:t>
            </w:r>
            <w:r>
              <w:rPr>
                <w:rFonts w:hint="eastAsia" w:ascii="Times New Roman" w:hAnsi="Times New Roman" w:eastAsia="宋体" w:cs="Times New Roman"/>
                <w:b/>
                <w:bCs/>
                <w:kern w:val="2"/>
                <w:sz w:val="21"/>
                <w:szCs w:val="21"/>
                <w:lang w:val="en-US" w:eastAsia="zh-CN" w:bidi="ar-SA"/>
              </w:rPr>
              <w:fldChar w:fldCharType="end"/>
            </w:r>
          </w:p>
        </w:tc>
        <w:tc>
          <w:tcPr>
            <w:tcW w:w="0" w:type="auto"/>
            <w:tcMar>
              <w:left w:w="28" w:type="dxa"/>
              <w:right w:w="28" w:type="dxa"/>
            </w:tcMar>
            <w:vAlign w:val="center"/>
          </w:tcPr>
          <w:p>
            <w:pPr>
              <w:pStyle w:val="28"/>
              <w:spacing w:line="240" w:lineRule="auto"/>
              <w:jc w:val="center"/>
              <w:rPr>
                <w:rFonts w:hint="eastAsia" w:ascii="Times New Roman" w:hAnsi="Times New Roman" w:eastAsia="宋体" w:cs="Times New Roman"/>
                <w:b/>
                <w:bCs/>
                <w:kern w:val="2"/>
                <w:sz w:val="21"/>
                <w:szCs w:val="21"/>
                <w:lang w:val="en-US" w:eastAsia="zh-CN" w:bidi="ar-SA"/>
              </w:rPr>
            </w:pPr>
            <w:r>
              <w:rPr>
                <w:rFonts w:hint="eastAsia" w:ascii="Times New Roman" w:hAnsi="Times New Roman" w:eastAsia="宋体" w:cs="Times New Roman"/>
                <w:b/>
                <w:bCs/>
                <w:kern w:val="2"/>
                <w:sz w:val="21"/>
                <w:szCs w:val="21"/>
                <w:lang w:val="en-US" w:eastAsia="zh-CN" w:bidi="ar-SA"/>
              </w:rPr>
              <w:t>本项目建成后</w:t>
            </w:r>
          </w:p>
          <w:p>
            <w:pPr>
              <w:pStyle w:val="28"/>
              <w:spacing w:line="240" w:lineRule="auto"/>
              <w:jc w:val="center"/>
              <w:rPr>
                <w:rFonts w:hint="eastAsia" w:ascii="Times New Roman" w:hAnsi="Times New Roman" w:eastAsia="宋体" w:cs="Times New Roman"/>
                <w:b/>
                <w:bCs/>
                <w:kern w:val="2"/>
                <w:sz w:val="21"/>
                <w:szCs w:val="21"/>
                <w:lang w:val="en-US" w:eastAsia="zh-CN" w:bidi="ar-SA"/>
              </w:rPr>
            </w:pPr>
            <w:r>
              <w:rPr>
                <w:rFonts w:hint="eastAsia" w:ascii="Times New Roman" w:hAnsi="Times New Roman" w:eastAsia="宋体" w:cs="Times New Roman"/>
                <w:b/>
                <w:bCs/>
                <w:kern w:val="2"/>
                <w:sz w:val="21"/>
                <w:szCs w:val="21"/>
                <w:lang w:val="en-US" w:eastAsia="zh-CN" w:bidi="ar-SA"/>
              </w:rPr>
              <w:t>全厂排放量（固体废物产生量）</w:t>
            </w:r>
            <w:r>
              <w:rPr>
                <w:rFonts w:hint="eastAsia" w:ascii="Times New Roman" w:hAnsi="Times New Roman" w:eastAsia="宋体" w:cs="Times New Roman"/>
                <w:b/>
                <w:bCs/>
                <w:kern w:val="2"/>
                <w:sz w:val="21"/>
                <w:szCs w:val="21"/>
                <w:lang w:val="en-US" w:eastAsia="zh-CN" w:bidi="ar-SA"/>
              </w:rPr>
              <w:fldChar w:fldCharType="begin"/>
            </w:r>
            <w:r>
              <w:rPr>
                <w:rFonts w:hint="eastAsia" w:ascii="Times New Roman" w:hAnsi="Times New Roman" w:eastAsia="宋体" w:cs="Times New Roman"/>
                <w:b/>
                <w:bCs/>
                <w:kern w:val="2"/>
                <w:sz w:val="21"/>
                <w:szCs w:val="21"/>
                <w:lang w:val="en-US" w:eastAsia="zh-CN" w:bidi="ar-SA"/>
              </w:rPr>
              <w:instrText xml:space="preserve"> = 6 \* GB3 \* MERGEFORMAT </w:instrText>
            </w:r>
            <w:r>
              <w:rPr>
                <w:rFonts w:hint="eastAsia" w:ascii="Times New Roman" w:hAnsi="Times New Roman" w:eastAsia="宋体" w:cs="Times New Roman"/>
                <w:b/>
                <w:bCs/>
                <w:kern w:val="2"/>
                <w:sz w:val="21"/>
                <w:szCs w:val="21"/>
                <w:lang w:val="en-US" w:eastAsia="zh-CN" w:bidi="ar-SA"/>
              </w:rPr>
              <w:fldChar w:fldCharType="separate"/>
            </w:r>
            <w:r>
              <w:rPr>
                <w:rFonts w:hint="eastAsia" w:ascii="Times New Roman" w:hAnsi="Times New Roman" w:eastAsia="宋体" w:cs="Times New Roman"/>
                <w:b/>
                <w:bCs/>
                <w:kern w:val="2"/>
                <w:sz w:val="21"/>
                <w:szCs w:val="21"/>
                <w:lang w:val="en-US" w:eastAsia="zh-CN" w:bidi="ar-SA"/>
              </w:rPr>
              <w:t>⑥</w:t>
            </w:r>
            <w:r>
              <w:rPr>
                <w:rFonts w:hint="eastAsia" w:ascii="Times New Roman" w:hAnsi="Times New Roman" w:eastAsia="宋体" w:cs="Times New Roman"/>
                <w:b/>
                <w:bCs/>
                <w:kern w:val="2"/>
                <w:sz w:val="21"/>
                <w:szCs w:val="21"/>
                <w:lang w:val="en-US" w:eastAsia="zh-CN" w:bidi="ar-SA"/>
              </w:rPr>
              <w:fldChar w:fldCharType="end"/>
            </w:r>
          </w:p>
        </w:tc>
        <w:tc>
          <w:tcPr>
            <w:tcW w:w="0" w:type="auto"/>
            <w:tcMar>
              <w:left w:w="28" w:type="dxa"/>
              <w:right w:w="28" w:type="dxa"/>
            </w:tcMar>
            <w:vAlign w:val="center"/>
          </w:tcPr>
          <w:p>
            <w:pPr>
              <w:pStyle w:val="28"/>
              <w:spacing w:line="240" w:lineRule="auto"/>
              <w:jc w:val="center"/>
              <w:rPr>
                <w:rFonts w:hint="eastAsia" w:ascii="Times New Roman" w:hAnsi="Times New Roman" w:eastAsia="宋体" w:cs="Times New Roman"/>
                <w:b/>
                <w:bCs/>
                <w:kern w:val="2"/>
                <w:sz w:val="21"/>
                <w:szCs w:val="21"/>
                <w:lang w:val="en-US" w:eastAsia="zh-CN" w:bidi="ar-SA"/>
              </w:rPr>
            </w:pPr>
            <w:r>
              <w:rPr>
                <w:rFonts w:hint="eastAsia" w:ascii="Times New Roman" w:hAnsi="Times New Roman" w:eastAsia="宋体" w:cs="Times New Roman"/>
                <w:b/>
                <w:bCs/>
                <w:kern w:val="2"/>
                <w:sz w:val="21"/>
                <w:szCs w:val="21"/>
                <w:lang w:val="en-US" w:eastAsia="zh-CN" w:bidi="ar-SA"/>
              </w:rPr>
              <w:t>变化量</w:t>
            </w:r>
          </w:p>
          <w:p>
            <w:pPr>
              <w:pStyle w:val="28"/>
              <w:spacing w:line="240" w:lineRule="auto"/>
              <w:jc w:val="center"/>
              <w:rPr>
                <w:rFonts w:hint="eastAsia" w:ascii="Times New Roman" w:hAnsi="Times New Roman" w:eastAsia="宋体" w:cs="Times New Roman"/>
                <w:b/>
                <w:bCs/>
                <w:kern w:val="2"/>
                <w:sz w:val="21"/>
                <w:szCs w:val="21"/>
                <w:lang w:val="en-US" w:eastAsia="zh-CN" w:bidi="ar-SA"/>
              </w:rPr>
            </w:pPr>
            <w:r>
              <w:rPr>
                <w:rFonts w:hint="eastAsia" w:ascii="Times New Roman" w:hAnsi="Times New Roman" w:eastAsia="宋体" w:cs="Times New Roman"/>
                <w:b/>
                <w:bCs/>
                <w:kern w:val="2"/>
                <w:sz w:val="21"/>
                <w:szCs w:val="21"/>
                <w:lang w:val="en-US" w:eastAsia="zh-CN" w:bidi="ar-SA"/>
              </w:rPr>
              <w:fldChar w:fldCharType="begin"/>
            </w:r>
            <w:r>
              <w:rPr>
                <w:rFonts w:hint="eastAsia" w:ascii="Times New Roman" w:hAnsi="Times New Roman" w:eastAsia="宋体" w:cs="Times New Roman"/>
                <w:b/>
                <w:bCs/>
                <w:kern w:val="2"/>
                <w:sz w:val="21"/>
                <w:szCs w:val="21"/>
                <w:lang w:val="en-US" w:eastAsia="zh-CN" w:bidi="ar-SA"/>
              </w:rPr>
              <w:instrText xml:space="preserve"> = 7 \* GB3 \* MERGEFORMAT </w:instrText>
            </w:r>
            <w:r>
              <w:rPr>
                <w:rFonts w:hint="eastAsia" w:ascii="Times New Roman" w:hAnsi="Times New Roman" w:eastAsia="宋体" w:cs="Times New Roman"/>
                <w:b/>
                <w:bCs/>
                <w:kern w:val="2"/>
                <w:sz w:val="21"/>
                <w:szCs w:val="21"/>
                <w:lang w:val="en-US" w:eastAsia="zh-CN" w:bidi="ar-SA"/>
              </w:rPr>
              <w:fldChar w:fldCharType="separate"/>
            </w:r>
            <w:r>
              <w:rPr>
                <w:rFonts w:hint="eastAsia" w:ascii="Times New Roman" w:hAnsi="Times New Roman" w:eastAsia="宋体" w:cs="Times New Roman"/>
                <w:b/>
                <w:bCs/>
                <w:kern w:val="2"/>
                <w:sz w:val="21"/>
                <w:szCs w:val="21"/>
                <w:lang w:val="en-US" w:eastAsia="zh-CN" w:bidi="ar-SA"/>
              </w:rPr>
              <w:t>⑦</w:t>
            </w:r>
            <w:r>
              <w:rPr>
                <w:rFonts w:hint="eastAsia" w:ascii="Times New Roman" w:hAnsi="Times New Roman" w:eastAsia="宋体" w:cs="Times New Roman"/>
                <w:b/>
                <w:bCs/>
                <w:kern w:val="2"/>
                <w:sz w:val="21"/>
                <w:szCs w:val="21"/>
                <w:lang w:val="en-US" w:eastAsia="zh-CN" w:bidi="ar-SA"/>
              </w:rPr>
              <w:fldChar w:fldCharType="end"/>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0" w:type="auto"/>
            <w:vMerge w:val="restart"/>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废气</w:t>
            </w:r>
          </w:p>
        </w:tc>
        <w:tc>
          <w:tcPr>
            <w:tcW w:w="0" w:type="auto"/>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非甲烷总烃</w:t>
            </w:r>
          </w:p>
        </w:tc>
        <w:tc>
          <w:tcPr>
            <w:tcW w:w="0" w:type="auto"/>
            <w:vAlign w:val="center"/>
          </w:tcPr>
          <w:p>
            <w:pPr>
              <w:pStyle w:val="28"/>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color w:val="auto"/>
                <w:sz w:val="21"/>
                <w:szCs w:val="21"/>
                <w:lang w:val="en-US" w:eastAsia="zh-CN"/>
              </w:rPr>
              <w:t>0.236</w:t>
            </w:r>
            <w:r>
              <w:rPr>
                <w:rFonts w:hint="eastAsia" w:ascii="Times New Roman" w:hAnsi="Times New Roman" w:eastAsia="宋体" w:cs="Times New Roman"/>
                <w:bCs w:val="0"/>
                <w:kern w:val="2"/>
                <w:sz w:val="21"/>
                <w:szCs w:val="21"/>
                <w:lang w:val="en-US" w:eastAsia="zh-CN" w:bidi="ar-SA"/>
              </w:rPr>
              <w:t>t/a</w:t>
            </w:r>
          </w:p>
        </w:tc>
        <w:tc>
          <w:tcPr>
            <w:tcW w:w="0" w:type="auto"/>
            <w:vAlign w:val="center"/>
          </w:tcPr>
          <w:p>
            <w:pPr>
              <w:pStyle w:val="28"/>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color w:val="auto"/>
                <w:sz w:val="21"/>
                <w:szCs w:val="21"/>
                <w:lang w:val="en-US" w:eastAsia="zh-CN"/>
              </w:rPr>
              <w:t>0.236</w:t>
            </w:r>
            <w:r>
              <w:rPr>
                <w:rFonts w:hint="eastAsia" w:ascii="Times New Roman" w:hAnsi="Times New Roman" w:eastAsia="宋体" w:cs="Times New Roman"/>
                <w:bCs w:val="0"/>
                <w:kern w:val="2"/>
                <w:sz w:val="21"/>
                <w:szCs w:val="21"/>
                <w:lang w:val="en-US" w:eastAsia="zh-CN" w:bidi="ar-SA"/>
              </w:rPr>
              <w:t>t/a</w:t>
            </w:r>
          </w:p>
        </w:tc>
        <w:tc>
          <w:tcPr>
            <w:tcW w:w="0" w:type="auto"/>
            <w:vAlign w:val="center"/>
          </w:tcPr>
          <w:p>
            <w:pPr>
              <w:pStyle w:val="28"/>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r>
              <w:rPr>
                <w:rFonts w:hint="eastAsia"/>
                <w:color w:val="auto"/>
                <w:sz w:val="21"/>
                <w:szCs w:val="21"/>
                <w:lang w:val="en-US" w:eastAsia="zh-CN"/>
              </w:rPr>
              <w:t>0.236</w:t>
            </w:r>
            <w:r>
              <w:rPr>
                <w:rFonts w:hint="eastAsia" w:ascii="Times New Roman" w:hAnsi="Times New Roman" w:eastAsia="宋体" w:cs="Times New Roman"/>
                <w:bCs w:val="0"/>
                <w:kern w:val="2"/>
                <w:sz w:val="21"/>
                <w:szCs w:val="21"/>
                <w:lang w:val="en-US" w:eastAsia="zh-CN" w:bidi="ar-SA"/>
              </w:rPr>
              <w:t>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0" w:type="auto"/>
            <w:vMerge w:val="continue"/>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p>
        </w:tc>
        <w:tc>
          <w:tcPr>
            <w:tcW w:w="0" w:type="auto"/>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颗粒物</w:t>
            </w:r>
          </w:p>
        </w:tc>
        <w:tc>
          <w:tcPr>
            <w:tcW w:w="0" w:type="auto"/>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color w:val="auto"/>
                <w:sz w:val="21"/>
                <w:szCs w:val="21"/>
                <w:lang w:val="en-US" w:eastAsia="zh-CN"/>
              </w:rPr>
              <w:t>0.02624</w:t>
            </w:r>
            <w:r>
              <w:rPr>
                <w:rFonts w:hint="eastAsia" w:ascii="Times New Roman" w:hAnsi="Times New Roman" w:eastAsia="宋体" w:cs="Times New Roman"/>
                <w:bCs w:val="0"/>
                <w:kern w:val="2"/>
                <w:sz w:val="21"/>
                <w:szCs w:val="21"/>
                <w:lang w:val="en-US" w:eastAsia="zh-CN" w:bidi="ar-SA"/>
              </w:rPr>
              <w:t>t/a</w:t>
            </w:r>
          </w:p>
        </w:tc>
        <w:tc>
          <w:tcPr>
            <w:tcW w:w="0" w:type="auto"/>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color w:val="auto"/>
                <w:sz w:val="21"/>
                <w:szCs w:val="21"/>
                <w:lang w:val="en-US" w:eastAsia="zh-CN"/>
              </w:rPr>
              <w:t>0.02624</w:t>
            </w:r>
            <w:r>
              <w:rPr>
                <w:rFonts w:hint="eastAsia" w:ascii="Times New Roman" w:hAnsi="Times New Roman" w:eastAsia="宋体" w:cs="Times New Roman"/>
                <w:bCs w:val="0"/>
                <w:kern w:val="2"/>
                <w:sz w:val="21"/>
                <w:szCs w:val="21"/>
                <w:lang w:val="en-US" w:eastAsia="zh-CN" w:bidi="ar-SA"/>
              </w:rPr>
              <w:t>t/a</w:t>
            </w:r>
          </w:p>
        </w:tc>
        <w:tc>
          <w:tcPr>
            <w:tcW w:w="0" w:type="auto"/>
            <w:vAlign w:val="center"/>
          </w:tcPr>
          <w:p>
            <w:pPr>
              <w:pStyle w:val="28"/>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r>
              <w:rPr>
                <w:rFonts w:hint="eastAsia"/>
                <w:color w:val="auto"/>
                <w:sz w:val="21"/>
                <w:szCs w:val="21"/>
                <w:lang w:val="en-US" w:eastAsia="zh-CN"/>
              </w:rPr>
              <w:t>0.02624</w:t>
            </w:r>
            <w:r>
              <w:rPr>
                <w:rFonts w:hint="eastAsia" w:ascii="Times New Roman" w:hAnsi="Times New Roman" w:eastAsia="宋体" w:cs="Times New Roman"/>
                <w:bCs w:val="0"/>
                <w:kern w:val="2"/>
                <w:sz w:val="21"/>
                <w:szCs w:val="21"/>
                <w:lang w:val="en-US" w:eastAsia="zh-CN" w:bidi="ar-SA"/>
              </w:rPr>
              <w:t>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0" w:type="auto"/>
            <w:vMerge w:val="restart"/>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废水</w:t>
            </w:r>
          </w:p>
        </w:tc>
        <w:tc>
          <w:tcPr>
            <w:tcW w:w="0" w:type="auto"/>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废水量</w:t>
            </w:r>
          </w:p>
        </w:tc>
        <w:tc>
          <w:tcPr>
            <w:tcW w:w="0" w:type="auto"/>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pStyle w:val="28"/>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4289.74m</w:t>
            </w:r>
            <w:r>
              <w:rPr>
                <w:rFonts w:hint="eastAsia" w:ascii="Times New Roman" w:hAnsi="Times New Roman" w:eastAsia="宋体" w:cs="Times New Roman"/>
                <w:bCs w:val="0"/>
                <w:kern w:val="2"/>
                <w:sz w:val="21"/>
                <w:szCs w:val="21"/>
                <w:vertAlign w:val="superscript"/>
                <w:lang w:val="en-US" w:eastAsia="zh-CN" w:bidi="ar-SA"/>
              </w:rPr>
              <w:t>3</w:t>
            </w:r>
            <w:r>
              <w:rPr>
                <w:rFonts w:hint="eastAsia" w:ascii="Times New Roman" w:hAnsi="Times New Roman" w:eastAsia="宋体" w:cs="Times New Roman"/>
                <w:bCs w:val="0"/>
                <w:kern w:val="2"/>
                <w:sz w:val="21"/>
                <w:szCs w:val="21"/>
                <w:lang w:val="en-US" w:eastAsia="zh-CN" w:bidi="ar-SA"/>
              </w:rPr>
              <w:t>/a</w:t>
            </w:r>
          </w:p>
        </w:tc>
        <w:tc>
          <w:tcPr>
            <w:tcW w:w="0" w:type="auto"/>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4289.74m</w:t>
            </w:r>
            <w:r>
              <w:rPr>
                <w:rFonts w:hint="eastAsia" w:ascii="Times New Roman" w:hAnsi="Times New Roman" w:eastAsia="宋体" w:cs="Times New Roman"/>
                <w:bCs w:val="0"/>
                <w:kern w:val="2"/>
                <w:sz w:val="21"/>
                <w:szCs w:val="21"/>
                <w:vertAlign w:val="superscript"/>
                <w:lang w:val="en-US" w:eastAsia="zh-CN" w:bidi="ar-SA"/>
              </w:rPr>
              <w:t>3</w:t>
            </w:r>
            <w:r>
              <w:rPr>
                <w:rFonts w:hint="eastAsia" w:ascii="Times New Roman" w:hAnsi="Times New Roman" w:eastAsia="宋体" w:cs="Times New Roman"/>
                <w:bCs w:val="0"/>
                <w:kern w:val="2"/>
                <w:sz w:val="21"/>
                <w:szCs w:val="21"/>
                <w:lang w:val="en-US" w:eastAsia="zh-CN" w:bidi="ar-SA"/>
              </w:rPr>
              <w:t>/a</w:t>
            </w:r>
          </w:p>
        </w:tc>
        <w:tc>
          <w:tcPr>
            <w:tcW w:w="0" w:type="auto"/>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+4289.74m</w:t>
            </w:r>
            <w:r>
              <w:rPr>
                <w:rFonts w:hint="eastAsia" w:ascii="Times New Roman" w:hAnsi="Times New Roman" w:eastAsia="宋体" w:cs="Times New Roman"/>
                <w:bCs w:val="0"/>
                <w:kern w:val="2"/>
                <w:sz w:val="21"/>
                <w:szCs w:val="21"/>
                <w:vertAlign w:val="superscript"/>
                <w:lang w:val="en-US" w:eastAsia="zh-CN" w:bidi="ar-SA"/>
              </w:rPr>
              <w:t>3</w:t>
            </w:r>
            <w:r>
              <w:rPr>
                <w:rFonts w:hint="eastAsia" w:ascii="Times New Roman" w:hAnsi="Times New Roman" w:eastAsia="宋体" w:cs="Times New Roman"/>
                <w:bCs w:val="0"/>
                <w:kern w:val="2"/>
                <w:sz w:val="21"/>
                <w:szCs w:val="21"/>
                <w:lang w:val="en-US" w:eastAsia="zh-CN" w:bidi="ar-SA"/>
              </w:rPr>
              <w: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0" w:type="auto"/>
            <w:vMerge w:val="continue"/>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p>
        </w:tc>
        <w:tc>
          <w:tcPr>
            <w:tcW w:w="0" w:type="auto"/>
            <w:vAlign w:val="center"/>
          </w:tcPr>
          <w:p>
            <w:pPr>
              <w:pStyle w:val="47"/>
              <w:spacing w:line="240" w:lineRule="auto"/>
              <w:jc w:val="center"/>
              <w:rPr>
                <w:rFonts w:hint="eastAsia" w:ascii="Times New Roman" w:hAnsi="Times New Roman" w:eastAsia="宋体" w:cs="Times New Roman"/>
                <w:bCs w:val="0"/>
                <w:kern w:val="2"/>
                <w:sz w:val="21"/>
                <w:szCs w:val="21"/>
                <w:lang w:val="en-US" w:eastAsia="zh-CN" w:bidi="ar-SA"/>
              </w:rPr>
            </w:pPr>
            <w:r>
              <w:rPr>
                <w:rFonts w:hint="default" w:ascii="Times New Roman" w:hAnsi="Times New Roman" w:eastAsia="宋体" w:cs="Times New Roman"/>
                <w:color w:val="auto"/>
                <w:sz w:val="21"/>
                <w:szCs w:val="21"/>
                <w:u w:val="none" w:color="auto"/>
                <w:lang w:val="en-US" w:eastAsia="zh-CN"/>
              </w:rPr>
              <w:t>COD</w:t>
            </w:r>
          </w:p>
        </w:tc>
        <w:tc>
          <w:tcPr>
            <w:tcW w:w="0" w:type="auto"/>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 w:val="0"/>
                <w:bCs/>
                <w:color w:val="auto"/>
                <w:sz w:val="21"/>
                <w:szCs w:val="21"/>
                <w:lang w:val="en-US" w:eastAsia="zh-CN"/>
              </w:rPr>
              <w:t>0.4151</w:t>
            </w:r>
            <w:r>
              <w:rPr>
                <w:rFonts w:hint="eastAsia" w:ascii="Times New Roman" w:hAnsi="Times New Roman" w:eastAsia="宋体" w:cs="Times New Roman"/>
                <w:bCs w:val="0"/>
                <w:kern w:val="2"/>
                <w:sz w:val="21"/>
                <w:szCs w:val="21"/>
                <w:lang w:val="en-US" w:eastAsia="zh-CN" w:bidi="ar-SA"/>
              </w:rPr>
              <w:t>t/a</w:t>
            </w:r>
          </w:p>
        </w:tc>
        <w:tc>
          <w:tcPr>
            <w:tcW w:w="0" w:type="auto"/>
            <w:vAlign w:val="center"/>
          </w:tcPr>
          <w:p>
            <w:pPr>
              <w:pStyle w:val="28"/>
              <w:tabs>
                <w:tab w:val="left" w:pos="552"/>
              </w:tabs>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 w:val="0"/>
                <w:bCs/>
                <w:color w:val="auto"/>
                <w:sz w:val="21"/>
                <w:szCs w:val="21"/>
                <w:lang w:val="en-US" w:eastAsia="zh-CN"/>
              </w:rPr>
              <w:t>0.4151</w:t>
            </w:r>
            <w:r>
              <w:rPr>
                <w:rFonts w:hint="eastAsia" w:ascii="Times New Roman" w:hAnsi="Times New Roman" w:eastAsia="宋体" w:cs="Times New Roman"/>
                <w:bCs w:val="0"/>
                <w:kern w:val="2"/>
                <w:sz w:val="21"/>
                <w:szCs w:val="21"/>
                <w:lang w:val="en-US" w:eastAsia="zh-CN" w:bidi="ar-SA"/>
              </w:rPr>
              <w:t>t/a</w:t>
            </w:r>
          </w:p>
        </w:tc>
        <w:tc>
          <w:tcPr>
            <w:tcW w:w="0" w:type="auto"/>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r>
              <w:rPr>
                <w:rFonts w:hint="eastAsia" w:ascii="Times New Roman" w:hAnsi="Times New Roman" w:eastAsia="宋体" w:cs="Times New Roman"/>
                <w:b w:val="0"/>
                <w:bCs/>
                <w:color w:val="auto"/>
                <w:sz w:val="21"/>
                <w:szCs w:val="21"/>
                <w:lang w:val="en-US" w:eastAsia="zh-CN"/>
              </w:rPr>
              <w:t>0.4151</w:t>
            </w:r>
            <w:r>
              <w:rPr>
                <w:rFonts w:hint="eastAsia" w:ascii="Times New Roman" w:hAnsi="Times New Roman" w:eastAsia="宋体" w:cs="Times New Roman"/>
                <w:bCs w:val="0"/>
                <w:kern w:val="2"/>
                <w:sz w:val="21"/>
                <w:szCs w:val="21"/>
                <w:lang w:val="en-US" w:eastAsia="zh-CN" w:bidi="ar-SA"/>
              </w:rPr>
              <w:t>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0" w:type="auto"/>
            <w:vMerge w:val="continue"/>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p>
        </w:tc>
        <w:tc>
          <w:tcPr>
            <w:tcW w:w="0" w:type="auto"/>
            <w:vAlign w:val="center"/>
          </w:tcPr>
          <w:p>
            <w:pPr>
              <w:pStyle w:val="47"/>
              <w:spacing w:line="240" w:lineRule="auto"/>
              <w:jc w:val="center"/>
              <w:rPr>
                <w:rFonts w:hint="eastAsia" w:ascii="Times New Roman" w:hAnsi="Times New Roman" w:eastAsia="宋体" w:cs="Times New Roman"/>
                <w:bCs w:val="0"/>
                <w:kern w:val="2"/>
                <w:sz w:val="21"/>
                <w:szCs w:val="21"/>
                <w:lang w:val="en-US" w:eastAsia="zh-CN" w:bidi="ar-SA"/>
              </w:rPr>
            </w:pPr>
            <w:r>
              <w:rPr>
                <w:rFonts w:hint="default" w:ascii="Times New Roman" w:hAnsi="Times New Roman" w:eastAsia="宋体" w:cs="Times New Roman"/>
                <w:color w:val="auto"/>
                <w:sz w:val="21"/>
                <w:szCs w:val="21"/>
                <w:u w:val="none" w:color="auto"/>
                <w:lang w:val="en-US" w:eastAsia="zh-CN"/>
              </w:rPr>
              <w:t>BOD</w:t>
            </w:r>
            <w:r>
              <w:rPr>
                <w:rFonts w:hint="default" w:ascii="Times New Roman" w:hAnsi="Times New Roman" w:eastAsia="宋体" w:cs="Times New Roman"/>
                <w:color w:val="auto"/>
                <w:sz w:val="21"/>
                <w:szCs w:val="21"/>
                <w:u w:val="none" w:color="auto"/>
                <w:vertAlign w:val="subscript"/>
                <w:lang w:val="en-US" w:eastAsia="zh-CN"/>
              </w:rPr>
              <w:t>5</w:t>
            </w:r>
          </w:p>
        </w:tc>
        <w:tc>
          <w:tcPr>
            <w:tcW w:w="0" w:type="auto"/>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 w:val="0"/>
                <w:bCs/>
                <w:color w:val="auto"/>
                <w:sz w:val="21"/>
                <w:szCs w:val="21"/>
                <w:lang w:val="en-US" w:eastAsia="zh-CN"/>
              </w:rPr>
              <w:t>0.1905</w:t>
            </w:r>
            <w:r>
              <w:rPr>
                <w:rFonts w:hint="eastAsia" w:ascii="Times New Roman" w:hAnsi="Times New Roman" w:eastAsia="宋体" w:cs="Times New Roman"/>
                <w:bCs w:val="0"/>
                <w:kern w:val="2"/>
                <w:sz w:val="21"/>
                <w:szCs w:val="21"/>
                <w:lang w:val="en-US" w:eastAsia="zh-CN" w:bidi="ar-SA"/>
              </w:rPr>
              <w:t>t/a</w:t>
            </w:r>
          </w:p>
        </w:tc>
        <w:tc>
          <w:tcPr>
            <w:tcW w:w="0" w:type="auto"/>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 w:val="0"/>
                <w:bCs/>
                <w:color w:val="auto"/>
                <w:sz w:val="21"/>
                <w:szCs w:val="21"/>
                <w:lang w:val="en-US" w:eastAsia="zh-CN"/>
              </w:rPr>
              <w:t>0.1905</w:t>
            </w:r>
            <w:r>
              <w:rPr>
                <w:rFonts w:hint="eastAsia" w:ascii="Times New Roman" w:hAnsi="Times New Roman" w:eastAsia="宋体" w:cs="Times New Roman"/>
                <w:bCs w:val="0"/>
                <w:kern w:val="2"/>
                <w:sz w:val="21"/>
                <w:szCs w:val="21"/>
                <w:lang w:val="en-US" w:eastAsia="zh-CN" w:bidi="ar-SA"/>
              </w:rPr>
              <w:t>t/a</w:t>
            </w:r>
          </w:p>
        </w:tc>
        <w:tc>
          <w:tcPr>
            <w:tcW w:w="0" w:type="auto"/>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r>
              <w:rPr>
                <w:rFonts w:hint="eastAsia" w:ascii="Times New Roman" w:hAnsi="Times New Roman" w:eastAsia="宋体" w:cs="Times New Roman"/>
                <w:b w:val="0"/>
                <w:bCs/>
                <w:color w:val="auto"/>
                <w:sz w:val="21"/>
                <w:szCs w:val="21"/>
                <w:lang w:val="en-US" w:eastAsia="zh-CN"/>
              </w:rPr>
              <w:t>0.1905</w:t>
            </w:r>
            <w:r>
              <w:rPr>
                <w:rFonts w:hint="eastAsia" w:ascii="Times New Roman" w:hAnsi="Times New Roman" w:eastAsia="宋体" w:cs="Times New Roman"/>
                <w:bCs w:val="0"/>
                <w:kern w:val="2"/>
                <w:sz w:val="21"/>
                <w:szCs w:val="21"/>
                <w:lang w:val="en-US" w:eastAsia="zh-CN" w:bidi="ar-SA"/>
              </w:rPr>
              <w:t>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0" w:type="auto"/>
            <w:vMerge w:val="continue"/>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bookmarkStart w:id="17" w:name="_Hlk100930343"/>
          </w:p>
        </w:tc>
        <w:tc>
          <w:tcPr>
            <w:tcW w:w="0" w:type="auto"/>
            <w:vAlign w:val="center"/>
          </w:tcPr>
          <w:p>
            <w:pPr>
              <w:pStyle w:val="47"/>
              <w:spacing w:line="240" w:lineRule="auto"/>
              <w:jc w:val="center"/>
              <w:rPr>
                <w:rFonts w:hint="eastAsia" w:ascii="Times New Roman" w:hAnsi="Times New Roman" w:eastAsia="宋体" w:cs="Times New Roman"/>
                <w:bCs w:val="0"/>
                <w:kern w:val="2"/>
                <w:sz w:val="21"/>
                <w:szCs w:val="21"/>
                <w:lang w:val="en-US" w:eastAsia="zh-CN" w:bidi="ar-SA"/>
              </w:rPr>
            </w:pPr>
            <w:r>
              <w:rPr>
                <w:rFonts w:hint="default" w:ascii="Times New Roman" w:hAnsi="Times New Roman" w:eastAsia="宋体" w:cs="Times New Roman"/>
                <w:color w:val="auto"/>
                <w:sz w:val="21"/>
                <w:szCs w:val="21"/>
                <w:u w:val="none" w:color="auto"/>
                <w:lang w:val="en-US" w:eastAsia="zh-CN"/>
              </w:rPr>
              <w:t>SS</w:t>
            </w:r>
          </w:p>
        </w:tc>
        <w:tc>
          <w:tcPr>
            <w:tcW w:w="0" w:type="auto"/>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 w:val="0"/>
                <w:bCs/>
                <w:color w:val="auto"/>
                <w:sz w:val="21"/>
                <w:szCs w:val="21"/>
                <w:lang w:val="en-US" w:eastAsia="zh-CN"/>
              </w:rPr>
              <w:t>0.1668</w:t>
            </w:r>
            <w:r>
              <w:rPr>
                <w:rFonts w:hint="eastAsia" w:ascii="Times New Roman" w:hAnsi="Times New Roman" w:eastAsia="宋体" w:cs="Times New Roman"/>
                <w:bCs w:val="0"/>
                <w:kern w:val="2"/>
                <w:sz w:val="21"/>
                <w:szCs w:val="21"/>
                <w:lang w:val="en-US" w:eastAsia="zh-CN" w:bidi="ar-SA"/>
              </w:rPr>
              <w:t>t/a</w:t>
            </w:r>
          </w:p>
        </w:tc>
        <w:tc>
          <w:tcPr>
            <w:tcW w:w="0" w:type="auto"/>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 w:val="0"/>
                <w:bCs/>
                <w:color w:val="auto"/>
                <w:sz w:val="21"/>
                <w:szCs w:val="21"/>
                <w:lang w:val="en-US" w:eastAsia="zh-CN"/>
              </w:rPr>
              <w:t>0.1668</w:t>
            </w:r>
            <w:r>
              <w:rPr>
                <w:rFonts w:hint="eastAsia" w:ascii="Times New Roman" w:hAnsi="Times New Roman" w:eastAsia="宋体" w:cs="Times New Roman"/>
                <w:bCs w:val="0"/>
                <w:kern w:val="2"/>
                <w:sz w:val="21"/>
                <w:szCs w:val="21"/>
                <w:lang w:val="en-US" w:eastAsia="zh-CN" w:bidi="ar-SA"/>
              </w:rPr>
              <w:t>t/a</w:t>
            </w:r>
          </w:p>
        </w:tc>
        <w:tc>
          <w:tcPr>
            <w:tcW w:w="0" w:type="auto"/>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r>
              <w:rPr>
                <w:rFonts w:hint="eastAsia" w:ascii="Times New Roman" w:hAnsi="Times New Roman" w:eastAsia="宋体" w:cs="Times New Roman"/>
                <w:b w:val="0"/>
                <w:bCs/>
                <w:color w:val="auto"/>
                <w:sz w:val="21"/>
                <w:szCs w:val="21"/>
                <w:lang w:val="en-US" w:eastAsia="zh-CN"/>
              </w:rPr>
              <w:t>0.1668</w:t>
            </w:r>
            <w:r>
              <w:rPr>
                <w:rFonts w:hint="eastAsia" w:ascii="Times New Roman" w:hAnsi="Times New Roman" w:eastAsia="宋体" w:cs="Times New Roman"/>
                <w:bCs w:val="0"/>
                <w:kern w:val="2"/>
                <w:sz w:val="21"/>
                <w:szCs w:val="21"/>
                <w:lang w:val="en-US" w:eastAsia="zh-CN" w:bidi="ar-SA"/>
              </w:rPr>
              <w:t>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0" w:type="auto"/>
            <w:vMerge w:val="continue"/>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p>
        </w:tc>
        <w:tc>
          <w:tcPr>
            <w:tcW w:w="0" w:type="auto"/>
            <w:vAlign w:val="center"/>
          </w:tcPr>
          <w:p>
            <w:pPr>
              <w:pStyle w:val="47"/>
              <w:spacing w:line="240" w:lineRule="auto"/>
              <w:jc w:val="center"/>
              <w:rPr>
                <w:rFonts w:hint="eastAsia" w:ascii="Times New Roman" w:hAnsi="Times New Roman" w:eastAsia="宋体" w:cs="Times New Roman"/>
                <w:bCs w:val="0"/>
                <w:kern w:val="2"/>
                <w:sz w:val="21"/>
                <w:szCs w:val="21"/>
                <w:lang w:val="en-US" w:eastAsia="zh-CN" w:bidi="ar-SA"/>
              </w:rPr>
            </w:pPr>
            <w:r>
              <w:rPr>
                <w:rFonts w:hint="default" w:ascii="Times New Roman" w:hAnsi="Times New Roman" w:eastAsia="宋体" w:cs="Times New Roman"/>
                <w:color w:val="auto"/>
                <w:sz w:val="21"/>
                <w:szCs w:val="21"/>
                <w:u w:val="none" w:color="auto"/>
                <w:lang w:val="en-US" w:eastAsia="zh-CN"/>
              </w:rPr>
              <w:t>NH</w:t>
            </w:r>
            <w:r>
              <w:rPr>
                <w:rFonts w:hint="default" w:ascii="Times New Roman" w:hAnsi="Times New Roman" w:eastAsia="宋体" w:cs="Times New Roman"/>
                <w:color w:val="auto"/>
                <w:sz w:val="21"/>
                <w:szCs w:val="21"/>
                <w:u w:val="none" w:color="auto"/>
                <w:vertAlign w:val="subscript"/>
                <w:lang w:val="en-US" w:eastAsia="zh-CN"/>
              </w:rPr>
              <w:t>3</w:t>
            </w:r>
            <w:r>
              <w:rPr>
                <w:rFonts w:hint="default" w:ascii="Times New Roman" w:hAnsi="Times New Roman" w:eastAsia="宋体" w:cs="Times New Roman"/>
                <w:color w:val="auto"/>
                <w:sz w:val="21"/>
                <w:szCs w:val="21"/>
                <w:u w:val="none" w:color="auto"/>
                <w:lang w:val="en-US" w:eastAsia="zh-CN"/>
              </w:rPr>
              <w:t>-N</w:t>
            </w:r>
          </w:p>
        </w:tc>
        <w:tc>
          <w:tcPr>
            <w:tcW w:w="0" w:type="auto"/>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pStyle w:val="47"/>
              <w:spacing w:line="240" w:lineRule="auto"/>
              <w:jc w:val="center"/>
              <w:rPr>
                <w:rFonts w:hint="eastAsia" w:ascii="Times New Roman" w:hAnsi="Times New Roman" w:eastAsia="宋体" w:cs="Times New Roman"/>
                <w:color w:val="auto"/>
                <w:kern w:val="2"/>
                <w:sz w:val="21"/>
                <w:szCs w:val="21"/>
                <w:u w:val="none" w:color="auto"/>
                <w:lang w:val="en-US" w:eastAsia="zh-CN" w:bidi="ar-SA"/>
              </w:rPr>
            </w:pPr>
            <w:r>
              <w:rPr>
                <w:rFonts w:hint="eastAsia" w:ascii="Times New Roman" w:hAnsi="Times New Roman" w:eastAsia="宋体" w:cs="Times New Roman"/>
                <w:color w:val="auto"/>
                <w:sz w:val="21"/>
                <w:szCs w:val="21"/>
                <w:u w:val="none" w:color="auto"/>
                <w:lang w:val="en-US" w:eastAsia="zh-CN"/>
              </w:rPr>
              <w:t>0.0384</w:t>
            </w:r>
            <w:r>
              <w:rPr>
                <w:rFonts w:hint="eastAsia" w:ascii="Times New Roman" w:hAnsi="Times New Roman" w:eastAsia="宋体" w:cs="Times New Roman"/>
                <w:bCs w:val="0"/>
                <w:kern w:val="2"/>
                <w:sz w:val="21"/>
                <w:szCs w:val="21"/>
                <w:lang w:val="en-US" w:eastAsia="zh-CN" w:bidi="ar-SA"/>
              </w:rPr>
              <w:t>t/a</w:t>
            </w:r>
          </w:p>
        </w:tc>
        <w:tc>
          <w:tcPr>
            <w:tcW w:w="0" w:type="auto"/>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pStyle w:val="47"/>
              <w:spacing w:line="240" w:lineRule="auto"/>
              <w:jc w:val="center"/>
              <w:rPr>
                <w:rFonts w:hint="eastAsia" w:ascii="Times New Roman" w:hAnsi="Times New Roman" w:eastAsia="宋体" w:cs="Times New Roman"/>
                <w:color w:val="auto"/>
                <w:kern w:val="2"/>
                <w:sz w:val="21"/>
                <w:szCs w:val="21"/>
                <w:u w:val="none" w:color="auto"/>
                <w:lang w:val="en-US" w:eastAsia="zh-CN" w:bidi="ar-SA"/>
              </w:rPr>
            </w:pPr>
            <w:r>
              <w:rPr>
                <w:rFonts w:hint="eastAsia" w:ascii="Times New Roman" w:hAnsi="Times New Roman" w:eastAsia="宋体" w:cs="Times New Roman"/>
                <w:color w:val="auto"/>
                <w:sz w:val="21"/>
                <w:szCs w:val="21"/>
                <w:u w:val="none" w:color="auto"/>
                <w:lang w:val="en-US" w:eastAsia="zh-CN"/>
              </w:rPr>
              <w:t>0.0384</w:t>
            </w:r>
            <w:r>
              <w:rPr>
                <w:rFonts w:hint="eastAsia" w:ascii="Times New Roman" w:hAnsi="Times New Roman" w:eastAsia="宋体" w:cs="Times New Roman"/>
                <w:bCs w:val="0"/>
                <w:kern w:val="2"/>
                <w:sz w:val="21"/>
                <w:szCs w:val="21"/>
                <w:lang w:val="en-US" w:eastAsia="zh-CN" w:bidi="ar-SA"/>
              </w:rPr>
              <w:t>t/a</w:t>
            </w:r>
          </w:p>
        </w:tc>
        <w:tc>
          <w:tcPr>
            <w:tcW w:w="0" w:type="auto"/>
            <w:vAlign w:val="center"/>
          </w:tcPr>
          <w:p>
            <w:pPr>
              <w:pStyle w:val="47"/>
              <w:spacing w:line="240" w:lineRule="auto"/>
              <w:jc w:val="center"/>
              <w:rPr>
                <w:rFonts w:hint="eastAsia" w:ascii="Times New Roman" w:hAnsi="Times New Roman" w:eastAsia="宋体" w:cs="Times New Roman"/>
                <w:color w:val="auto"/>
                <w:kern w:val="2"/>
                <w:sz w:val="21"/>
                <w:szCs w:val="21"/>
                <w:u w:val="none" w:color="auto"/>
                <w:lang w:val="en-US" w:eastAsia="zh-CN" w:bidi="ar-SA"/>
              </w:rPr>
            </w:pPr>
            <w:r>
              <w:rPr>
                <w:rFonts w:hint="eastAsia" w:ascii="Times New Roman" w:hAnsi="Times New Roman" w:eastAsia="宋体" w:cs="Times New Roman"/>
                <w:bCs w:val="0"/>
                <w:kern w:val="2"/>
                <w:sz w:val="21"/>
                <w:szCs w:val="21"/>
                <w:lang w:val="en-US" w:eastAsia="zh-CN" w:bidi="ar-SA"/>
              </w:rPr>
              <w:t>+</w:t>
            </w:r>
            <w:r>
              <w:rPr>
                <w:rFonts w:hint="eastAsia" w:ascii="Times New Roman" w:hAnsi="Times New Roman" w:eastAsia="宋体" w:cs="Times New Roman"/>
                <w:color w:val="auto"/>
                <w:sz w:val="21"/>
                <w:szCs w:val="21"/>
                <w:u w:val="none" w:color="auto"/>
                <w:lang w:val="en-US" w:eastAsia="zh-CN"/>
              </w:rPr>
              <w:t>0.0384</w:t>
            </w:r>
            <w:r>
              <w:rPr>
                <w:rFonts w:hint="eastAsia" w:ascii="Times New Roman" w:hAnsi="Times New Roman" w:eastAsia="宋体" w:cs="Times New Roman"/>
                <w:bCs w:val="0"/>
                <w:kern w:val="2"/>
                <w:sz w:val="21"/>
                <w:szCs w:val="21"/>
                <w:lang w:val="en-US" w:eastAsia="zh-CN" w:bidi="ar-SA"/>
              </w:rPr>
              <w:t>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0" w:type="auto"/>
            <w:vMerge w:val="continue"/>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p>
        </w:tc>
        <w:tc>
          <w:tcPr>
            <w:tcW w:w="0" w:type="auto"/>
            <w:vAlign w:val="center"/>
          </w:tcPr>
          <w:p>
            <w:pPr>
              <w:pStyle w:val="47"/>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color w:val="auto"/>
                <w:sz w:val="21"/>
                <w:szCs w:val="21"/>
                <w:u w:val="none" w:color="auto"/>
                <w:lang w:val="en-US" w:eastAsia="zh-CN"/>
              </w:rPr>
              <w:t>动植物油</w:t>
            </w:r>
          </w:p>
        </w:tc>
        <w:tc>
          <w:tcPr>
            <w:tcW w:w="0" w:type="auto"/>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 w:val="0"/>
                <w:bCs/>
                <w:color w:val="auto"/>
                <w:sz w:val="21"/>
                <w:szCs w:val="21"/>
                <w:lang w:val="en-US" w:eastAsia="zh-CN"/>
              </w:rPr>
              <w:t>0.024</w:t>
            </w:r>
            <w:r>
              <w:rPr>
                <w:rFonts w:hint="eastAsia" w:ascii="Times New Roman" w:hAnsi="Times New Roman" w:eastAsia="宋体" w:cs="Times New Roman"/>
                <w:bCs w:val="0"/>
                <w:kern w:val="2"/>
                <w:sz w:val="21"/>
                <w:szCs w:val="21"/>
                <w:lang w:val="en-US" w:eastAsia="zh-CN" w:bidi="ar-SA"/>
              </w:rPr>
              <w:t>t/a</w:t>
            </w:r>
          </w:p>
        </w:tc>
        <w:tc>
          <w:tcPr>
            <w:tcW w:w="0" w:type="auto"/>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 w:val="0"/>
                <w:bCs/>
                <w:color w:val="auto"/>
                <w:sz w:val="21"/>
                <w:szCs w:val="21"/>
                <w:lang w:val="en-US" w:eastAsia="zh-CN"/>
              </w:rPr>
              <w:t>0.024</w:t>
            </w:r>
            <w:r>
              <w:rPr>
                <w:rFonts w:hint="eastAsia" w:ascii="Times New Roman" w:hAnsi="Times New Roman" w:eastAsia="宋体" w:cs="Times New Roman"/>
                <w:bCs w:val="0"/>
                <w:kern w:val="2"/>
                <w:sz w:val="21"/>
                <w:szCs w:val="21"/>
                <w:lang w:val="en-US" w:eastAsia="zh-CN" w:bidi="ar-SA"/>
              </w:rPr>
              <w:t>t/a</w:t>
            </w:r>
          </w:p>
        </w:tc>
        <w:tc>
          <w:tcPr>
            <w:tcW w:w="0" w:type="auto"/>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r>
              <w:rPr>
                <w:rFonts w:hint="eastAsia" w:ascii="Times New Roman" w:hAnsi="Times New Roman" w:eastAsia="宋体" w:cs="Times New Roman"/>
                <w:b w:val="0"/>
                <w:bCs/>
                <w:color w:val="auto"/>
                <w:sz w:val="21"/>
                <w:szCs w:val="21"/>
                <w:lang w:val="en-US" w:eastAsia="zh-CN"/>
              </w:rPr>
              <w:t>0.024</w:t>
            </w:r>
            <w:r>
              <w:rPr>
                <w:rFonts w:hint="eastAsia" w:ascii="Times New Roman" w:hAnsi="Times New Roman" w:eastAsia="宋体" w:cs="Times New Roman"/>
                <w:bCs w:val="0"/>
                <w:kern w:val="2"/>
                <w:sz w:val="21"/>
                <w:szCs w:val="21"/>
                <w:lang w:val="en-US" w:eastAsia="zh-CN" w:bidi="ar-SA"/>
              </w:rPr>
              <w:t>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0" w:type="auto"/>
            <w:vMerge w:val="continue"/>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p>
        </w:tc>
        <w:tc>
          <w:tcPr>
            <w:tcW w:w="0" w:type="auto"/>
            <w:vAlign w:val="center"/>
          </w:tcPr>
          <w:p>
            <w:pPr>
              <w:pStyle w:val="47"/>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 w:val="0"/>
                <w:bCs/>
                <w:color w:val="auto"/>
                <w:sz w:val="21"/>
                <w:szCs w:val="21"/>
                <w:lang w:val="en-US" w:eastAsia="zh-CN"/>
              </w:rPr>
              <w:t>石油类</w:t>
            </w:r>
          </w:p>
        </w:tc>
        <w:tc>
          <w:tcPr>
            <w:tcW w:w="0" w:type="auto"/>
            <w:vAlign w:val="center"/>
          </w:tcPr>
          <w:p>
            <w:pPr>
              <w:pStyle w:val="28"/>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 w:val="0"/>
                <w:bCs/>
                <w:color w:val="auto"/>
                <w:sz w:val="21"/>
                <w:szCs w:val="21"/>
                <w:lang w:val="en-US" w:eastAsia="zh-CN"/>
              </w:rPr>
              <w:t>0.0138</w:t>
            </w:r>
            <w:r>
              <w:rPr>
                <w:rFonts w:hint="eastAsia" w:ascii="Times New Roman" w:hAnsi="Times New Roman" w:eastAsia="宋体" w:cs="Times New Roman"/>
                <w:bCs w:val="0"/>
                <w:kern w:val="2"/>
                <w:sz w:val="21"/>
                <w:szCs w:val="21"/>
                <w:lang w:val="en-US" w:eastAsia="zh-CN" w:bidi="ar-SA"/>
              </w:rPr>
              <w:t>t/a</w:t>
            </w:r>
          </w:p>
        </w:tc>
        <w:tc>
          <w:tcPr>
            <w:tcW w:w="0" w:type="auto"/>
            <w:vAlign w:val="center"/>
          </w:tcPr>
          <w:p>
            <w:pPr>
              <w:pStyle w:val="28"/>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pStyle w:val="28"/>
              <w:pageBreakBefore w:val="0"/>
              <w:kinsoku/>
              <w:overflowPunct/>
              <w:bidi w:val="0"/>
              <w:spacing w:line="240" w:lineRule="auto"/>
              <w:jc w:val="center"/>
              <w:rPr>
                <w:rFonts w:hint="eastAsia"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 w:val="0"/>
                <w:bCs/>
                <w:color w:val="auto"/>
                <w:sz w:val="21"/>
                <w:szCs w:val="21"/>
                <w:lang w:val="en-US" w:eastAsia="zh-CN"/>
              </w:rPr>
              <w:t>0.0138</w:t>
            </w:r>
            <w:r>
              <w:rPr>
                <w:rFonts w:hint="eastAsia" w:ascii="Times New Roman" w:hAnsi="Times New Roman" w:eastAsia="宋体" w:cs="Times New Roman"/>
                <w:bCs w:val="0"/>
                <w:kern w:val="2"/>
                <w:sz w:val="21"/>
                <w:szCs w:val="21"/>
                <w:lang w:val="en-US" w:eastAsia="zh-CN" w:bidi="ar-SA"/>
              </w:rPr>
              <w:t>t/a</w:t>
            </w:r>
          </w:p>
        </w:tc>
        <w:tc>
          <w:tcPr>
            <w:tcW w:w="0" w:type="auto"/>
            <w:vAlign w:val="center"/>
          </w:tcPr>
          <w:p>
            <w:pPr>
              <w:pStyle w:val="28"/>
              <w:pageBreakBefore w:val="0"/>
              <w:kinsoku/>
              <w:overflowPunct/>
              <w:bidi w:val="0"/>
              <w:spacing w:line="240" w:lineRule="auto"/>
              <w:jc w:val="center"/>
              <w:rPr>
                <w:rFonts w:hint="default" w:ascii="Times New Roman" w:hAnsi="Times New Roman" w:eastAsia="宋体" w:cs="Times New Roman"/>
                <w:b w:val="0"/>
                <w:bCs/>
                <w:color w:val="auto"/>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r>
              <w:rPr>
                <w:rFonts w:hint="eastAsia" w:ascii="Times New Roman" w:hAnsi="Times New Roman" w:eastAsia="宋体" w:cs="Times New Roman"/>
                <w:b w:val="0"/>
                <w:bCs/>
                <w:color w:val="auto"/>
                <w:sz w:val="21"/>
                <w:szCs w:val="21"/>
                <w:lang w:val="en-US" w:eastAsia="zh-CN"/>
              </w:rPr>
              <w:t>0.0138</w:t>
            </w:r>
            <w:r>
              <w:rPr>
                <w:rFonts w:hint="eastAsia" w:ascii="Times New Roman" w:hAnsi="Times New Roman" w:eastAsia="宋体" w:cs="Times New Roman"/>
                <w:bCs w:val="0"/>
                <w:kern w:val="2"/>
                <w:sz w:val="21"/>
                <w:szCs w:val="21"/>
                <w:lang w:val="en-US" w:eastAsia="zh-CN" w:bidi="ar-SA"/>
              </w:rPr>
              <w:t>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0" w:type="auto"/>
            <w:vAlign w:val="center"/>
          </w:tcPr>
          <w:p>
            <w:pPr>
              <w:pStyle w:val="28"/>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生活垃圾</w:t>
            </w:r>
          </w:p>
        </w:tc>
        <w:tc>
          <w:tcPr>
            <w:tcW w:w="0" w:type="auto"/>
            <w:vAlign w:val="center"/>
          </w:tcPr>
          <w:p>
            <w:pPr>
              <w:pStyle w:val="28"/>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生活垃圾</w:t>
            </w:r>
          </w:p>
        </w:tc>
        <w:tc>
          <w:tcPr>
            <w:tcW w:w="0" w:type="auto"/>
            <w:vAlign w:val="center"/>
          </w:tcPr>
          <w:p>
            <w:pPr>
              <w:pStyle w:val="28"/>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pStyle w:val="28"/>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5.25t/a</w:t>
            </w:r>
          </w:p>
        </w:tc>
        <w:tc>
          <w:tcPr>
            <w:tcW w:w="0" w:type="auto"/>
            <w:vAlign w:val="center"/>
          </w:tcPr>
          <w:p>
            <w:pPr>
              <w:pStyle w:val="28"/>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pStyle w:val="28"/>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5.25t/a</w:t>
            </w:r>
          </w:p>
        </w:tc>
        <w:tc>
          <w:tcPr>
            <w:tcW w:w="0" w:type="auto"/>
            <w:vAlign w:val="center"/>
          </w:tcPr>
          <w:p>
            <w:pPr>
              <w:pStyle w:val="28"/>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+5.25t/a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0" w:type="auto"/>
            <w:vMerge w:val="restart"/>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一般工业固体废物</w:t>
            </w:r>
          </w:p>
        </w:tc>
        <w:tc>
          <w:tcPr>
            <w:tcW w:w="0" w:type="auto"/>
            <w:vAlign w:val="center"/>
          </w:tcPr>
          <w:p>
            <w:pPr>
              <w:adjustRightInd w:val="0"/>
              <w:snapToGrid w:val="0"/>
              <w:spacing w:line="240" w:lineRule="auto"/>
              <w:jc w:val="center"/>
              <w:rPr>
                <w:rFonts w:hint="eastAsia" w:ascii="Times New Roman" w:hAnsi="Times New Roman" w:eastAsia="宋体" w:cs="Times New Roman"/>
                <w:bCs w:val="0"/>
                <w:kern w:val="2"/>
                <w:sz w:val="21"/>
                <w:szCs w:val="21"/>
                <w:lang w:val="en-US" w:eastAsia="zh-CN" w:bidi="ar-SA"/>
              </w:rPr>
            </w:pPr>
            <w:r>
              <w:rPr>
                <w:rFonts w:hint="default" w:ascii="Times New Roman" w:hAnsi="Times New Roman" w:eastAsia="宋体" w:cs="Times New Roman"/>
                <w:bCs w:val="0"/>
                <w:kern w:val="2"/>
                <w:sz w:val="21"/>
                <w:szCs w:val="21"/>
                <w:lang w:val="en-US" w:eastAsia="zh-CN" w:bidi="ar-SA"/>
              </w:rPr>
              <w:t>钢铁</w:t>
            </w:r>
          </w:p>
        </w:tc>
        <w:tc>
          <w:tcPr>
            <w:tcW w:w="0" w:type="auto"/>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adjustRightInd w:val="0"/>
              <w:snapToGrid w:val="0"/>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7519.6t/a</w:t>
            </w:r>
          </w:p>
        </w:tc>
        <w:tc>
          <w:tcPr>
            <w:tcW w:w="0" w:type="auto"/>
            <w:vAlign w:val="center"/>
          </w:tcPr>
          <w:p>
            <w:pPr>
              <w:pStyle w:val="28"/>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adjustRightInd w:val="0"/>
              <w:snapToGrid w:val="0"/>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7519.6t/a</w:t>
            </w:r>
          </w:p>
        </w:tc>
        <w:tc>
          <w:tcPr>
            <w:tcW w:w="0" w:type="auto"/>
            <w:vAlign w:val="center"/>
          </w:tcPr>
          <w:p>
            <w:pPr>
              <w:adjustRightInd w:val="0"/>
              <w:snapToGrid w:val="0"/>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+7519.6t/a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0" w:type="auto"/>
            <w:vMerge w:val="continue"/>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p>
        </w:tc>
        <w:tc>
          <w:tcPr>
            <w:tcW w:w="0" w:type="auto"/>
            <w:vAlign w:val="center"/>
          </w:tcPr>
          <w:p>
            <w:pPr>
              <w:adjustRightInd w:val="0"/>
              <w:snapToGrid w:val="0"/>
              <w:spacing w:line="240" w:lineRule="auto"/>
              <w:jc w:val="center"/>
              <w:rPr>
                <w:rFonts w:hint="eastAsia" w:ascii="Times New Roman" w:hAnsi="Times New Roman" w:eastAsia="宋体" w:cs="Times New Roman"/>
                <w:bCs w:val="0"/>
                <w:kern w:val="2"/>
                <w:sz w:val="21"/>
                <w:szCs w:val="21"/>
                <w:lang w:val="en-US" w:eastAsia="zh-CN" w:bidi="ar-SA"/>
              </w:rPr>
            </w:pPr>
            <w:r>
              <w:rPr>
                <w:rFonts w:hint="default" w:ascii="Times New Roman" w:hAnsi="Times New Roman" w:eastAsia="宋体" w:cs="Times New Roman"/>
                <w:bCs w:val="0"/>
                <w:kern w:val="2"/>
                <w:sz w:val="21"/>
                <w:szCs w:val="21"/>
                <w:lang w:val="en-US" w:eastAsia="zh-CN" w:bidi="ar-SA"/>
              </w:rPr>
              <w:t>有色金属</w:t>
            </w:r>
          </w:p>
        </w:tc>
        <w:tc>
          <w:tcPr>
            <w:tcW w:w="0" w:type="auto"/>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adjustRightInd w:val="0"/>
              <w:snapToGrid w:val="0"/>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1087.5t/a</w:t>
            </w:r>
          </w:p>
        </w:tc>
        <w:tc>
          <w:tcPr>
            <w:tcW w:w="0" w:type="auto"/>
            <w:vAlign w:val="center"/>
          </w:tcPr>
          <w:p>
            <w:pPr>
              <w:pStyle w:val="28"/>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adjustRightInd w:val="0"/>
              <w:snapToGrid w:val="0"/>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1087.5t/a</w:t>
            </w:r>
          </w:p>
        </w:tc>
        <w:tc>
          <w:tcPr>
            <w:tcW w:w="0" w:type="auto"/>
            <w:vAlign w:val="center"/>
          </w:tcPr>
          <w:p>
            <w:pPr>
              <w:adjustRightInd w:val="0"/>
              <w:snapToGrid w:val="0"/>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+1087.5t/a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0" w:type="auto"/>
            <w:vMerge w:val="continue"/>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p>
        </w:tc>
        <w:tc>
          <w:tcPr>
            <w:tcW w:w="0" w:type="auto"/>
            <w:vAlign w:val="center"/>
          </w:tcPr>
          <w:p>
            <w:pPr>
              <w:adjustRightInd w:val="0"/>
              <w:snapToGrid w:val="0"/>
              <w:spacing w:line="240" w:lineRule="auto"/>
              <w:jc w:val="center"/>
              <w:rPr>
                <w:rFonts w:hint="eastAsia" w:ascii="Times New Roman" w:hAnsi="Times New Roman" w:eastAsia="宋体" w:cs="Times New Roman"/>
                <w:bCs w:val="0"/>
                <w:kern w:val="2"/>
                <w:sz w:val="21"/>
                <w:szCs w:val="21"/>
                <w:lang w:val="en-US" w:eastAsia="zh-CN" w:bidi="ar-SA"/>
              </w:rPr>
            </w:pPr>
            <w:r>
              <w:rPr>
                <w:rFonts w:hint="default" w:ascii="Times New Roman" w:hAnsi="Times New Roman" w:eastAsia="宋体" w:cs="Times New Roman"/>
                <w:bCs w:val="0"/>
                <w:kern w:val="2"/>
                <w:sz w:val="21"/>
                <w:szCs w:val="21"/>
                <w:lang w:val="en-US" w:eastAsia="zh-CN" w:bidi="ar-SA"/>
              </w:rPr>
              <w:t>玻璃</w:t>
            </w:r>
          </w:p>
        </w:tc>
        <w:tc>
          <w:tcPr>
            <w:tcW w:w="0" w:type="auto"/>
            <w:vAlign w:val="center"/>
          </w:tcPr>
          <w:p>
            <w:pPr>
              <w:pStyle w:val="28"/>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adjustRightInd w:val="0"/>
              <w:snapToGrid w:val="0"/>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232.4t/a</w:t>
            </w:r>
          </w:p>
        </w:tc>
        <w:tc>
          <w:tcPr>
            <w:tcW w:w="0" w:type="auto"/>
            <w:vAlign w:val="center"/>
          </w:tcPr>
          <w:p>
            <w:pPr>
              <w:pStyle w:val="28"/>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adjustRightInd w:val="0"/>
              <w:snapToGrid w:val="0"/>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232.4t/a</w:t>
            </w:r>
          </w:p>
        </w:tc>
        <w:tc>
          <w:tcPr>
            <w:tcW w:w="0" w:type="auto"/>
            <w:vAlign w:val="center"/>
          </w:tcPr>
          <w:p>
            <w:pPr>
              <w:adjustRightInd w:val="0"/>
              <w:snapToGrid w:val="0"/>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+232.4t/a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0" w:type="auto"/>
            <w:vMerge w:val="continue"/>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p>
        </w:tc>
        <w:tc>
          <w:tcPr>
            <w:tcW w:w="0" w:type="auto"/>
            <w:vAlign w:val="center"/>
          </w:tcPr>
          <w:p>
            <w:pPr>
              <w:adjustRightInd w:val="0"/>
              <w:snapToGrid w:val="0"/>
              <w:spacing w:line="240" w:lineRule="auto"/>
              <w:jc w:val="center"/>
              <w:rPr>
                <w:rFonts w:hint="eastAsia" w:ascii="Times New Roman" w:hAnsi="Times New Roman" w:eastAsia="宋体" w:cs="Times New Roman"/>
                <w:bCs w:val="0"/>
                <w:kern w:val="2"/>
                <w:sz w:val="21"/>
                <w:szCs w:val="21"/>
                <w:lang w:val="en-US" w:eastAsia="zh-CN" w:bidi="ar-SA"/>
              </w:rPr>
            </w:pPr>
            <w:r>
              <w:rPr>
                <w:rFonts w:hint="default" w:ascii="Times New Roman" w:hAnsi="Times New Roman" w:eastAsia="宋体" w:cs="Times New Roman"/>
                <w:bCs w:val="0"/>
                <w:kern w:val="2"/>
                <w:sz w:val="21"/>
                <w:szCs w:val="21"/>
                <w:lang w:val="en-US" w:eastAsia="zh-CN" w:bidi="ar-SA"/>
              </w:rPr>
              <w:t>塑料</w:t>
            </w:r>
          </w:p>
        </w:tc>
        <w:tc>
          <w:tcPr>
            <w:tcW w:w="0" w:type="auto"/>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adjustRightInd w:val="0"/>
              <w:snapToGrid w:val="0"/>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410t/a</w:t>
            </w:r>
          </w:p>
        </w:tc>
        <w:tc>
          <w:tcPr>
            <w:tcW w:w="0" w:type="auto"/>
            <w:vAlign w:val="center"/>
          </w:tcPr>
          <w:p>
            <w:pPr>
              <w:pStyle w:val="28"/>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adjustRightInd w:val="0"/>
              <w:snapToGrid w:val="0"/>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410t/a</w:t>
            </w:r>
          </w:p>
        </w:tc>
        <w:tc>
          <w:tcPr>
            <w:tcW w:w="0" w:type="auto"/>
            <w:vAlign w:val="center"/>
          </w:tcPr>
          <w:p>
            <w:pPr>
              <w:adjustRightInd w:val="0"/>
              <w:snapToGrid w:val="0"/>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+410t/a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0" w:type="auto"/>
            <w:vMerge w:val="continue"/>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p>
        </w:tc>
        <w:tc>
          <w:tcPr>
            <w:tcW w:w="0" w:type="auto"/>
            <w:vAlign w:val="center"/>
          </w:tcPr>
          <w:p>
            <w:pPr>
              <w:adjustRightInd w:val="0"/>
              <w:snapToGrid w:val="0"/>
              <w:spacing w:line="240" w:lineRule="auto"/>
              <w:jc w:val="center"/>
              <w:rPr>
                <w:rFonts w:hint="eastAsia" w:ascii="Times New Roman" w:hAnsi="Times New Roman" w:eastAsia="宋体" w:cs="Times New Roman"/>
                <w:bCs w:val="0"/>
                <w:kern w:val="2"/>
                <w:sz w:val="21"/>
                <w:szCs w:val="21"/>
                <w:lang w:val="en-US" w:eastAsia="zh-CN" w:bidi="ar-SA"/>
              </w:rPr>
            </w:pPr>
            <w:r>
              <w:rPr>
                <w:rFonts w:hint="default" w:ascii="Times New Roman" w:hAnsi="Times New Roman" w:eastAsia="宋体" w:cs="Times New Roman"/>
                <w:bCs w:val="0"/>
                <w:kern w:val="2"/>
                <w:sz w:val="21"/>
                <w:szCs w:val="21"/>
                <w:lang w:val="en-US" w:eastAsia="zh-CN" w:bidi="ar-SA"/>
              </w:rPr>
              <w:t>橡胶</w:t>
            </w:r>
          </w:p>
        </w:tc>
        <w:tc>
          <w:tcPr>
            <w:tcW w:w="0" w:type="auto"/>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adjustRightInd w:val="0"/>
              <w:snapToGrid w:val="0"/>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618t/a</w:t>
            </w:r>
          </w:p>
        </w:tc>
        <w:tc>
          <w:tcPr>
            <w:tcW w:w="0" w:type="auto"/>
            <w:vAlign w:val="center"/>
          </w:tcPr>
          <w:p>
            <w:pPr>
              <w:pStyle w:val="28"/>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adjustRightInd w:val="0"/>
              <w:snapToGrid w:val="0"/>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618t/a</w:t>
            </w:r>
          </w:p>
        </w:tc>
        <w:tc>
          <w:tcPr>
            <w:tcW w:w="0" w:type="auto"/>
            <w:vAlign w:val="center"/>
          </w:tcPr>
          <w:p>
            <w:pPr>
              <w:adjustRightInd w:val="0"/>
              <w:snapToGrid w:val="0"/>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+618t/a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0" w:type="auto"/>
            <w:vMerge w:val="continue"/>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p>
        </w:tc>
        <w:tc>
          <w:tcPr>
            <w:tcW w:w="0" w:type="auto"/>
            <w:vAlign w:val="center"/>
          </w:tcPr>
          <w:p>
            <w:pPr>
              <w:adjustRightInd w:val="0"/>
              <w:snapToGrid w:val="0"/>
              <w:spacing w:line="240" w:lineRule="auto"/>
              <w:jc w:val="center"/>
              <w:rPr>
                <w:rFonts w:hint="eastAsia" w:ascii="Times New Roman" w:hAnsi="Times New Roman" w:eastAsia="宋体" w:cs="Times New Roman"/>
                <w:bCs w:val="0"/>
                <w:kern w:val="2"/>
                <w:sz w:val="21"/>
                <w:szCs w:val="21"/>
                <w:lang w:val="en-US" w:eastAsia="zh-CN" w:bidi="ar-SA"/>
              </w:rPr>
            </w:pPr>
            <w:r>
              <w:rPr>
                <w:rFonts w:hint="default" w:ascii="Times New Roman" w:hAnsi="Times New Roman" w:eastAsia="宋体" w:cs="Times New Roman"/>
                <w:bCs w:val="0"/>
                <w:kern w:val="2"/>
                <w:sz w:val="21"/>
                <w:szCs w:val="21"/>
                <w:lang w:val="en-US" w:eastAsia="zh-CN" w:bidi="ar-SA"/>
              </w:rPr>
              <w:t>可用零部件</w:t>
            </w:r>
          </w:p>
        </w:tc>
        <w:tc>
          <w:tcPr>
            <w:tcW w:w="0" w:type="auto"/>
            <w:vAlign w:val="center"/>
          </w:tcPr>
          <w:p>
            <w:pPr>
              <w:pStyle w:val="28"/>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adjustRightInd w:val="0"/>
              <w:snapToGrid w:val="0"/>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580t/a</w:t>
            </w:r>
          </w:p>
        </w:tc>
        <w:tc>
          <w:tcPr>
            <w:tcW w:w="0" w:type="auto"/>
            <w:vAlign w:val="center"/>
          </w:tcPr>
          <w:p>
            <w:pPr>
              <w:pStyle w:val="28"/>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adjustRightInd w:val="0"/>
              <w:snapToGrid w:val="0"/>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580t/a</w:t>
            </w:r>
          </w:p>
        </w:tc>
        <w:tc>
          <w:tcPr>
            <w:tcW w:w="0" w:type="auto"/>
            <w:vAlign w:val="center"/>
          </w:tcPr>
          <w:p>
            <w:pPr>
              <w:adjustRightInd w:val="0"/>
              <w:snapToGrid w:val="0"/>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+580t/a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0" w:type="auto"/>
            <w:vMerge w:val="continue"/>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p>
        </w:tc>
        <w:tc>
          <w:tcPr>
            <w:tcW w:w="0" w:type="auto"/>
            <w:vAlign w:val="center"/>
          </w:tcPr>
          <w:p>
            <w:pPr>
              <w:adjustRightInd w:val="0"/>
              <w:snapToGrid w:val="0"/>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动力电池</w:t>
            </w:r>
          </w:p>
        </w:tc>
        <w:tc>
          <w:tcPr>
            <w:tcW w:w="0" w:type="auto"/>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adjustRightInd w:val="0"/>
              <w:snapToGrid w:val="0"/>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100t/a</w:t>
            </w:r>
          </w:p>
        </w:tc>
        <w:tc>
          <w:tcPr>
            <w:tcW w:w="0" w:type="auto"/>
            <w:vAlign w:val="center"/>
          </w:tcPr>
          <w:p>
            <w:pPr>
              <w:pStyle w:val="28"/>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adjustRightInd w:val="0"/>
              <w:snapToGrid w:val="0"/>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100t/a</w:t>
            </w:r>
          </w:p>
        </w:tc>
        <w:tc>
          <w:tcPr>
            <w:tcW w:w="0" w:type="auto"/>
            <w:vAlign w:val="center"/>
          </w:tcPr>
          <w:p>
            <w:pPr>
              <w:adjustRightInd w:val="0"/>
              <w:snapToGrid w:val="0"/>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+100t/a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0" w:type="auto"/>
            <w:vMerge w:val="continue"/>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p>
        </w:tc>
        <w:tc>
          <w:tcPr>
            <w:tcW w:w="0" w:type="auto"/>
            <w:vAlign w:val="center"/>
          </w:tcPr>
          <w:p>
            <w:pPr>
              <w:adjustRightInd w:val="0"/>
              <w:snapToGrid w:val="0"/>
              <w:spacing w:line="240" w:lineRule="auto"/>
              <w:jc w:val="center"/>
              <w:rPr>
                <w:rFonts w:hint="default" w:ascii="Times New Roman" w:hAnsi="Times New Roman" w:eastAsia="宋体" w:cs="Times New Roman"/>
                <w:bCs w:val="0"/>
                <w:kern w:val="2"/>
                <w:sz w:val="21"/>
                <w:szCs w:val="21"/>
                <w:lang w:val="en-US" w:eastAsia="zh-CN" w:bidi="ar-SA"/>
              </w:rPr>
            </w:pPr>
            <w:r>
              <w:rPr>
                <w:rFonts w:hint="default" w:ascii="Times New Roman" w:hAnsi="Times New Roman" w:eastAsia="宋体" w:cs="Times New Roman"/>
                <w:bCs w:val="0"/>
                <w:kern w:val="2"/>
                <w:sz w:val="21"/>
                <w:szCs w:val="21"/>
                <w:lang w:val="en-US" w:eastAsia="zh-CN" w:bidi="ar-SA"/>
              </w:rPr>
              <w:t>五大总成</w:t>
            </w:r>
          </w:p>
        </w:tc>
        <w:tc>
          <w:tcPr>
            <w:tcW w:w="0" w:type="auto"/>
            <w:vAlign w:val="center"/>
          </w:tcPr>
          <w:p>
            <w:pPr>
              <w:pStyle w:val="28"/>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adjustRightInd w:val="0"/>
              <w:snapToGrid w:val="0"/>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7195t/a</w:t>
            </w:r>
          </w:p>
        </w:tc>
        <w:tc>
          <w:tcPr>
            <w:tcW w:w="0" w:type="auto"/>
            <w:vAlign w:val="center"/>
          </w:tcPr>
          <w:p>
            <w:pPr>
              <w:pStyle w:val="28"/>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adjustRightInd w:val="0"/>
              <w:snapToGrid w:val="0"/>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7195t/a</w:t>
            </w:r>
          </w:p>
        </w:tc>
        <w:tc>
          <w:tcPr>
            <w:tcW w:w="0" w:type="auto"/>
            <w:vAlign w:val="center"/>
          </w:tcPr>
          <w:p>
            <w:pPr>
              <w:adjustRightInd w:val="0"/>
              <w:snapToGrid w:val="0"/>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+7195t/a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0" w:type="auto"/>
            <w:vMerge w:val="continue"/>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p>
        </w:tc>
        <w:tc>
          <w:tcPr>
            <w:tcW w:w="0" w:type="auto"/>
            <w:vAlign w:val="center"/>
          </w:tcPr>
          <w:p>
            <w:pPr>
              <w:adjustRightInd w:val="0"/>
              <w:snapToGrid w:val="0"/>
              <w:spacing w:line="240" w:lineRule="auto"/>
              <w:jc w:val="center"/>
              <w:rPr>
                <w:rFonts w:hint="eastAsia" w:ascii="Times New Roman" w:hAnsi="Times New Roman" w:eastAsia="宋体" w:cs="Times New Roman"/>
                <w:bCs w:val="0"/>
                <w:kern w:val="2"/>
                <w:sz w:val="21"/>
                <w:szCs w:val="21"/>
                <w:lang w:val="en-US" w:eastAsia="zh-CN" w:bidi="ar-SA"/>
              </w:rPr>
            </w:pPr>
            <w:r>
              <w:rPr>
                <w:rFonts w:hint="default" w:ascii="Times New Roman" w:hAnsi="Times New Roman" w:eastAsia="宋体" w:cs="Times New Roman"/>
                <w:bCs w:val="0"/>
                <w:kern w:val="2"/>
                <w:sz w:val="21"/>
                <w:szCs w:val="21"/>
                <w:lang w:val="en-US" w:eastAsia="zh-CN" w:bidi="ar-SA"/>
              </w:rPr>
              <w:t>不可利用废物</w:t>
            </w:r>
          </w:p>
        </w:tc>
        <w:tc>
          <w:tcPr>
            <w:tcW w:w="0" w:type="auto"/>
            <w:vAlign w:val="center"/>
          </w:tcPr>
          <w:p>
            <w:pPr>
              <w:pStyle w:val="28"/>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adjustRightInd w:val="0"/>
              <w:snapToGrid w:val="0"/>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552t/a</w:t>
            </w:r>
          </w:p>
        </w:tc>
        <w:tc>
          <w:tcPr>
            <w:tcW w:w="0" w:type="auto"/>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adjustRightInd w:val="0"/>
              <w:snapToGrid w:val="0"/>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552t/a</w:t>
            </w:r>
          </w:p>
        </w:tc>
        <w:tc>
          <w:tcPr>
            <w:tcW w:w="0" w:type="auto"/>
            <w:vAlign w:val="center"/>
          </w:tcPr>
          <w:p>
            <w:pPr>
              <w:adjustRightInd w:val="0"/>
              <w:snapToGrid w:val="0"/>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+552t/a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0" w:type="auto"/>
            <w:vMerge w:val="continue"/>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p>
        </w:tc>
        <w:tc>
          <w:tcPr>
            <w:tcW w:w="0" w:type="auto"/>
            <w:vAlign w:val="center"/>
          </w:tcPr>
          <w:p>
            <w:pPr>
              <w:adjustRightInd w:val="0"/>
              <w:snapToGrid w:val="0"/>
              <w:spacing w:line="240" w:lineRule="auto"/>
              <w:jc w:val="center"/>
              <w:rPr>
                <w:rFonts w:hint="default" w:ascii="Times New Roman" w:hAnsi="Times New Roman" w:eastAsia="宋体" w:cs="Times New Roman"/>
                <w:bCs w:val="0"/>
                <w:kern w:val="2"/>
                <w:sz w:val="21"/>
                <w:szCs w:val="21"/>
                <w:lang w:val="en-US" w:eastAsia="zh-CN" w:bidi="ar-SA"/>
              </w:rPr>
            </w:pPr>
            <w:r>
              <w:rPr>
                <w:rFonts w:hint="default" w:ascii="Times New Roman" w:hAnsi="Times New Roman" w:eastAsia="宋体" w:cs="Times New Roman"/>
                <w:bCs w:val="0"/>
                <w:kern w:val="2"/>
                <w:sz w:val="21"/>
                <w:szCs w:val="21"/>
                <w:lang w:val="en-US" w:eastAsia="zh-CN" w:bidi="ar-SA"/>
              </w:rPr>
              <w:t>废安全气囊</w:t>
            </w:r>
          </w:p>
          <w:p>
            <w:pPr>
              <w:adjustRightInd w:val="0"/>
              <w:snapToGrid w:val="0"/>
              <w:spacing w:line="240" w:lineRule="auto"/>
              <w:jc w:val="center"/>
              <w:rPr>
                <w:rFonts w:hint="eastAsia" w:ascii="Times New Roman" w:hAnsi="Times New Roman" w:eastAsia="宋体" w:cs="Times New Roman"/>
                <w:bCs w:val="0"/>
                <w:kern w:val="2"/>
                <w:sz w:val="21"/>
                <w:szCs w:val="21"/>
                <w:lang w:val="en-US" w:eastAsia="zh-CN" w:bidi="ar-SA"/>
              </w:rPr>
            </w:pPr>
            <w:r>
              <w:rPr>
                <w:rFonts w:hint="default" w:ascii="Times New Roman" w:hAnsi="Times New Roman" w:eastAsia="宋体" w:cs="Times New Roman"/>
                <w:bCs w:val="0"/>
                <w:kern w:val="2"/>
                <w:sz w:val="21"/>
                <w:szCs w:val="21"/>
                <w:lang w:val="en-US" w:eastAsia="zh-CN" w:bidi="ar-SA"/>
              </w:rPr>
              <w:t>（引爆后）</w:t>
            </w:r>
          </w:p>
        </w:tc>
        <w:tc>
          <w:tcPr>
            <w:tcW w:w="0" w:type="auto"/>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adjustRightInd w:val="0"/>
              <w:snapToGrid w:val="0"/>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8t/a</w:t>
            </w:r>
          </w:p>
        </w:tc>
        <w:tc>
          <w:tcPr>
            <w:tcW w:w="0" w:type="auto"/>
            <w:vAlign w:val="center"/>
          </w:tcPr>
          <w:p>
            <w:pPr>
              <w:pStyle w:val="28"/>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adjustRightInd w:val="0"/>
              <w:snapToGrid w:val="0"/>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8t/a</w:t>
            </w:r>
          </w:p>
        </w:tc>
        <w:tc>
          <w:tcPr>
            <w:tcW w:w="0" w:type="auto"/>
            <w:vAlign w:val="center"/>
          </w:tcPr>
          <w:p>
            <w:pPr>
              <w:adjustRightInd w:val="0"/>
              <w:snapToGrid w:val="0"/>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+8t/a</w:t>
            </w:r>
          </w:p>
        </w:tc>
      </w:tr>
      <w:bookmarkEnd w:id="17"/>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0" w:type="auto"/>
            <w:vMerge w:val="restart"/>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bookmarkStart w:id="18" w:name="_Hlk100930266"/>
            <w:r>
              <w:rPr>
                <w:rFonts w:hint="eastAsia" w:ascii="Times New Roman" w:hAnsi="Times New Roman" w:eastAsia="宋体" w:cs="Times New Roman"/>
                <w:bCs w:val="0"/>
                <w:kern w:val="2"/>
                <w:sz w:val="21"/>
                <w:szCs w:val="21"/>
                <w:lang w:val="en-US" w:eastAsia="zh-CN" w:bidi="ar-SA"/>
              </w:rPr>
              <w:t>危险废物</w:t>
            </w:r>
          </w:p>
        </w:tc>
        <w:tc>
          <w:tcPr>
            <w:tcW w:w="0" w:type="auto"/>
            <w:vAlign w:val="center"/>
          </w:tcPr>
          <w:p>
            <w:pPr>
              <w:adjustRightInd w:val="0"/>
              <w:snapToGrid w:val="0"/>
              <w:spacing w:line="240" w:lineRule="auto"/>
              <w:jc w:val="center"/>
              <w:rPr>
                <w:rFonts w:hint="eastAsia" w:ascii="Times New Roman" w:hAnsi="Times New Roman" w:eastAsia="宋体" w:cs="Times New Roman"/>
                <w:bCs w:val="0"/>
                <w:kern w:val="2"/>
                <w:sz w:val="21"/>
                <w:szCs w:val="21"/>
                <w:lang w:val="en-US" w:eastAsia="zh-CN" w:bidi="ar-SA"/>
              </w:rPr>
            </w:pPr>
            <w:r>
              <w:rPr>
                <w:rFonts w:hint="default" w:ascii="Times New Roman" w:hAnsi="Times New Roman" w:eastAsia="宋体" w:cs="Times New Roman"/>
                <w:bCs w:val="0"/>
                <w:kern w:val="2"/>
                <w:sz w:val="21"/>
                <w:szCs w:val="21"/>
                <w:lang w:val="en-US" w:eastAsia="zh-CN" w:bidi="ar-SA"/>
              </w:rPr>
              <w:t>废蓄电池</w:t>
            </w:r>
          </w:p>
        </w:tc>
        <w:tc>
          <w:tcPr>
            <w:tcW w:w="0" w:type="auto"/>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adjustRightInd w:val="0"/>
              <w:snapToGrid w:val="0"/>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162t/a</w:t>
            </w:r>
          </w:p>
        </w:tc>
        <w:tc>
          <w:tcPr>
            <w:tcW w:w="0" w:type="auto"/>
            <w:vAlign w:val="center"/>
          </w:tcPr>
          <w:p>
            <w:pPr>
              <w:pStyle w:val="28"/>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adjustRightInd w:val="0"/>
              <w:snapToGrid w:val="0"/>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162t/a</w:t>
            </w:r>
          </w:p>
        </w:tc>
        <w:tc>
          <w:tcPr>
            <w:tcW w:w="0" w:type="auto"/>
            <w:vAlign w:val="center"/>
          </w:tcPr>
          <w:p>
            <w:pPr>
              <w:adjustRightInd w:val="0"/>
              <w:snapToGrid w:val="0"/>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+162t/a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0" w:type="auto"/>
            <w:vMerge w:val="continue"/>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p>
        </w:tc>
        <w:tc>
          <w:tcPr>
            <w:tcW w:w="0" w:type="auto"/>
            <w:vAlign w:val="center"/>
          </w:tcPr>
          <w:p>
            <w:pPr>
              <w:adjustRightInd w:val="0"/>
              <w:snapToGrid w:val="0"/>
              <w:spacing w:line="240" w:lineRule="auto"/>
              <w:jc w:val="center"/>
              <w:rPr>
                <w:rFonts w:hint="eastAsia" w:ascii="Times New Roman" w:hAnsi="Times New Roman" w:eastAsia="宋体" w:cs="Times New Roman"/>
                <w:bCs w:val="0"/>
                <w:kern w:val="2"/>
                <w:sz w:val="21"/>
                <w:szCs w:val="21"/>
                <w:lang w:val="en-US" w:eastAsia="zh-CN" w:bidi="ar-SA"/>
              </w:rPr>
            </w:pPr>
            <w:r>
              <w:rPr>
                <w:rFonts w:hint="default" w:ascii="Times New Roman" w:hAnsi="Times New Roman" w:eastAsia="宋体" w:cs="Times New Roman"/>
                <w:bCs w:val="0"/>
                <w:kern w:val="2"/>
                <w:sz w:val="21"/>
                <w:szCs w:val="21"/>
                <w:lang w:val="en-US" w:eastAsia="zh-CN" w:bidi="ar-SA"/>
              </w:rPr>
              <w:t>废电容器</w:t>
            </w:r>
          </w:p>
        </w:tc>
        <w:tc>
          <w:tcPr>
            <w:tcW w:w="0" w:type="auto"/>
            <w:vAlign w:val="center"/>
          </w:tcPr>
          <w:p>
            <w:pPr>
              <w:pStyle w:val="28"/>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adjustRightInd w:val="0"/>
              <w:snapToGrid w:val="0"/>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110t/a</w:t>
            </w:r>
          </w:p>
        </w:tc>
        <w:tc>
          <w:tcPr>
            <w:tcW w:w="0" w:type="auto"/>
            <w:vAlign w:val="center"/>
          </w:tcPr>
          <w:p>
            <w:pPr>
              <w:pStyle w:val="28"/>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adjustRightInd w:val="0"/>
              <w:snapToGrid w:val="0"/>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110t/a</w:t>
            </w:r>
          </w:p>
        </w:tc>
        <w:tc>
          <w:tcPr>
            <w:tcW w:w="0" w:type="auto"/>
            <w:vAlign w:val="center"/>
          </w:tcPr>
          <w:p>
            <w:pPr>
              <w:adjustRightInd w:val="0"/>
              <w:snapToGrid w:val="0"/>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+110t/a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0" w:type="auto"/>
            <w:vMerge w:val="continue"/>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p>
        </w:tc>
        <w:tc>
          <w:tcPr>
            <w:tcW w:w="0" w:type="auto"/>
            <w:vAlign w:val="center"/>
          </w:tcPr>
          <w:p>
            <w:pPr>
              <w:adjustRightInd w:val="0"/>
              <w:snapToGrid w:val="0"/>
              <w:spacing w:line="240" w:lineRule="auto"/>
              <w:jc w:val="center"/>
              <w:rPr>
                <w:rFonts w:hint="default" w:ascii="Times New Roman" w:hAnsi="Times New Roman" w:eastAsia="宋体" w:cs="Times New Roman"/>
                <w:bCs w:val="0"/>
                <w:kern w:val="2"/>
                <w:sz w:val="21"/>
                <w:szCs w:val="21"/>
                <w:lang w:val="en-US" w:eastAsia="zh-CN" w:bidi="ar-SA"/>
              </w:rPr>
            </w:pPr>
            <w:r>
              <w:rPr>
                <w:rFonts w:hint="default" w:ascii="Times New Roman" w:hAnsi="Times New Roman" w:eastAsia="宋体" w:cs="Times New Roman"/>
                <w:bCs w:val="0"/>
                <w:kern w:val="2"/>
                <w:sz w:val="21"/>
                <w:szCs w:val="21"/>
                <w:lang w:val="en-US" w:eastAsia="zh-CN" w:bidi="ar-SA"/>
              </w:rPr>
              <w:t>废尾气</w:t>
            </w:r>
          </w:p>
          <w:p>
            <w:pPr>
              <w:adjustRightInd w:val="0"/>
              <w:snapToGrid w:val="0"/>
              <w:spacing w:line="240" w:lineRule="auto"/>
              <w:jc w:val="center"/>
              <w:rPr>
                <w:rFonts w:hint="eastAsia" w:ascii="Times New Roman" w:hAnsi="Times New Roman" w:eastAsia="宋体" w:cs="Times New Roman"/>
                <w:bCs w:val="0"/>
                <w:kern w:val="2"/>
                <w:sz w:val="21"/>
                <w:szCs w:val="21"/>
                <w:lang w:val="en-US" w:eastAsia="zh-CN" w:bidi="ar-SA"/>
              </w:rPr>
            </w:pPr>
            <w:r>
              <w:rPr>
                <w:rFonts w:hint="default" w:ascii="Times New Roman" w:hAnsi="Times New Roman" w:eastAsia="宋体" w:cs="Times New Roman"/>
                <w:bCs w:val="0"/>
                <w:kern w:val="2"/>
                <w:sz w:val="21"/>
                <w:szCs w:val="21"/>
                <w:lang w:val="en-US" w:eastAsia="zh-CN" w:bidi="ar-SA"/>
              </w:rPr>
              <w:t>净化装置</w:t>
            </w:r>
          </w:p>
        </w:tc>
        <w:tc>
          <w:tcPr>
            <w:tcW w:w="0" w:type="auto"/>
            <w:vAlign w:val="center"/>
          </w:tcPr>
          <w:p>
            <w:pPr>
              <w:pStyle w:val="28"/>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adjustRightInd w:val="0"/>
              <w:snapToGrid w:val="0"/>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13.2t/a</w:t>
            </w:r>
          </w:p>
        </w:tc>
        <w:tc>
          <w:tcPr>
            <w:tcW w:w="0" w:type="auto"/>
            <w:vAlign w:val="center"/>
          </w:tcPr>
          <w:p>
            <w:pPr>
              <w:pStyle w:val="28"/>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adjustRightInd w:val="0"/>
              <w:snapToGrid w:val="0"/>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13.2t/a</w:t>
            </w:r>
          </w:p>
        </w:tc>
        <w:tc>
          <w:tcPr>
            <w:tcW w:w="0" w:type="auto"/>
            <w:vAlign w:val="center"/>
          </w:tcPr>
          <w:p>
            <w:pPr>
              <w:adjustRightInd w:val="0"/>
              <w:snapToGrid w:val="0"/>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+13.2t/a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0" w:type="auto"/>
            <w:vMerge w:val="continue"/>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p>
        </w:tc>
        <w:tc>
          <w:tcPr>
            <w:tcW w:w="0" w:type="auto"/>
            <w:vAlign w:val="center"/>
          </w:tcPr>
          <w:p>
            <w:pPr>
              <w:adjustRightInd w:val="0"/>
              <w:snapToGrid w:val="0"/>
              <w:spacing w:line="240" w:lineRule="auto"/>
              <w:jc w:val="center"/>
              <w:rPr>
                <w:rFonts w:hint="eastAsia" w:ascii="Times New Roman" w:hAnsi="Times New Roman" w:eastAsia="宋体" w:cs="Times New Roman"/>
                <w:bCs w:val="0"/>
                <w:kern w:val="2"/>
                <w:sz w:val="21"/>
                <w:szCs w:val="21"/>
                <w:lang w:val="en-US" w:eastAsia="zh-CN" w:bidi="ar-SA"/>
              </w:rPr>
            </w:pPr>
            <w:r>
              <w:rPr>
                <w:rFonts w:hint="default" w:ascii="Times New Roman" w:hAnsi="Times New Roman" w:eastAsia="宋体" w:cs="Times New Roman"/>
                <w:bCs w:val="0"/>
                <w:kern w:val="2"/>
                <w:sz w:val="21"/>
                <w:szCs w:val="21"/>
                <w:lang w:val="en-US" w:eastAsia="zh-CN" w:bidi="ar-SA"/>
              </w:rPr>
              <w:t>废油液</w:t>
            </w:r>
          </w:p>
        </w:tc>
        <w:tc>
          <w:tcPr>
            <w:tcW w:w="0" w:type="auto"/>
            <w:vAlign w:val="center"/>
          </w:tcPr>
          <w:p>
            <w:pPr>
              <w:pStyle w:val="28"/>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adjustRightInd w:val="0"/>
              <w:snapToGrid w:val="0"/>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50t/a</w:t>
            </w:r>
          </w:p>
        </w:tc>
        <w:tc>
          <w:tcPr>
            <w:tcW w:w="0" w:type="auto"/>
            <w:vAlign w:val="center"/>
          </w:tcPr>
          <w:p>
            <w:pPr>
              <w:pStyle w:val="28"/>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adjustRightInd w:val="0"/>
              <w:snapToGrid w:val="0"/>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50t/a</w:t>
            </w:r>
          </w:p>
        </w:tc>
        <w:tc>
          <w:tcPr>
            <w:tcW w:w="0" w:type="auto"/>
            <w:vAlign w:val="center"/>
          </w:tcPr>
          <w:p>
            <w:pPr>
              <w:adjustRightInd w:val="0"/>
              <w:snapToGrid w:val="0"/>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+50t/a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0" w:type="auto"/>
            <w:vMerge w:val="continue"/>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p>
        </w:tc>
        <w:tc>
          <w:tcPr>
            <w:tcW w:w="0" w:type="auto"/>
            <w:vAlign w:val="center"/>
          </w:tcPr>
          <w:p>
            <w:pPr>
              <w:adjustRightInd w:val="0"/>
              <w:snapToGrid w:val="0"/>
              <w:spacing w:line="240" w:lineRule="auto"/>
              <w:jc w:val="center"/>
              <w:rPr>
                <w:rFonts w:hint="default" w:ascii="Times New Roman" w:hAnsi="Times New Roman" w:eastAsia="宋体" w:cs="Times New Roman"/>
                <w:bCs w:val="0"/>
                <w:kern w:val="2"/>
                <w:sz w:val="21"/>
                <w:szCs w:val="21"/>
                <w:lang w:val="en-US" w:eastAsia="zh-CN" w:bidi="ar-SA"/>
              </w:rPr>
            </w:pPr>
            <w:r>
              <w:rPr>
                <w:rFonts w:hint="default" w:ascii="Times New Roman" w:hAnsi="Times New Roman" w:eastAsia="宋体" w:cs="Times New Roman"/>
                <w:bCs w:val="0"/>
                <w:kern w:val="2"/>
                <w:sz w:val="21"/>
                <w:szCs w:val="21"/>
                <w:lang w:val="en-US" w:eastAsia="zh-CN" w:bidi="ar-SA"/>
              </w:rPr>
              <w:t>燃油（柴、汽油）</w:t>
            </w:r>
          </w:p>
        </w:tc>
        <w:tc>
          <w:tcPr>
            <w:tcW w:w="0" w:type="auto"/>
            <w:vAlign w:val="center"/>
          </w:tcPr>
          <w:p>
            <w:pPr>
              <w:pStyle w:val="28"/>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adjustRightInd w:val="0"/>
              <w:snapToGrid w:val="0"/>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21t/a</w:t>
            </w:r>
          </w:p>
        </w:tc>
        <w:tc>
          <w:tcPr>
            <w:tcW w:w="0" w:type="auto"/>
            <w:vAlign w:val="center"/>
          </w:tcPr>
          <w:p>
            <w:pPr>
              <w:pStyle w:val="28"/>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adjustRightInd w:val="0"/>
              <w:snapToGrid w:val="0"/>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21t/a</w:t>
            </w:r>
          </w:p>
        </w:tc>
        <w:tc>
          <w:tcPr>
            <w:tcW w:w="0" w:type="auto"/>
            <w:vAlign w:val="center"/>
          </w:tcPr>
          <w:p>
            <w:pPr>
              <w:adjustRightInd w:val="0"/>
              <w:snapToGrid w:val="0"/>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+21t/a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0" w:type="auto"/>
            <w:vMerge w:val="continue"/>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p>
        </w:tc>
        <w:tc>
          <w:tcPr>
            <w:tcW w:w="0" w:type="auto"/>
            <w:vAlign w:val="center"/>
          </w:tcPr>
          <w:p>
            <w:pPr>
              <w:adjustRightInd w:val="0"/>
              <w:snapToGrid w:val="0"/>
              <w:spacing w:line="240" w:lineRule="auto"/>
              <w:jc w:val="center"/>
              <w:rPr>
                <w:rFonts w:hint="default" w:ascii="Times New Roman" w:hAnsi="Times New Roman" w:eastAsia="宋体" w:cs="Times New Roman"/>
                <w:bCs w:val="0"/>
                <w:kern w:val="2"/>
                <w:sz w:val="21"/>
                <w:szCs w:val="21"/>
                <w:lang w:val="en-US" w:eastAsia="zh-CN" w:bidi="ar-SA"/>
              </w:rPr>
            </w:pPr>
            <w:r>
              <w:rPr>
                <w:rFonts w:hint="default" w:ascii="Times New Roman" w:hAnsi="Times New Roman" w:eastAsia="宋体" w:cs="Times New Roman"/>
                <w:bCs w:val="0"/>
                <w:kern w:val="2"/>
                <w:sz w:val="21"/>
                <w:szCs w:val="21"/>
                <w:lang w:val="en-US" w:eastAsia="zh-CN" w:bidi="ar-SA"/>
              </w:rPr>
              <w:t>废空调制冷剂</w:t>
            </w:r>
          </w:p>
        </w:tc>
        <w:tc>
          <w:tcPr>
            <w:tcW w:w="0" w:type="auto"/>
            <w:vAlign w:val="center"/>
          </w:tcPr>
          <w:p>
            <w:pPr>
              <w:pStyle w:val="28"/>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adjustRightInd w:val="0"/>
              <w:snapToGrid w:val="0"/>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10t/a</w:t>
            </w:r>
          </w:p>
        </w:tc>
        <w:tc>
          <w:tcPr>
            <w:tcW w:w="0" w:type="auto"/>
            <w:vAlign w:val="center"/>
          </w:tcPr>
          <w:p>
            <w:pPr>
              <w:pStyle w:val="28"/>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adjustRightInd w:val="0"/>
              <w:snapToGrid w:val="0"/>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10t/a</w:t>
            </w:r>
          </w:p>
        </w:tc>
        <w:tc>
          <w:tcPr>
            <w:tcW w:w="0" w:type="auto"/>
            <w:vAlign w:val="center"/>
          </w:tcPr>
          <w:p>
            <w:pPr>
              <w:adjustRightInd w:val="0"/>
              <w:snapToGrid w:val="0"/>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+10t/a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0" w:type="auto"/>
            <w:vMerge w:val="continue"/>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p>
        </w:tc>
        <w:tc>
          <w:tcPr>
            <w:tcW w:w="0" w:type="auto"/>
            <w:vAlign w:val="center"/>
          </w:tcPr>
          <w:p>
            <w:pPr>
              <w:adjustRightInd w:val="0"/>
              <w:snapToGrid w:val="0"/>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废冷却液</w:t>
            </w:r>
          </w:p>
        </w:tc>
        <w:tc>
          <w:tcPr>
            <w:tcW w:w="0" w:type="auto"/>
            <w:vAlign w:val="center"/>
          </w:tcPr>
          <w:p>
            <w:pPr>
              <w:pStyle w:val="28"/>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adjustRightInd w:val="0"/>
              <w:snapToGrid w:val="0"/>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2t/a</w:t>
            </w:r>
          </w:p>
        </w:tc>
        <w:tc>
          <w:tcPr>
            <w:tcW w:w="0" w:type="auto"/>
            <w:vAlign w:val="center"/>
          </w:tcPr>
          <w:p>
            <w:pPr>
              <w:pStyle w:val="28"/>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adjustRightInd w:val="0"/>
              <w:snapToGrid w:val="0"/>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2t/a</w:t>
            </w:r>
          </w:p>
        </w:tc>
        <w:tc>
          <w:tcPr>
            <w:tcW w:w="0" w:type="auto"/>
            <w:vAlign w:val="center"/>
          </w:tcPr>
          <w:p>
            <w:pPr>
              <w:adjustRightInd w:val="0"/>
              <w:snapToGrid w:val="0"/>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+2t/a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0" w:type="auto"/>
            <w:vMerge w:val="continue"/>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p>
        </w:tc>
        <w:tc>
          <w:tcPr>
            <w:tcW w:w="0" w:type="auto"/>
            <w:vAlign w:val="center"/>
          </w:tcPr>
          <w:p>
            <w:pPr>
              <w:adjustRightInd w:val="0"/>
              <w:snapToGrid w:val="0"/>
              <w:spacing w:line="240" w:lineRule="auto"/>
              <w:jc w:val="center"/>
              <w:rPr>
                <w:rFonts w:hint="eastAsia" w:ascii="Times New Roman" w:hAnsi="Times New Roman" w:eastAsia="宋体" w:cs="Times New Roman"/>
                <w:bCs w:val="0"/>
                <w:kern w:val="2"/>
                <w:sz w:val="21"/>
                <w:szCs w:val="21"/>
                <w:lang w:val="en-US" w:eastAsia="zh-CN" w:bidi="ar-SA"/>
              </w:rPr>
            </w:pPr>
            <w:r>
              <w:rPr>
                <w:rFonts w:hint="default" w:ascii="Times New Roman" w:hAnsi="Times New Roman" w:eastAsia="宋体" w:cs="Times New Roman"/>
                <w:bCs w:val="0"/>
                <w:kern w:val="2"/>
                <w:sz w:val="21"/>
                <w:szCs w:val="21"/>
                <w:lang w:val="en-US" w:eastAsia="zh-CN" w:bidi="ar-SA"/>
              </w:rPr>
              <w:t>废电路板</w:t>
            </w:r>
          </w:p>
        </w:tc>
        <w:tc>
          <w:tcPr>
            <w:tcW w:w="0" w:type="auto"/>
            <w:vAlign w:val="center"/>
          </w:tcPr>
          <w:p>
            <w:pPr>
              <w:pStyle w:val="28"/>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adjustRightInd w:val="0"/>
              <w:snapToGrid w:val="0"/>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21.6t/a</w:t>
            </w:r>
          </w:p>
        </w:tc>
        <w:tc>
          <w:tcPr>
            <w:tcW w:w="0" w:type="auto"/>
            <w:vAlign w:val="center"/>
          </w:tcPr>
          <w:p>
            <w:pPr>
              <w:pStyle w:val="28"/>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adjustRightInd w:val="0"/>
              <w:snapToGrid w:val="0"/>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21.6t/a</w:t>
            </w:r>
          </w:p>
        </w:tc>
        <w:tc>
          <w:tcPr>
            <w:tcW w:w="0" w:type="auto"/>
            <w:vAlign w:val="center"/>
          </w:tcPr>
          <w:p>
            <w:pPr>
              <w:adjustRightInd w:val="0"/>
              <w:snapToGrid w:val="0"/>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+21.6t/a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0" w:type="auto"/>
            <w:vMerge w:val="continue"/>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p>
        </w:tc>
        <w:tc>
          <w:tcPr>
            <w:tcW w:w="0" w:type="auto"/>
            <w:vAlign w:val="center"/>
          </w:tcPr>
          <w:p>
            <w:pPr>
              <w:adjustRightInd w:val="0"/>
              <w:snapToGrid w:val="0"/>
              <w:spacing w:line="240" w:lineRule="auto"/>
              <w:jc w:val="center"/>
              <w:rPr>
                <w:rFonts w:hint="default" w:ascii="Times New Roman" w:hAnsi="Times New Roman" w:eastAsia="宋体" w:cs="Times New Roman"/>
                <w:bCs w:val="0"/>
                <w:kern w:val="2"/>
                <w:sz w:val="21"/>
                <w:szCs w:val="21"/>
                <w:lang w:val="en-US" w:eastAsia="zh-CN" w:bidi="ar-SA"/>
              </w:rPr>
            </w:pPr>
            <w:r>
              <w:rPr>
                <w:rFonts w:hint="default" w:ascii="Times New Roman" w:hAnsi="Times New Roman" w:eastAsia="宋体" w:cs="Times New Roman"/>
                <w:bCs w:val="0"/>
                <w:kern w:val="2"/>
                <w:sz w:val="21"/>
                <w:szCs w:val="21"/>
                <w:lang w:val="en-US" w:eastAsia="zh-CN" w:bidi="ar-SA"/>
              </w:rPr>
              <w:t>废机油滤清器</w:t>
            </w:r>
          </w:p>
        </w:tc>
        <w:tc>
          <w:tcPr>
            <w:tcW w:w="0" w:type="auto"/>
            <w:vAlign w:val="center"/>
          </w:tcPr>
          <w:p>
            <w:pPr>
              <w:pStyle w:val="28"/>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adjustRightInd w:val="0"/>
              <w:snapToGrid w:val="0"/>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2.7t/a</w:t>
            </w:r>
          </w:p>
        </w:tc>
        <w:tc>
          <w:tcPr>
            <w:tcW w:w="0" w:type="auto"/>
            <w:vAlign w:val="center"/>
          </w:tcPr>
          <w:p>
            <w:pPr>
              <w:pStyle w:val="28"/>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adjustRightInd w:val="0"/>
              <w:snapToGrid w:val="0"/>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2.7t/a</w:t>
            </w:r>
          </w:p>
        </w:tc>
        <w:tc>
          <w:tcPr>
            <w:tcW w:w="0" w:type="auto"/>
            <w:vAlign w:val="center"/>
          </w:tcPr>
          <w:p>
            <w:pPr>
              <w:adjustRightInd w:val="0"/>
              <w:snapToGrid w:val="0"/>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+2.7t/a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0" w:type="auto"/>
            <w:vMerge w:val="continue"/>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p>
        </w:tc>
        <w:tc>
          <w:tcPr>
            <w:tcW w:w="0" w:type="auto"/>
            <w:vAlign w:val="center"/>
          </w:tcPr>
          <w:p>
            <w:pPr>
              <w:adjustRightInd w:val="0"/>
              <w:snapToGrid w:val="0"/>
              <w:spacing w:line="240" w:lineRule="auto"/>
              <w:jc w:val="center"/>
              <w:rPr>
                <w:rFonts w:hint="eastAsia" w:ascii="Times New Roman" w:hAnsi="Times New Roman" w:eastAsia="宋体" w:cs="Times New Roman"/>
                <w:bCs w:val="0"/>
                <w:kern w:val="2"/>
                <w:sz w:val="21"/>
                <w:szCs w:val="21"/>
                <w:lang w:val="en-US" w:eastAsia="zh-CN" w:bidi="ar-SA"/>
              </w:rPr>
            </w:pPr>
            <w:r>
              <w:rPr>
                <w:rFonts w:hint="default" w:ascii="Times New Roman" w:hAnsi="Times New Roman" w:eastAsia="宋体" w:cs="Times New Roman"/>
                <w:bCs w:val="0"/>
                <w:kern w:val="2"/>
                <w:sz w:val="21"/>
                <w:szCs w:val="21"/>
                <w:lang w:val="en-US" w:eastAsia="zh-CN" w:bidi="ar-SA"/>
              </w:rPr>
              <w:t>含有毒有害物质的部件（含汞开关、含铅部件）</w:t>
            </w:r>
          </w:p>
        </w:tc>
        <w:tc>
          <w:tcPr>
            <w:tcW w:w="0" w:type="auto"/>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adjustRightInd w:val="0"/>
              <w:snapToGrid w:val="0"/>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5t/a</w:t>
            </w:r>
          </w:p>
        </w:tc>
        <w:tc>
          <w:tcPr>
            <w:tcW w:w="0" w:type="auto"/>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adjustRightInd w:val="0"/>
              <w:snapToGrid w:val="0"/>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5t/a</w:t>
            </w:r>
          </w:p>
        </w:tc>
        <w:tc>
          <w:tcPr>
            <w:tcW w:w="0" w:type="auto"/>
            <w:vAlign w:val="center"/>
          </w:tcPr>
          <w:p>
            <w:pPr>
              <w:adjustRightInd w:val="0"/>
              <w:snapToGrid w:val="0"/>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+5t/a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0" w:type="auto"/>
            <w:vMerge w:val="continue"/>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p>
        </w:tc>
        <w:tc>
          <w:tcPr>
            <w:tcW w:w="0" w:type="auto"/>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油水分离器废油</w:t>
            </w:r>
          </w:p>
        </w:tc>
        <w:tc>
          <w:tcPr>
            <w:tcW w:w="0" w:type="auto"/>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adjustRightInd w:val="0"/>
              <w:snapToGrid w:val="0"/>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0.2t/a</w:t>
            </w:r>
          </w:p>
        </w:tc>
        <w:tc>
          <w:tcPr>
            <w:tcW w:w="0" w:type="auto"/>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adjustRightInd w:val="0"/>
              <w:snapToGrid w:val="0"/>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0.2t/a</w:t>
            </w:r>
          </w:p>
        </w:tc>
        <w:tc>
          <w:tcPr>
            <w:tcW w:w="0" w:type="auto"/>
            <w:vAlign w:val="center"/>
          </w:tcPr>
          <w:p>
            <w:pPr>
              <w:adjustRightInd w:val="0"/>
              <w:snapToGrid w:val="0"/>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+0.2t/a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0" w:type="auto"/>
            <w:vMerge w:val="continue"/>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p>
        </w:tc>
        <w:tc>
          <w:tcPr>
            <w:tcW w:w="0" w:type="auto"/>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eastAsia" w:ascii="Times New Roman" w:hAnsi="Times New Roman" w:eastAsia="宋体" w:cs="Times New Roman"/>
                <w:bCs w:val="0"/>
                <w:kern w:val="2"/>
                <w:sz w:val="21"/>
                <w:szCs w:val="21"/>
                <w:lang w:val="en-US" w:eastAsia="zh-CN" w:bidi="ar-SA"/>
              </w:rPr>
            </w:pPr>
            <w:r>
              <w:rPr>
                <w:rFonts w:hint="default" w:ascii="Times New Roman" w:hAnsi="Times New Roman" w:eastAsia="宋体" w:cs="Times New Roman"/>
                <w:bCs w:val="0"/>
                <w:kern w:val="2"/>
                <w:sz w:val="21"/>
                <w:szCs w:val="21"/>
                <w:lang w:val="en-US" w:eastAsia="zh-CN" w:bidi="ar-SA"/>
              </w:rPr>
              <w:t>废含油手套抹布</w:t>
            </w:r>
          </w:p>
        </w:tc>
        <w:tc>
          <w:tcPr>
            <w:tcW w:w="0" w:type="auto"/>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adjustRightInd w:val="0"/>
              <w:snapToGrid w:val="0"/>
              <w:spacing w:line="240" w:lineRule="auto"/>
              <w:jc w:val="center"/>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0.3t/a</w:t>
            </w:r>
          </w:p>
        </w:tc>
        <w:tc>
          <w:tcPr>
            <w:tcW w:w="0" w:type="auto"/>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adjustRightInd w:val="0"/>
              <w:snapToGrid w:val="0"/>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0.3t/a</w:t>
            </w:r>
          </w:p>
        </w:tc>
        <w:tc>
          <w:tcPr>
            <w:tcW w:w="0" w:type="auto"/>
            <w:vAlign w:val="center"/>
          </w:tcPr>
          <w:p>
            <w:pPr>
              <w:adjustRightInd w:val="0"/>
              <w:snapToGrid w:val="0"/>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+0.3t/a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0" w:type="auto"/>
            <w:vMerge w:val="continue"/>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p>
        </w:tc>
        <w:tc>
          <w:tcPr>
            <w:tcW w:w="0" w:type="auto"/>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隔油沉淀池含油污泥</w:t>
            </w:r>
          </w:p>
        </w:tc>
        <w:tc>
          <w:tcPr>
            <w:tcW w:w="0" w:type="auto"/>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default"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1.2t/a</w:t>
            </w:r>
          </w:p>
        </w:tc>
        <w:tc>
          <w:tcPr>
            <w:tcW w:w="0" w:type="auto"/>
            <w:vAlign w:val="center"/>
          </w:tcPr>
          <w:p>
            <w:pPr>
              <w:pStyle w:val="28"/>
              <w:spacing w:line="240" w:lineRule="auto"/>
              <w:jc w:val="center"/>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w:t>
            </w:r>
          </w:p>
        </w:tc>
        <w:tc>
          <w:tcPr>
            <w:tcW w:w="0" w:type="auto"/>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1.2t/a</w:t>
            </w:r>
          </w:p>
        </w:tc>
        <w:tc>
          <w:tcPr>
            <w:tcW w:w="0" w:type="auto"/>
            <w:vAlign w:val="center"/>
          </w:tcPr>
          <w:p>
            <w:pPr>
              <w:keepNext w:val="0"/>
              <w:keepLines w:val="0"/>
              <w:pageBreakBefore w:val="0"/>
              <w:widowControl w:val="0"/>
              <w:kinsoku/>
              <w:wordWrap/>
              <w:overflowPunct/>
              <w:topLinePunct w:val="0"/>
              <w:autoSpaceDE w:val="0"/>
              <w:autoSpaceDN w:val="0"/>
              <w:bidi w:val="0"/>
              <w:adjustRightInd/>
              <w:snapToGrid w:val="0"/>
              <w:spacing w:line="240" w:lineRule="auto"/>
              <w:ind w:left="0" w:leftChars="0" w:right="0" w:rightChars="0"/>
              <w:jc w:val="center"/>
              <w:textAlignment w:val="auto"/>
              <w:outlineLvl w:val="9"/>
              <w:rPr>
                <w:rFonts w:hint="eastAsia" w:ascii="Times New Roman" w:hAnsi="Times New Roman" w:eastAsia="宋体" w:cs="Times New Roman"/>
                <w:bCs w:val="0"/>
                <w:kern w:val="2"/>
                <w:sz w:val="21"/>
                <w:szCs w:val="21"/>
                <w:lang w:val="en-US" w:eastAsia="zh-CN" w:bidi="ar-SA"/>
              </w:rPr>
            </w:pPr>
            <w:r>
              <w:rPr>
                <w:rFonts w:hint="eastAsia" w:ascii="Times New Roman" w:hAnsi="Times New Roman" w:eastAsia="宋体" w:cs="Times New Roman"/>
                <w:bCs w:val="0"/>
                <w:kern w:val="2"/>
                <w:sz w:val="21"/>
                <w:szCs w:val="21"/>
                <w:lang w:val="en-US" w:eastAsia="zh-CN" w:bidi="ar-SA"/>
              </w:rPr>
              <w:t>+1.2t/a</w:t>
            </w:r>
          </w:p>
        </w:tc>
      </w:tr>
      <w:bookmarkEnd w:id="18"/>
    </w:tbl>
    <w:p>
      <w:pPr>
        <w:pStyle w:val="3"/>
        <w:outlineLvl w:val="8"/>
        <w:rPr>
          <w:rFonts w:hint="eastAsia" w:ascii="Times New Roman" w:hAnsi="Times New Roman" w:eastAsia="宋体" w:cs="Times New Roman"/>
          <w:color w:val="auto"/>
          <w:kern w:val="2"/>
          <w:sz w:val="24"/>
          <w:szCs w:val="24"/>
          <w:u w:val="none" w:color="auto"/>
          <w:lang w:val="en-US" w:eastAsia="zh-CN" w:bidi="ar-SA"/>
        </w:rPr>
      </w:pPr>
      <w:r>
        <w:rPr>
          <w:rFonts w:hint="eastAsia" w:ascii="Times New Roman" w:hAnsi="Times New Roman" w:eastAsia="宋体" w:cs="Times New Roman"/>
          <w:color w:val="auto"/>
          <w:kern w:val="2"/>
          <w:sz w:val="24"/>
          <w:szCs w:val="24"/>
          <w:u w:val="none" w:color="auto"/>
          <w:lang w:val="en-US" w:eastAsia="zh-CN" w:bidi="ar-SA"/>
        </w:rPr>
        <w:t>注：</w:t>
      </w:r>
      <w:r>
        <w:rPr>
          <w:rFonts w:hint="eastAsia" w:ascii="Times New Roman" w:hAnsi="Times New Roman" w:eastAsia="宋体" w:cs="Times New Roman"/>
          <w:color w:val="auto"/>
          <w:kern w:val="2"/>
          <w:sz w:val="24"/>
          <w:szCs w:val="24"/>
          <w:u w:val="none" w:color="auto"/>
          <w:lang w:val="en-US" w:eastAsia="zh-CN" w:bidi="ar-SA"/>
        </w:rPr>
        <w:fldChar w:fldCharType="begin"/>
      </w:r>
      <w:r>
        <w:rPr>
          <w:rFonts w:hint="eastAsia" w:ascii="Times New Roman" w:hAnsi="Times New Roman" w:eastAsia="宋体" w:cs="Times New Roman"/>
          <w:color w:val="auto"/>
          <w:kern w:val="2"/>
          <w:sz w:val="24"/>
          <w:szCs w:val="24"/>
          <w:u w:val="none" w:color="auto"/>
          <w:lang w:val="en-US" w:eastAsia="zh-CN" w:bidi="ar-SA"/>
        </w:rPr>
        <w:instrText xml:space="preserve"> = 6 \* GB3 \* MERGEFORMAT </w:instrText>
      </w:r>
      <w:r>
        <w:rPr>
          <w:rFonts w:hint="eastAsia" w:ascii="Times New Roman" w:hAnsi="Times New Roman" w:eastAsia="宋体" w:cs="Times New Roman"/>
          <w:color w:val="auto"/>
          <w:kern w:val="2"/>
          <w:sz w:val="24"/>
          <w:szCs w:val="24"/>
          <w:u w:val="none" w:color="auto"/>
          <w:lang w:val="en-US" w:eastAsia="zh-CN" w:bidi="ar-SA"/>
        </w:rPr>
        <w:fldChar w:fldCharType="separate"/>
      </w:r>
      <w:r>
        <w:rPr>
          <w:rFonts w:hint="eastAsia" w:ascii="Times New Roman" w:hAnsi="Times New Roman" w:eastAsia="宋体" w:cs="Times New Roman"/>
          <w:color w:val="auto"/>
          <w:kern w:val="2"/>
          <w:sz w:val="24"/>
          <w:szCs w:val="24"/>
          <w:u w:val="none" w:color="auto"/>
          <w:lang w:val="en-US" w:eastAsia="zh-CN" w:bidi="ar-SA"/>
        </w:rPr>
        <w:t>⑥</w:t>
      </w:r>
      <w:r>
        <w:rPr>
          <w:rFonts w:hint="eastAsia" w:ascii="Times New Roman" w:hAnsi="Times New Roman" w:eastAsia="宋体" w:cs="Times New Roman"/>
          <w:color w:val="auto"/>
          <w:kern w:val="2"/>
          <w:sz w:val="24"/>
          <w:szCs w:val="24"/>
          <w:u w:val="none" w:color="auto"/>
          <w:lang w:val="en-US" w:eastAsia="zh-CN" w:bidi="ar-SA"/>
        </w:rPr>
        <w:fldChar w:fldCharType="end"/>
      </w:r>
      <w:r>
        <w:rPr>
          <w:rFonts w:hint="eastAsia" w:ascii="Times New Roman" w:hAnsi="Times New Roman" w:eastAsia="宋体" w:cs="Times New Roman"/>
          <w:color w:val="auto"/>
          <w:kern w:val="2"/>
          <w:sz w:val="24"/>
          <w:szCs w:val="24"/>
          <w:u w:val="none" w:color="auto"/>
          <w:lang w:val="en-US" w:eastAsia="zh-CN" w:bidi="ar-SA"/>
        </w:rPr>
        <w:t>=</w:t>
      </w:r>
      <w:r>
        <w:rPr>
          <w:rFonts w:hint="eastAsia" w:ascii="Times New Roman" w:hAnsi="Times New Roman" w:eastAsia="宋体" w:cs="Times New Roman"/>
          <w:color w:val="auto"/>
          <w:kern w:val="2"/>
          <w:sz w:val="24"/>
          <w:szCs w:val="24"/>
          <w:u w:val="none" w:color="auto"/>
          <w:lang w:val="en-US" w:eastAsia="zh-CN" w:bidi="ar-SA"/>
        </w:rPr>
        <w:fldChar w:fldCharType="begin"/>
      </w:r>
      <w:r>
        <w:rPr>
          <w:rFonts w:hint="eastAsia" w:ascii="Times New Roman" w:hAnsi="Times New Roman" w:eastAsia="宋体" w:cs="Times New Roman"/>
          <w:color w:val="auto"/>
          <w:kern w:val="2"/>
          <w:sz w:val="24"/>
          <w:szCs w:val="24"/>
          <w:u w:val="none" w:color="auto"/>
          <w:lang w:val="en-US" w:eastAsia="zh-CN" w:bidi="ar-SA"/>
        </w:rPr>
        <w:instrText xml:space="preserve"> = 1 \* GB3 \* MERGEFORMAT </w:instrText>
      </w:r>
      <w:r>
        <w:rPr>
          <w:rFonts w:hint="eastAsia" w:ascii="Times New Roman" w:hAnsi="Times New Roman" w:eastAsia="宋体" w:cs="Times New Roman"/>
          <w:color w:val="auto"/>
          <w:kern w:val="2"/>
          <w:sz w:val="24"/>
          <w:szCs w:val="24"/>
          <w:u w:val="none" w:color="auto"/>
          <w:lang w:val="en-US" w:eastAsia="zh-CN" w:bidi="ar-SA"/>
        </w:rPr>
        <w:fldChar w:fldCharType="separate"/>
      </w:r>
      <w:r>
        <w:rPr>
          <w:rFonts w:hint="eastAsia" w:ascii="Times New Roman" w:hAnsi="Times New Roman" w:eastAsia="宋体" w:cs="Times New Roman"/>
          <w:color w:val="auto"/>
          <w:kern w:val="2"/>
          <w:sz w:val="24"/>
          <w:szCs w:val="24"/>
          <w:u w:val="none" w:color="auto"/>
          <w:lang w:val="en-US" w:eastAsia="zh-CN" w:bidi="ar-SA"/>
        </w:rPr>
        <w:t>①</w:t>
      </w:r>
      <w:r>
        <w:rPr>
          <w:rFonts w:hint="eastAsia" w:ascii="Times New Roman" w:hAnsi="Times New Roman" w:eastAsia="宋体" w:cs="Times New Roman"/>
          <w:color w:val="auto"/>
          <w:kern w:val="2"/>
          <w:sz w:val="24"/>
          <w:szCs w:val="24"/>
          <w:u w:val="none" w:color="auto"/>
          <w:lang w:val="en-US" w:eastAsia="zh-CN" w:bidi="ar-SA"/>
        </w:rPr>
        <w:fldChar w:fldCharType="end"/>
      </w:r>
      <w:r>
        <w:rPr>
          <w:rFonts w:hint="eastAsia" w:ascii="Times New Roman" w:hAnsi="Times New Roman" w:eastAsia="宋体" w:cs="Times New Roman"/>
          <w:color w:val="auto"/>
          <w:kern w:val="2"/>
          <w:sz w:val="24"/>
          <w:szCs w:val="24"/>
          <w:u w:val="none" w:color="auto"/>
          <w:lang w:val="en-US" w:eastAsia="zh-CN" w:bidi="ar-SA"/>
        </w:rPr>
        <w:t>+</w:t>
      </w:r>
      <w:r>
        <w:rPr>
          <w:rFonts w:hint="eastAsia" w:ascii="Times New Roman" w:hAnsi="Times New Roman" w:eastAsia="宋体" w:cs="Times New Roman"/>
          <w:color w:val="auto"/>
          <w:kern w:val="2"/>
          <w:sz w:val="24"/>
          <w:szCs w:val="24"/>
          <w:u w:val="none" w:color="auto"/>
          <w:lang w:val="en-US" w:eastAsia="zh-CN" w:bidi="ar-SA"/>
        </w:rPr>
        <w:fldChar w:fldCharType="begin"/>
      </w:r>
      <w:r>
        <w:rPr>
          <w:rFonts w:hint="eastAsia" w:ascii="Times New Roman" w:hAnsi="Times New Roman" w:eastAsia="宋体" w:cs="Times New Roman"/>
          <w:color w:val="auto"/>
          <w:kern w:val="2"/>
          <w:sz w:val="24"/>
          <w:szCs w:val="24"/>
          <w:u w:val="none" w:color="auto"/>
          <w:lang w:val="en-US" w:eastAsia="zh-CN" w:bidi="ar-SA"/>
        </w:rPr>
        <w:instrText xml:space="preserve"> = 3 \* GB3 \* MERGEFORMAT </w:instrText>
      </w:r>
      <w:r>
        <w:rPr>
          <w:rFonts w:hint="eastAsia" w:ascii="Times New Roman" w:hAnsi="Times New Roman" w:eastAsia="宋体" w:cs="Times New Roman"/>
          <w:color w:val="auto"/>
          <w:kern w:val="2"/>
          <w:sz w:val="24"/>
          <w:szCs w:val="24"/>
          <w:u w:val="none" w:color="auto"/>
          <w:lang w:val="en-US" w:eastAsia="zh-CN" w:bidi="ar-SA"/>
        </w:rPr>
        <w:fldChar w:fldCharType="separate"/>
      </w:r>
      <w:r>
        <w:rPr>
          <w:rFonts w:hint="eastAsia" w:ascii="Times New Roman" w:hAnsi="Times New Roman" w:eastAsia="宋体" w:cs="Times New Roman"/>
          <w:color w:val="auto"/>
          <w:kern w:val="2"/>
          <w:sz w:val="24"/>
          <w:szCs w:val="24"/>
          <w:u w:val="none" w:color="auto"/>
          <w:lang w:val="en-US" w:eastAsia="zh-CN" w:bidi="ar-SA"/>
        </w:rPr>
        <w:t>③</w:t>
      </w:r>
      <w:r>
        <w:rPr>
          <w:rFonts w:hint="eastAsia" w:ascii="Times New Roman" w:hAnsi="Times New Roman" w:eastAsia="宋体" w:cs="Times New Roman"/>
          <w:color w:val="auto"/>
          <w:kern w:val="2"/>
          <w:sz w:val="24"/>
          <w:szCs w:val="24"/>
          <w:u w:val="none" w:color="auto"/>
          <w:lang w:val="en-US" w:eastAsia="zh-CN" w:bidi="ar-SA"/>
        </w:rPr>
        <w:fldChar w:fldCharType="end"/>
      </w:r>
      <w:r>
        <w:rPr>
          <w:rFonts w:hint="eastAsia" w:ascii="Times New Roman" w:hAnsi="Times New Roman" w:eastAsia="宋体" w:cs="Times New Roman"/>
          <w:color w:val="auto"/>
          <w:kern w:val="2"/>
          <w:sz w:val="24"/>
          <w:szCs w:val="24"/>
          <w:u w:val="none" w:color="auto"/>
          <w:lang w:val="en-US" w:eastAsia="zh-CN" w:bidi="ar-SA"/>
        </w:rPr>
        <w:t>+</w:t>
      </w:r>
      <w:r>
        <w:rPr>
          <w:rFonts w:hint="eastAsia" w:ascii="Times New Roman" w:hAnsi="Times New Roman" w:eastAsia="宋体" w:cs="Times New Roman"/>
          <w:color w:val="auto"/>
          <w:kern w:val="2"/>
          <w:sz w:val="24"/>
          <w:szCs w:val="24"/>
          <w:u w:val="none" w:color="auto"/>
          <w:lang w:val="en-US" w:eastAsia="zh-CN" w:bidi="ar-SA"/>
        </w:rPr>
        <w:fldChar w:fldCharType="begin"/>
      </w:r>
      <w:r>
        <w:rPr>
          <w:rFonts w:hint="eastAsia" w:ascii="Times New Roman" w:hAnsi="Times New Roman" w:eastAsia="宋体" w:cs="Times New Roman"/>
          <w:color w:val="auto"/>
          <w:kern w:val="2"/>
          <w:sz w:val="24"/>
          <w:szCs w:val="24"/>
          <w:u w:val="none" w:color="auto"/>
          <w:lang w:val="en-US" w:eastAsia="zh-CN" w:bidi="ar-SA"/>
        </w:rPr>
        <w:instrText xml:space="preserve"> = 4 \* GB3 \* MERGEFORMAT </w:instrText>
      </w:r>
      <w:r>
        <w:rPr>
          <w:rFonts w:hint="eastAsia" w:ascii="Times New Roman" w:hAnsi="Times New Roman" w:eastAsia="宋体" w:cs="Times New Roman"/>
          <w:color w:val="auto"/>
          <w:kern w:val="2"/>
          <w:sz w:val="24"/>
          <w:szCs w:val="24"/>
          <w:u w:val="none" w:color="auto"/>
          <w:lang w:val="en-US" w:eastAsia="zh-CN" w:bidi="ar-SA"/>
        </w:rPr>
        <w:fldChar w:fldCharType="separate"/>
      </w:r>
      <w:r>
        <w:rPr>
          <w:rFonts w:hint="eastAsia" w:ascii="Times New Roman" w:hAnsi="Times New Roman" w:eastAsia="宋体" w:cs="Times New Roman"/>
          <w:color w:val="auto"/>
          <w:kern w:val="2"/>
          <w:sz w:val="24"/>
          <w:szCs w:val="24"/>
          <w:u w:val="none" w:color="auto"/>
          <w:lang w:val="en-US" w:eastAsia="zh-CN" w:bidi="ar-SA"/>
        </w:rPr>
        <w:t>④</w:t>
      </w:r>
      <w:r>
        <w:rPr>
          <w:rFonts w:hint="eastAsia" w:ascii="Times New Roman" w:hAnsi="Times New Roman" w:eastAsia="宋体" w:cs="Times New Roman"/>
          <w:color w:val="auto"/>
          <w:kern w:val="2"/>
          <w:sz w:val="24"/>
          <w:szCs w:val="24"/>
          <w:u w:val="none" w:color="auto"/>
          <w:lang w:val="en-US" w:eastAsia="zh-CN" w:bidi="ar-SA"/>
        </w:rPr>
        <w:fldChar w:fldCharType="end"/>
      </w:r>
      <w:r>
        <w:rPr>
          <w:rFonts w:hint="eastAsia" w:ascii="Times New Roman" w:hAnsi="Times New Roman" w:eastAsia="宋体" w:cs="Times New Roman"/>
          <w:color w:val="auto"/>
          <w:kern w:val="2"/>
          <w:sz w:val="24"/>
          <w:szCs w:val="24"/>
          <w:u w:val="none" w:color="auto"/>
          <w:lang w:val="en-US" w:eastAsia="zh-CN" w:bidi="ar-SA"/>
        </w:rPr>
        <w:t>-</w:t>
      </w:r>
      <w:r>
        <w:rPr>
          <w:rFonts w:hint="eastAsia" w:ascii="Times New Roman" w:hAnsi="Times New Roman" w:eastAsia="宋体" w:cs="Times New Roman"/>
          <w:color w:val="auto"/>
          <w:kern w:val="2"/>
          <w:sz w:val="24"/>
          <w:szCs w:val="24"/>
          <w:u w:val="none" w:color="auto"/>
          <w:lang w:val="en-US" w:eastAsia="zh-CN" w:bidi="ar-SA"/>
        </w:rPr>
        <w:fldChar w:fldCharType="begin"/>
      </w:r>
      <w:r>
        <w:rPr>
          <w:rFonts w:hint="eastAsia" w:ascii="Times New Roman" w:hAnsi="Times New Roman" w:eastAsia="宋体" w:cs="Times New Roman"/>
          <w:color w:val="auto"/>
          <w:kern w:val="2"/>
          <w:sz w:val="24"/>
          <w:szCs w:val="24"/>
          <w:u w:val="none" w:color="auto"/>
          <w:lang w:val="en-US" w:eastAsia="zh-CN" w:bidi="ar-SA"/>
        </w:rPr>
        <w:instrText xml:space="preserve"> = 5 \* GB3 \* MERGEFORMAT </w:instrText>
      </w:r>
      <w:r>
        <w:rPr>
          <w:rFonts w:hint="eastAsia" w:ascii="Times New Roman" w:hAnsi="Times New Roman" w:eastAsia="宋体" w:cs="Times New Roman"/>
          <w:color w:val="auto"/>
          <w:kern w:val="2"/>
          <w:sz w:val="24"/>
          <w:szCs w:val="24"/>
          <w:u w:val="none" w:color="auto"/>
          <w:lang w:val="en-US" w:eastAsia="zh-CN" w:bidi="ar-SA"/>
        </w:rPr>
        <w:fldChar w:fldCharType="separate"/>
      </w:r>
      <w:r>
        <w:rPr>
          <w:rFonts w:hint="eastAsia" w:ascii="Times New Roman" w:hAnsi="Times New Roman" w:eastAsia="宋体" w:cs="Times New Roman"/>
          <w:color w:val="auto"/>
          <w:kern w:val="2"/>
          <w:sz w:val="24"/>
          <w:szCs w:val="24"/>
          <w:u w:val="none" w:color="auto"/>
          <w:lang w:val="en-US" w:eastAsia="zh-CN" w:bidi="ar-SA"/>
        </w:rPr>
        <w:t>⑤</w:t>
      </w:r>
      <w:r>
        <w:rPr>
          <w:rFonts w:hint="eastAsia" w:ascii="Times New Roman" w:hAnsi="Times New Roman" w:eastAsia="宋体" w:cs="Times New Roman"/>
          <w:color w:val="auto"/>
          <w:kern w:val="2"/>
          <w:sz w:val="24"/>
          <w:szCs w:val="24"/>
          <w:u w:val="none" w:color="auto"/>
          <w:lang w:val="en-US" w:eastAsia="zh-CN" w:bidi="ar-SA"/>
        </w:rPr>
        <w:fldChar w:fldCharType="end"/>
      </w:r>
      <w:r>
        <w:rPr>
          <w:rFonts w:hint="eastAsia" w:ascii="Times New Roman" w:hAnsi="Times New Roman" w:eastAsia="宋体" w:cs="Times New Roman"/>
          <w:color w:val="auto"/>
          <w:kern w:val="2"/>
          <w:sz w:val="24"/>
          <w:szCs w:val="24"/>
          <w:u w:val="none" w:color="auto"/>
          <w:lang w:val="en-US" w:eastAsia="zh-CN" w:bidi="ar-SA"/>
        </w:rPr>
        <w:t>；</w:t>
      </w:r>
      <w:r>
        <w:rPr>
          <w:rFonts w:hint="eastAsia" w:ascii="Times New Roman" w:hAnsi="Times New Roman" w:eastAsia="宋体" w:cs="Times New Roman"/>
          <w:color w:val="auto"/>
          <w:kern w:val="2"/>
          <w:sz w:val="24"/>
          <w:szCs w:val="24"/>
          <w:u w:val="none" w:color="auto"/>
          <w:lang w:val="en-US" w:eastAsia="zh-CN" w:bidi="ar-SA"/>
        </w:rPr>
        <w:fldChar w:fldCharType="begin"/>
      </w:r>
      <w:r>
        <w:rPr>
          <w:rFonts w:hint="eastAsia" w:ascii="Times New Roman" w:hAnsi="Times New Roman" w:eastAsia="宋体" w:cs="Times New Roman"/>
          <w:color w:val="auto"/>
          <w:kern w:val="2"/>
          <w:sz w:val="24"/>
          <w:szCs w:val="24"/>
          <w:u w:val="none" w:color="auto"/>
          <w:lang w:val="en-US" w:eastAsia="zh-CN" w:bidi="ar-SA"/>
        </w:rPr>
        <w:instrText xml:space="preserve"> = 7 \* GB3 \* MERGEFORMAT </w:instrText>
      </w:r>
      <w:r>
        <w:rPr>
          <w:rFonts w:hint="eastAsia" w:ascii="Times New Roman" w:hAnsi="Times New Roman" w:eastAsia="宋体" w:cs="Times New Roman"/>
          <w:color w:val="auto"/>
          <w:kern w:val="2"/>
          <w:sz w:val="24"/>
          <w:szCs w:val="24"/>
          <w:u w:val="none" w:color="auto"/>
          <w:lang w:val="en-US" w:eastAsia="zh-CN" w:bidi="ar-SA"/>
        </w:rPr>
        <w:fldChar w:fldCharType="separate"/>
      </w:r>
      <w:r>
        <w:rPr>
          <w:rFonts w:hint="eastAsia" w:ascii="Times New Roman" w:hAnsi="Times New Roman" w:eastAsia="宋体" w:cs="Times New Roman"/>
          <w:color w:val="auto"/>
          <w:kern w:val="2"/>
          <w:sz w:val="24"/>
          <w:szCs w:val="24"/>
          <w:u w:val="none" w:color="auto"/>
          <w:lang w:val="en-US" w:eastAsia="zh-CN" w:bidi="ar-SA"/>
        </w:rPr>
        <w:t>⑦</w:t>
      </w:r>
      <w:r>
        <w:rPr>
          <w:rFonts w:hint="eastAsia" w:ascii="Times New Roman" w:hAnsi="Times New Roman" w:eastAsia="宋体" w:cs="Times New Roman"/>
          <w:color w:val="auto"/>
          <w:kern w:val="2"/>
          <w:sz w:val="24"/>
          <w:szCs w:val="24"/>
          <w:u w:val="none" w:color="auto"/>
          <w:lang w:val="en-US" w:eastAsia="zh-CN" w:bidi="ar-SA"/>
        </w:rPr>
        <w:fldChar w:fldCharType="end"/>
      </w:r>
      <w:r>
        <w:rPr>
          <w:rFonts w:hint="eastAsia" w:ascii="Times New Roman" w:hAnsi="Times New Roman" w:eastAsia="宋体" w:cs="Times New Roman"/>
          <w:color w:val="auto"/>
          <w:kern w:val="2"/>
          <w:sz w:val="24"/>
          <w:szCs w:val="24"/>
          <w:u w:val="none" w:color="auto"/>
          <w:lang w:val="en-US" w:eastAsia="zh-CN" w:bidi="ar-SA"/>
        </w:rPr>
        <w:t>=</w:t>
      </w:r>
      <w:r>
        <w:rPr>
          <w:rFonts w:hint="eastAsia" w:ascii="Times New Roman" w:hAnsi="Times New Roman" w:eastAsia="宋体" w:cs="Times New Roman"/>
          <w:color w:val="auto"/>
          <w:kern w:val="2"/>
          <w:sz w:val="24"/>
          <w:szCs w:val="24"/>
          <w:u w:val="none" w:color="auto"/>
          <w:lang w:val="en-US" w:eastAsia="zh-CN" w:bidi="ar-SA"/>
        </w:rPr>
        <w:fldChar w:fldCharType="begin"/>
      </w:r>
      <w:r>
        <w:rPr>
          <w:rFonts w:hint="eastAsia" w:ascii="Times New Roman" w:hAnsi="Times New Roman" w:eastAsia="宋体" w:cs="Times New Roman"/>
          <w:color w:val="auto"/>
          <w:kern w:val="2"/>
          <w:sz w:val="24"/>
          <w:szCs w:val="24"/>
          <w:u w:val="none" w:color="auto"/>
          <w:lang w:val="en-US" w:eastAsia="zh-CN" w:bidi="ar-SA"/>
        </w:rPr>
        <w:instrText xml:space="preserve"> = 6 \* GB3 \* MERGEFORMAT </w:instrText>
      </w:r>
      <w:r>
        <w:rPr>
          <w:rFonts w:hint="eastAsia" w:ascii="Times New Roman" w:hAnsi="Times New Roman" w:eastAsia="宋体" w:cs="Times New Roman"/>
          <w:color w:val="auto"/>
          <w:kern w:val="2"/>
          <w:sz w:val="24"/>
          <w:szCs w:val="24"/>
          <w:u w:val="none" w:color="auto"/>
          <w:lang w:val="en-US" w:eastAsia="zh-CN" w:bidi="ar-SA"/>
        </w:rPr>
        <w:fldChar w:fldCharType="separate"/>
      </w:r>
      <w:r>
        <w:rPr>
          <w:rFonts w:hint="eastAsia" w:ascii="Times New Roman" w:hAnsi="Times New Roman" w:eastAsia="宋体" w:cs="Times New Roman"/>
          <w:color w:val="auto"/>
          <w:kern w:val="2"/>
          <w:sz w:val="24"/>
          <w:szCs w:val="24"/>
          <w:u w:val="none" w:color="auto"/>
          <w:lang w:val="en-US" w:eastAsia="zh-CN" w:bidi="ar-SA"/>
        </w:rPr>
        <w:t>⑥</w:t>
      </w:r>
      <w:r>
        <w:rPr>
          <w:rFonts w:hint="eastAsia" w:ascii="Times New Roman" w:hAnsi="Times New Roman" w:eastAsia="宋体" w:cs="Times New Roman"/>
          <w:color w:val="auto"/>
          <w:kern w:val="2"/>
          <w:sz w:val="24"/>
          <w:szCs w:val="24"/>
          <w:u w:val="none" w:color="auto"/>
          <w:lang w:val="en-US" w:eastAsia="zh-CN" w:bidi="ar-SA"/>
        </w:rPr>
        <w:fldChar w:fldCharType="end"/>
      </w:r>
      <w:r>
        <w:rPr>
          <w:rFonts w:hint="eastAsia" w:ascii="Times New Roman" w:hAnsi="Times New Roman" w:eastAsia="宋体" w:cs="Times New Roman"/>
          <w:color w:val="auto"/>
          <w:kern w:val="2"/>
          <w:sz w:val="24"/>
          <w:szCs w:val="24"/>
          <w:u w:val="none" w:color="auto"/>
          <w:lang w:val="en-US" w:eastAsia="zh-CN" w:bidi="ar-SA"/>
        </w:rPr>
        <w:t>-</w:t>
      </w:r>
      <w:r>
        <w:rPr>
          <w:rFonts w:hint="eastAsia" w:ascii="Times New Roman" w:hAnsi="Times New Roman" w:eastAsia="宋体" w:cs="Times New Roman"/>
          <w:color w:val="auto"/>
          <w:kern w:val="2"/>
          <w:sz w:val="24"/>
          <w:szCs w:val="24"/>
          <w:u w:val="none" w:color="auto"/>
          <w:lang w:val="en-US" w:eastAsia="zh-CN" w:bidi="ar-SA"/>
        </w:rPr>
        <w:fldChar w:fldCharType="begin"/>
      </w:r>
      <w:r>
        <w:rPr>
          <w:rFonts w:hint="eastAsia" w:ascii="Times New Roman" w:hAnsi="Times New Roman" w:eastAsia="宋体" w:cs="Times New Roman"/>
          <w:color w:val="auto"/>
          <w:kern w:val="2"/>
          <w:sz w:val="24"/>
          <w:szCs w:val="24"/>
          <w:u w:val="none" w:color="auto"/>
          <w:lang w:val="en-US" w:eastAsia="zh-CN" w:bidi="ar-SA"/>
        </w:rPr>
        <w:instrText xml:space="preserve"> = 1 \* GB3 \* MERGEFORMAT </w:instrText>
      </w:r>
      <w:r>
        <w:rPr>
          <w:rFonts w:hint="eastAsia" w:ascii="Times New Roman" w:hAnsi="Times New Roman" w:eastAsia="宋体" w:cs="Times New Roman"/>
          <w:color w:val="auto"/>
          <w:kern w:val="2"/>
          <w:sz w:val="24"/>
          <w:szCs w:val="24"/>
          <w:u w:val="none" w:color="auto"/>
          <w:lang w:val="en-US" w:eastAsia="zh-CN" w:bidi="ar-SA"/>
        </w:rPr>
        <w:fldChar w:fldCharType="separate"/>
      </w:r>
      <w:r>
        <w:rPr>
          <w:rFonts w:hint="eastAsia" w:ascii="Times New Roman" w:hAnsi="Times New Roman" w:eastAsia="宋体" w:cs="Times New Roman"/>
          <w:color w:val="auto"/>
          <w:kern w:val="2"/>
          <w:sz w:val="24"/>
          <w:szCs w:val="24"/>
          <w:u w:val="none" w:color="auto"/>
          <w:lang w:val="en-US" w:eastAsia="zh-CN" w:bidi="ar-SA"/>
        </w:rPr>
        <w:t>①</w:t>
      </w:r>
      <w:r>
        <w:rPr>
          <w:rFonts w:hint="eastAsia" w:ascii="Times New Roman" w:hAnsi="Times New Roman" w:eastAsia="宋体" w:cs="Times New Roman"/>
          <w:color w:val="auto"/>
          <w:kern w:val="2"/>
          <w:sz w:val="24"/>
          <w:szCs w:val="24"/>
          <w:u w:val="none" w:color="auto"/>
          <w:lang w:val="en-US" w:eastAsia="zh-CN" w:bidi="ar-SA"/>
        </w:rPr>
        <w:fldChar w:fldCharType="end"/>
      </w:r>
    </w:p>
    <w:sectPr>
      <w:pgSz w:w="16838" w:h="11906" w:orient="landscape"/>
      <w:pgMar w:top="1800" w:right="1440" w:bottom="1800" w:left="1440" w:header="851" w:footer="992" w:gutter="0"/>
      <w:pgBorders>
        <w:top w:val="none" w:sz="0" w:space="0"/>
        <w:left w:val="none" w:sz="0" w:space="0"/>
        <w:bottom w:val="none" w:sz="0" w:space="0"/>
        <w:right w:val="none" w:sz="0" w:space="0"/>
      </w:pgBorders>
      <w:pgNumType w:fmt="decimal"/>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8"/>
    <w:family w:val="swiss"/>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方正小标宋_GBK">
    <w:altName w:val="微软雅黑"/>
    <w:panose1 w:val="02000000000000000000"/>
    <w:charset w:val="86"/>
    <w:family w:val="script"/>
    <w:pitch w:val="default"/>
    <w:sig w:usb0="00000000" w:usb1="00000000" w:usb2="00082016" w:usb3="00000000" w:csb0="00040001" w:csb1="00000000"/>
  </w:font>
  <w:font w:name="楷体_GB2312">
    <w:altName w:val="楷体"/>
    <w:panose1 w:val="00000000000000000000"/>
    <w:charset w:val="86"/>
    <w:family w:val="roman"/>
    <w:pitch w:val="default"/>
    <w:sig w:usb0="00000000" w:usb1="00000000" w:usb2="00000010" w:usb3="00000000" w:csb0="00040000" w:csb1="00000000"/>
  </w:font>
  <w:font w:name="仿宋">
    <w:panose1 w:val="02010609060101010101"/>
    <w:charset w:val="86"/>
    <w:family w:val="auto"/>
    <w:pitch w:val="default"/>
    <w:sig w:usb0="800002BF" w:usb1="38CF7CFA" w:usb2="00000016" w:usb3="00000000" w:csb0="00040001" w:csb1="00000000"/>
  </w:font>
  <w:font w:name="仿宋_GB2312">
    <w:altName w:val="仿宋"/>
    <w:panose1 w:val="02010609030101010101"/>
    <w:charset w:val="86"/>
    <w:family w:val="decorative"/>
    <w:pitch w:val="default"/>
    <w:sig w:usb0="00000000" w:usb1="00000000" w:usb2="00000000" w:usb3="00000000" w:csb0="00040000" w:csb1="00000000"/>
  </w:font>
  <w:font w:name="Wingdings 2">
    <w:altName w:val="Wingdings"/>
    <w:panose1 w:val="05020102010507070707"/>
    <w:charset w:val="02"/>
    <w:family w:val="auto"/>
    <w:pitch w:val="default"/>
    <w:sig w:usb0="00000000" w:usb1="00000000" w:usb2="00000000" w:usb3="00000000" w:csb0="80000000" w:csb1="00000000"/>
  </w:font>
  <w:font w:name="微软雅黑">
    <w:panose1 w:val="020B0503020204020204"/>
    <w:charset w:val="86"/>
    <w:family w:val="auto"/>
    <w:pitch w:val="default"/>
    <w:sig w:usb0="80000287" w:usb1="2ACF3C50" w:usb2="00000016" w:usb3="00000000" w:csb0="0004001F" w:csb1="00000000"/>
  </w:font>
  <w:font w:name="楷体">
    <w:panose1 w:val="02010609060101010101"/>
    <w:charset w:val="86"/>
    <w:family w:val="auto"/>
    <w:pitch w:val="default"/>
    <w:sig w:usb0="800002BF" w:usb1="38CF7CFA" w:usb2="00000016" w:usb3="00000000" w:csb0="00040001" w:csb1="00000000"/>
  </w:font>
  <w:font w:name="Wingdings">
    <w:panose1 w:val="05000000000000000000"/>
    <w:charset w:val="00"/>
    <w:family w:val="auto"/>
    <w:pitch w:val="default"/>
    <w:sig w:usb0="00000000" w:usb1="00000000" w:usb2="00000000" w:usb3="00000000" w:csb0="80000000" w:csb1="00000000"/>
  </w:font>
  <w:font w:name="Kingsoft Symbol">
    <w:altName w:val="Symbol"/>
    <w:panose1 w:val="00000000000000000000"/>
    <w:charset w:val="00"/>
    <w:family w:val="auto"/>
    <w:pitch w:val="default"/>
    <w:sig w:usb0="00000000" w:usb1="00000000" w:usb2="00000000" w:usb3="00000000" w:csb0="00000000" w:csb1="00000000"/>
  </w:font>
  <w:font w:name="Symbol">
    <w:panose1 w:val="05050102010706020507"/>
    <w:charset w:val="00"/>
    <w:family w:val="auto"/>
    <w:pitch w:val="default"/>
    <w:sig w:usb0="00000000" w:usb1="00000000" w:usb2="00000000" w:usb3="00000000" w:csb0="80000000"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right="360" w:firstLine="360"/>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7" name="文本框 1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3"/>
                          </w:pPr>
                          <w:r>
                            <w:fldChar w:fldCharType="begin"/>
                          </w:r>
                          <w:r>
                            <w:instrText xml:space="preserve"> PAGE  \* MERGEFORMAT </w:instrText>
                          </w:r>
                          <w:r>
                            <w:fldChar w:fldCharType="separate"/>
                          </w:r>
                          <w:r>
                            <w:t>3</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T72nYyAgAAYwQAAA4AAABkcnMvZTJvRG9jLnhtbK1UzY7TMBC+I/EO&#10;lu80aRFL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pPvadjICAABjBAAADgAAAAAAAAABACAAAAAfAQAAZHJzL2Uyb0RvYy54bWxQSwUG&#10;AAAAAAYABgBZAQAAwwUAAAAA&#10;">
              <v:fill on="f" focussize="0,0"/>
              <v:stroke on="f" weight="0.5pt"/>
              <v:imagedata o:title=""/>
              <o:lock v:ext="edit" aspectratio="f"/>
              <v:textbox inset="0mm,0mm,0mm,0mm" style="mso-fit-shape-to-text:t;">
                <w:txbxContent>
                  <w:p>
                    <w:pPr>
                      <w:pStyle w:val="13"/>
                    </w:pPr>
                    <w:r>
                      <w:fldChar w:fldCharType="begin"/>
                    </w:r>
                    <w:r>
                      <w:instrText xml:space="preserve"> PAGE  \* MERGEFORMAT </w:instrText>
                    </w:r>
                    <w:r>
                      <w:fldChar w:fldCharType="separate"/>
                    </w:r>
                    <w:r>
                      <w:t>3</w:t>
                    </w:r>
                    <w: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1DA1CDD"/>
    <w:multiLevelType w:val="singleLevel"/>
    <w:tmpl w:val="91DA1CDD"/>
    <w:lvl w:ilvl="0" w:tentative="0">
      <w:start w:val="8"/>
      <w:numFmt w:val="decimal"/>
      <w:suff w:val="nothing"/>
      <w:lvlText w:val="%1、"/>
      <w:lvlJc w:val="left"/>
    </w:lvl>
  </w:abstractNum>
  <w:abstractNum w:abstractNumId="1">
    <w:nsid w:val="A6DE8B12"/>
    <w:multiLevelType w:val="singleLevel"/>
    <w:tmpl w:val="A6DE8B12"/>
    <w:lvl w:ilvl="0" w:tentative="0">
      <w:start w:val="4"/>
      <w:numFmt w:val="decimal"/>
      <w:suff w:val="nothing"/>
      <w:lvlText w:val="（%1）"/>
      <w:lvlJc w:val="left"/>
    </w:lvl>
  </w:abstractNum>
  <w:abstractNum w:abstractNumId="2">
    <w:nsid w:val="D949813C"/>
    <w:multiLevelType w:val="singleLevel"/>
    <w:tmpl w:val="D949813C"/>
    <w:lvl w:ilvl="0" w:tentative="0">
      <w:start w:val="1"/>
      <w:numFmt w:val="bullet"/>
      <w:pStyle w:val="4"/>
      <w:lvlText w:val=""/>
      <w:lvlJc w:val="left"/>
      <w:pPr>
        <w:tabs>
          <w:tab w:val="left" w:pos="2040"/>
        </w:tabs>
        <w:ind w:left="2040" w:hanging="360"/>
      </w:pPr>
      <w:rPr>
        <w:rFonts w:hint="default" w:ascii="Wingdings" w:hAnsi="Wingdings"/>
      </w:rPr>
    </w:lvl>
  </w:abstractNum>
  <w:abstractNum w:abstractNumId="3">
    <w:nsid w:val="E72ED212"/>
    <w:multiLevelType w:val="singleLevel"/>
    <w:tmpl w:val="E72ED212"/>
    <w:lvl w:ilvl="0" w:tentative="0">
      <w:start w:val="6"/>
      <w:numFmt w:val="chineseCounting"/>
      <w:suff w:val="nothing"/>
      <w:lvlText w:val="%1、"/>
      <w:lvlJc w:val="left"/>
      <w:rPr>
        <w:rFonts w:hint="eastAsia"/>
      </w:rPr>
    </w:lvl>
  </w:abstractNum>
  <w:abstractNum w:abstractNumId="4">
    <w:nsid w:val="03BA60B7"/>
    <w:multiLevelType w:val="singleLevel"/>
    <w:tmpl w:val="03BA60B7"/>
    <w:lvl w:ilvl="0" w:tentative="0">
      <w:start w:val="2"/>
      <w:numFmt w:val="decimal"/>
      <w:suff w:val="nothing"/>
      <w:lvlText w:val="%1、"/>
      <w:lvlJc w:val="left"/>
    </w:lvl>
  </w:abstractNum>
  <w:abstractNum w:abstractNumId="5">
    <w:nsid w:val="253496D0"/>
    <w:multiLevelType w:val="singleLevel"/>
    <w:tmpl w:val="253496D0"/>
    <w:lvl w:ilvl="0" w:tentative="0">
      <w:start w:val="2"/>
      <w:numFmt w:val="decimal"/>
      <w:suff w:val="nothing"/>
      <w:lvlText w:val="%1、"/>
      <w:lvlJc w:val="left"/>
    </w:lvl>
  </w:abstractNum>
  <w:abstractNum w:abstractNumId="6">
    <w:nsid w:val="2727C217"/>
    <w:multiLevelType w:val="singleLevel"/>
    <w:tmpl w:val="2727C217"/>
    <w:lvl w:ilvl="0" w:tentative="0">
      <w:start w:val="4"/>
      <w:numFmt w:val="chineseCounting"/>
      <w:suff w:val="nothing"/>
      <w:lvlText w:val="%1、"/>
      <w:lvlJc w:val="left"/>
      <w:rPr>
        <w:rFonts w:hint="eastAsia"/>
      </w:rPr>
    </w:lvl>
  </w:abstractNum>
  <w:abstractNum w:abstractNumId="7">
    <w:nsid w:val="42AC7853"/>
    <w:multiLevelType w:val="singleLevel"/>
    <w:tmpl w:val="42AC7853"/>
    <w:lvl w:ilvl="0" w:tentative="0">
      <w:start w:val="2"/>
      <w:numFmt w:val="decimal"/>
      <w:suff w:val="nothing"/>
      <w:lvlText w:val="%1、"/>
      <w:lvlJc w:val="left"/>
    </w:lvl>
  </w:abstractNum>
  <w:abstractNum w:abstractNumId="8">
    <w:nsid w:val="4FA8EF18"/>
    <w:multiLevelType w:val="singleLevel"/>
    <w:tmpl w:val="4FA8EF18"/>
    <w:lvl w:ilvl="0" w:tentative="0">
      <w:start w:val="10"/>
      <w:numFmt w:val="decimal"/>
      <w:suff w:val="nothing"/>
      <w:lvlText w:val="%1、"/>
      <w:lvlJc w:val="left"/>
    </w:lvl>
  </w:abstractNum>
  <w:abstractNum w:abstractNumId="9">
    <w:nsid w:val="62A6456C"/>
    <w:multiLevelType w:val="singleLevel"/>
    <w:tmpl w:val="62A6456C"/>
    <w:lvl w:ilvl="0" w:tentative="0">
      <w:start w:val="1"/>
      <w:numFmt w:val="decimal"/>
      <w:suff w:val="nothing"/>
      <w:lvlText w:val="（%1）"/>
      <w:lvlJc w:val="left"/>
    </w:lvl>
  </w:abstractNum>
  <w:abstractNum w:abstractNumId="10">
    <w:nsid w:val="67FD8509"/>
    <w:multiLevelType w:val="singleLevel"/>
    <w:tmpl w:val="67FD8509"/>
    <w:lvl w:ilvl="0" w:tentative="0">
      <w:start w:val="4"/>
      <w:numFmt w:val="decimal"/>
      <w:suff w:val="nothing"/>
      <w:lvlText w:val="%1、"/>
      <w:lvlJc w:val="left"/>
    </w:lvl>
  </w:abstractNum>
  <w:num w:numId="1">
    <w:abstractNumId w:val="2"/>
  </w:num>
  <w:num w:numId="2">
    <w:abstractNumId w:val="8"/>
  </w:num>
  <w:num w:numId="3">
    <w:abstractNumId w:val="4"/>
  </w:num>
  <w:num w:numId="4">
    <w:abstractNumId w:val="0"/>
  </w:num>
  <w:num w:numId="5">
    <w:abstractNumId w:val="7"/>
  </w:num>
  <w:num w:numId="6">
    <w:abstractNumId w:val="1"/>
  </w:num>
  <w:num w:numId="7">
    <w:abstractNumId w:val="10"/>
  </w:num>
  <w:num w:numId="8">
    <w:abstractNumId w:val="5"/>
  </w:num>
  <w:num w:numId="9">
    <w:abstractNumId w:val="6"/>
  </w:num>
  <w:num w:numId="10">
    <w:abstractNumId w:val="9"/>
  </w:num>
  <w:num w:numId="1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GQxNTVmYzg4OTY5YmZhYTBkNGUwZmRjOWY1M2EzY2IifQ=="/>
  </w:docVars>
  <w:rsids>
    <w:rsidRoot w:val="6B710B08"/>
    <w:rsid w:val="008E0CF0"/>
    <w:rsid w:val="01DA3CE0"/>
    <w:rsid w:val="02D2752A"/>
    <w:rsid w:val="04453DBC"/>
    <w:rsid w:val="04EA04A5"/>
    <w:rsid w:val="0561481B"/>
    <w:rsid w:val="07207FD5"/>
    <w:rsid w:val="07A56E02"/>
    <w:rsid w:val="07BE787E"/>
    <w:rsid w:val="08D64CFA"/>
    <w:rsid w:val="0968470D"/>
    <w:rsid w:val="0B0E17BF"/>
    <w:rsid w:val="0C2716AB"/>
    <w:rsid w:val="0F3135C6"/>
    <w:rsid w:val="10CD479A"/>
    <w:rsid w:val="10FB6876"/>
    <w:rsid w:val="114D490E"/>
    <w:rsid w:val="128C2A53"/>
    <w:rsid w:val="136C158D"/>
    <w:rsid w:val="157A397F"/>
    <w:rsid w:val="16B50433"/>
    <w:rsid w:val="18137772"/>
    <w:rsid w:val="1D375CB1"/>
    <w:rsid w:val="1E5A01DE"/>
    <w:rsid w:val="20424DFF"/>
    <w:rsid w:val="21934054"/>
    <w:rsid w:val="22B93A1E"/>
    <w:rsid w:val="266501C1"/>
    <w:rsid w:val="268E0A8B"/>
    <w:rsid w:val="273677D8"/>
    <w:rsid w:val="285C5B8F"/>
    <w:rsid w:val="31AB6696"/>
    <w:rsid w:val="33CE6539"/>
    <w:rsid w:val="35504F9A"/>
    <w:rsid w:val="37AD1BA6"/>
    <w:rsid w:val="3CCA4558"/>
    <w:rsid w:val="3E9333AA"/>
    <w:rsid w:val="3E9E0508"/>
    <w:rsid w:val="40580367"/>
    <w:rsid w:val="409251A2"/>
    <w:rsid w:val="4A031D1C"/>
    <w:rsid w:val="4E8764D8"/>
    <w:rsid w:val="56A1017B"/>
    <w:rsid w:val="56B01AE7"/>
    <w:rsid w:val="582240FD"/>
    <w:rsid w:val="58A01B9C"/>
    <w:rsid w:val="5D604AF6"/>
    <w:rsid w:val="5E4F7140"/>
    <w:rsid w:val="5E733A9F"/>
    <w:rsid w:val="5F982167"/>
    <w:rsid w:val="659E1665"/>
    <w:rsid w:val="65CA4F9E"/>
    <w:rsid w:val="677A7A5C"/>
    <w:rsid w:val="6B710B08"/>
    <w:rsid w:val="6BB2012B"/>
    <w:rsid w:val="6BEC1A73"/>
    <w:rsid w:val="6CE17DBB"/>
    <w:rsid w:val="70A400DD"/>
    <w:rsid w:val="727E4BCF"/>
    <w:rsid w:val="735C270C"/>
    <w:rsid w:val="774C7BE9"/>
    <w:rsid w:val="7DA06ABE"/>
    <w:rsid w:val="7FA51F7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name="heading 3"/>
    <w:lsdException w:qFormat="1" w:unhideWhenUsed="0"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nhideWhenUsed="0"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qFormat="1"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qFormat="1"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spacing w:line="360" w:lineRule="auto"/>
      <w:jc w:val="left"/>
    </w:pPr>
    <w:rPr>
      <w:rFonts w:ascii="Times New Roman" w:hAnsi="Times New Roman" w:eastAsia="宋体" w:cs="Times New Roman"/>
      <w:kern w:val="2"/>
      <w:sz w:val="24"/>
      <w:szCs w:val="24"/>
      <w:lang w:val="en-US" w:eastAsia="zh-CN" w:bidi="ar-SA"/>
    </w:rPr>
  </w:style>
  <w:style w:type="paragraph" w:styleId="5">
    <w:name w:val="heading 2"/>
    <w:basedOn w:val="1"/>
    <w:next w:val="1"/>
    <w:unhideWhenUsed/>
    <w:qFormat/>
    <w:uiPriority w:val="0"/>
    <w:pPr>
      <w:keepNext/>
      <w:keepLines/>
      <w:tabs>
        <w:tab w:val="left" w:pos="360"/>
        <w:tab w:val="left" w:pos="432"/>
      </w:tabs>
      <w:spacing w:before="0" w:beforeLines="0" w:after="0" w:afterLines="0" w:line="360" w:lineRule="auto"/>
      <w:outlineLvl w:val="1"/>
    </w:pPr>
    <w:rPr>
      <w:rFonts w:ascii="Times New Roman" w:hAnsi="Times New Roman" w:eastAsia="宋体"/>
      <w:b/>
      <w:bCs/>
      <w:sz w:val="30"/>
      <w:szCs w:val="30"/>
    </w:rPr>
  </w:style>
  <w:style w:type="paragraph" w:styleId="6">
    <w:name w:val="heading 4"/>
    <w:basedOn w:val="1"/>
    <w:next w:val="1"/>
    <w:qFormat/>
    <w:uiPriority w:val="0"/>
    <w:pPr>
      <w:keepNext/>
      <w:keepLines/>
      <w:spacing w:before="280" w:after="290" w:line="376" w:lineRule="auto"/>
      <w:outlineLvl w:val="3"/>
    </w:pPr>
    <w:rPr>
      <w:rFonts w:ascii="Arial" w:hAnsi="Arial" w:eastAsia="黑体"/>
      <w:b/>
      <w:bCs/>
      <w:sz w:val="28"/>
      <w:szCs w:val="28"/>
    </w:rPr>
  </w:style>
  <w:style w:type="character" w:default="1" w:styleId="20">
    <w:name w:val="Default Paragraph Font"/>
    <w:semiHidden/>
    <w:qFormat/>
    <w:uiPriority w:val="0"/>
  </w:style>
  <w:style w:type="table" w:default="1" w:styleId="18">
    <w:name w:val="Normal Table"/>
    <w:semiHidden/>
    <w:qFormat/>
    <w:uiPriority w:val="0"/>
    <w:tblPr>
      <w:tblCellMar>
        <w:top w:w="0" w:type="dxa"/>
        <w:left w:w="108" w:type="dxa"/>
        <w:bottom w:w="0" w:type="dxa"/>
        <w:right w:w="108" w:type="dxa"/>
      </w:tblCellMar>
    </w:tblPr>
  </w:style>
  <w:style w:type="paragraph" w:customStyle="1" w:styleId="2">
    <w:name w:val="正文-唐"/>
    <w:basedOn w:val="3"/>
    <w:qFormat/>
    <w:uiPriority w:val="0"/>
    <w:pPr>
      <w:spacing w:line="360" w:lineRule="auto"/>
      <w:ind w:firstLine="600" w:firstLineChars="200"/>
      <w:jc w:val="left"/>
    </w:pPr>
    <w:rPr>
      <w:rFonts w:ascii="Times New Roman" w:hAnsi="Times New Roman"/>
      <w:kern w:val="0"/>
      <w:sz w:val="24"/>
    </w:rPr>
  </w:style>
  <w:style w:type="paragraph" w:styleId="3">
    <w:name w:val="Body Text"/>
    <w:basedOn w:val="1"/>
    <w:next w:val="4"/>
    <w:qFormat/>
    <w:uiPriority w:val="0"/>
    <w:pPr>
      <w:spacing w:after="120" w:afterLines="0" w:afterAutospacing="0"/>
    </w:pPr>
  </w:style>
  <w:style w:type="paragraph" w:styleId="4">
    <w:name w:val="List Bullet 5"/>
    <w:basedOn w:val="1"/>
    <w:qFormat/>
    <w:uiPriority w:val="0"/>
    <w:pPr>
      <w:numPr>
        <w:ilvl w:val="0"/>
        <w:numId w:val="1"/>
      </w:numPr>
    </w:pPr>
  </w:style>
  <w:style w:type="paragraph" w:styleId="7">
    <w:name w:val="caption"/>
    <w:basedOn w:val="1"/>
    <w:next w:val="1"/>
    <w:qFormat/>
    <w:uiPriority w:val="0"/>
    <w:pPr>
      <w:adjustRightInd w:val="0"/>
      <w:snapToGrid w:val="0"/>
      <w:spacing w:line="360" w:lineRule="auto"/>
      <w:jc w:val="left"/>
    </w:pPr>
    <w:rPr>
      <w:rFonts w:eastAsia="黑体"/>
      <w:sz w:val="24"/>
      <w:szCs w:val="20"/>
    </w:rPr>
  </w:style>
  <w:style w:type="paragraph" w:styleId="8">
    <w:name w:val="annotation text"/>
    <w:basedOn w:val="1"/>
    <w:qFormat/>
    <w:uiPriority w:val="0"/>
    <w:pPr>
      <w:jc w:val="left"/>
    </w:pPr>
  </w:style>
  <w:style w:type="paragraph" w:styleId="9">
    <w:name w:val="Body Text Indent"/>
    <w:basedOn w:val="1"/>
    <w:next w:val="1"/>
    <w:qFormat/>
    <w:uiPriority w:val="0"/>
    <w:pPr>
      <w:spacing w:after="120" w:afterLines="0" w:afterAutospacing="0"/>
      <w:ind w:left="420" w:leftChars="200"/>
    </w:pPr>
  </w:style>
  <w:style w:type="paragraph" w:styleId="10">
    <w:name w:val="Plain Text"/>
    <w:basedOn w:val="1"/>
    <w:next w:val="11"/>
    <w:qFormat/>
    <w:uiPriority w:val="0"/>
    <w:rPr>
      <w:rFonts w:ascii="宋体" w:hAnsi="Courier New" w:eastAsia="宋体" w:cs="Times New Roman"/>
      <w:sz w:val="21"/>
      <w:szCs w:val="21"/>
    </w:rPr>
  </w:style>
  <w:style w:type="paragraph" w:styleId="11">
    <w:name w:val="toc 1"/>
    <w:basedOn w:val="1"/>
    <w:next w:val="1"/>
    <w:qFormat/>
    <w:uiPriority w:val="0"/>
  </w:style>
  <w:style w:type="paragraph" w:styleId="12">
    <w:name w:val="Body Text Indent 2"/>
    <w:basedOn w:val="1"/>
    <w:next w:val="1"/>
    <w:qFormat/>
    <w:uiPriority w:val="0"/>
    <w:pPr>
      <w:spacing w:after="120" w:afterLines="0" w:line="480" w:lineRule="auto"/>
      <w:ind w:left="420" w:leftChars="200"/>
    </w:pPr>
  </w:style>
  <w:style w:type="paragraph" w:styleId="13">
    <w:name w:val="footer"/>
    <w:basedOn w:val="1"/>
    <w:qFormat/>
    <w:uiPriority w:val="99"/>
    <w:pPr>
      <w:tabs>
        <w:tab w:val="center" w:pos="4153"/>
        <w:tab w:val="right" w:pos="8306"/>
      </w:tabs>
      <w:snapToGrid w:val="0"/>
      <w:jc w:val="left"/>
    </w:pPr>
    <w:rPr>
      <w:kern w:val="0"/>
      <w:sz w:val="18"/>
      <w:szCs w:val="20"/>
    </w:rPr>
  </w:style>
  <w:style w:type="paragraph" w:styleId="14">
    <w:name w:val="header"/>
    <w:basedOn w:val="1"/>
    <w:qFormat/>
    <w:uiPriority w:val="0"/>
    <w:pPr>
      <w:pBdr>
        <w:bottom w:val="single" w:color="auto" w:sz="6" w:space="1"/>
      </w:pBdr>
      <w:tabs>
        <w:tab w:val="center" w:pos="4153"/>
        <w:tab w:val="right" w:pos="8306"/>
      </w:tabs>
      <w:snapToGrid w:val="0"/>
      <w:jc w:val="center"/>
    </w:pPr>
    <w:rPr>
      <w:kern w:val="0"/>
      <w:sz w:val="18"/>
      <w:szCs w:val="20"/>
    </w:rPr>
  </w:style>
  <w:style w:type="paragraph" w:styleId="15">
    <w:name w:val="Normal (Web)"/>
    <w:basedOn w:val="1"/>
    <w:qFormat/>
    <w:uiPriority w:val="0"/>
    <w:pPr>
      <w:widowControl/>
      <w:spacing w:before="100" w:beforeAutospacing="1" w:after="100" w:afterAutospacing="1"/>
      <w:jc w:val="left"/>
    </w:pPr>
    <w:rPr>
      <w:rFonts w:ascii="宋体" w:hAnsi="宋体"/>
      <w:kern w:val="0"/>
      <w:sz w:val="24"/>
      <w:szCs w:val="20"/>
    </w:rPr>
  </w:style>
  <w:style w:type="paragraph" w:styleId="16">
    <w:name w:val="Body Text First Indent"/>
    <w:basedOn w:val="3"/>
    <w:next w:val="1"/>
    <w:qFormat/>
    <w:uiPriority w:val="0"/>
    <w:pPr>
      <w:spacing w:after="120"/>
      <w:ind w:firstLine="420" w:firstLineChars="100"/>
    </w:pPr>
    <w:rPr>
      <w:sz w:val="21"/>
    </w:rPr>
  </w:style>
  <w:style w:type="paragraph" w:styleId="17">
    <w:name w:val="Body Text First Indent 2"/>
    <w:basedOn w:val="9"/>
    <w:next w:val="1"/>
    <w:qFormat/>
    <w:uiPriority w:val="0"/>
    <w:pPr>
      <w:ind w:firstLine="420" w:firstLineChars="200"/>
    </w:pPr>
  </w:style>
  <w:style w:type="table" w:styleId="19">
    <w:name w:val="Table Grid"/>
    <w:basedOn w:val="18"/>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1">
    <w:name w:val="page number"/>
    <w:qFormat/>
    <w:uiPriority w:val="0"/>
  </w:style>
  <w:style w:type="paragraph" w:customStyle="1" w:styleId="22">
    <w:name w:val="Default"/>
    <w:qFormat/>
    <w:uiPriority w:val="0"/>
    <w:pPr>
      <w:widowControl w:val="0"/>
      <w:autoSpaceDE w:val="0"/>
      <w:autoSpaceDN w:val="0"/>
      <w:adjustRightInd w:val="0"/>
    </w:pPr>
    <w:rPr>
      <w:rFonts w:ascii="黑体" w:hAnsi="Calibri" w:eastAsia="黑体" w:cs="黑体"/>
      <w:color w:val="000000"/>
      <w:sz w:val="24"/>
      <w:szCs w:val="24"/>
      <w:lang w:val="en-US" w:eastAsia="zh-CN" w:bidi="ar-SA"/>
    </w:rPr>
  </w:style>
  <w:style w:type="paragraph" w:customStyle="1" w:styleId="23">
    <w:name w:val="xl27"/>
    <w:basedOn w:val="1"/>
    <w:next w:val="24"/>
    <w:qFormat/>
    <w:uiPriority w:val="0"/>
    <w:pPr>
      <w:widowControl/>
      <w:pBdr>
        <w:bottom w:val="single" w:color="auto" w:sz="4" w:space="0"/>
        <w:right w:val="single" w:color="auto" w:sz="4" w:space="0"/>
      </w:pBdr>
      <w:spacing w:before="100" w:beforeLines="0" w:beforeAutospacing="1" w:after="100" w:afterLines="0" w:afterAutospacing="1"/>
      <w:jc w:val="center"/>
    </w:pPr>
    <w:rPr>
      <w:kern w:val="0"/>
      <w:szCs w:val="21"/>
    </w:rPr>
  </w:style>
  <w:style w:type="paragraph" w:customStyle="1" w:styleId="24">
    <w:name w:val="0正文唐"/>
    <w:basedOn w:val="1"/>
    <w:qFormat/>
    <w:uiPriority w:val="0"/>
    <w:pPr>
      <w:spacing w:line="360" w:lineRule="auto"/>
      <w:ind w:firstLine="720" w:firstLineChars="200"/>
      <w:jc w:val="left"/>
    </w:pPr>
    <w:rPr>
      <w:rFonts w:ascii="Times New Roman" w:hAnsi="Times New Roman" w:eastAsia="宋体" w:cs="Times New Roman"/>
      <w:sz w:val="21"/>
      <w:szCs w:val="24"/>
    </w:rPr>
  </w:style>
  <w:style w:type="paragraph" w:customStyle="1" w:styleId="25">
    <w:name w:val="环评正文"/>
    <w:basedOn w:val="1"/>
    <w:qFormat/>
    <w:uiPriority w:val="0"/>
    <w:pPr>
      <w:spacing w:line="360" w:lineRule="auto"/>
      <w:ind w:firstLine="560" w:firstLineChars="200"/>
      <w:jc w:val="left"/>
    </w:pPr>
    <w:rPr>
      <w:rFonts w:ascii="Times New Roman" w:hAnsi="Times New Roman" w:eastAsia="宋体" w:cs="Times New Roman"/>
      <w:sz w:val="24"/>
      <w:szCs w:val="28"/>
    </w:rPr>
  </w:style>
  <w:style w:type="paragraph" w:customStyle="1" w:styleId="26">
    <w:name w:val="环评表格"/>
    <w:basedOn w:val="1"/>
    <w:qFormat/>
    <w:uiPriority w:val="0"/>
    <w:pPr>
      <w:pBdr>
        <w:top w:val="none" w:color="auto" w:sz="0" w:space="1"/>
        <w:left w:val="none" w:color="auto" w:sz="0" w:space="4"/>
        <w:bottom w:val="none" w:color="auto" w:sz="0" w:space="1"/>
        <w:right w:val="none" w:color="auto" w:sz="0" w:space="4"/>
      </w:pBdr>
      <w:jc w:val="center"/>
    </w:pPr>
    <w:rPr>
      <w:rFonts w:ascii="Times New Roman" w:hAnsi="Times New Roman" w:eastAsia="宋体" w:cs="Times New Roman"/>
      <w:szCs w:val="28"/>
    </w:rPr>
  </w:style>
  <w:style w:type="paragraph" w:customStyle="1" w:styleId="27">
    <w:name w:val="环评表头"/>
    <w:basedOn w:val="1"/>
    <w:qFormat/>
    <w:uiPriority w:val="0"/>
    <w:pPr>
      <w:jc w:val="center"/>
    </w:pPr>
    <w:rPr>
      <w:rFonts w:ascii="Times New Roman" w:hAnsi="Times New Roman" w:cs="Times New Roman"/>
      <w:b/>
      <w:sz w:val="21"/>
      <w:szCs w:val="28"/>
    </w:rPr>
  </w:style>
  <w:style w:type="paragraph" w:customStyle="1" w:styleId="28">
    <w:name w:val="表中文字"/>
    <w:basedOn w:val="1"/>
    <w:qFormat/>
    <w:uiPriority w:val="0"/>
    <w:pPr>
      <w:adjustRightInd w:val="0"/>
      <w:snapToGrid w:val="0"/>
      <w:jc w:val="center"/>
    </w:pPr>
    <w:rPr>
      <w:bCs/>
      <w:sz w:val="18"/>
    </w:rPr>
  </w:style>
  <w:style w:type="paragraph" w:customStyle="1" w:styleId="29">
    <w:name w:val="表 头"/>
    <w:basedOn w:val="1"/>
    <w:qFormat/>
    <w:uiPriority w:val="0"/>
    <w:pPr>
      <w:spacing w:line="360" w:lineRule="auto"/>
      <w:ind w:left="0" w:firstLine="0"/>
      <w:jc w:val="center"/>
    </w:pPr>
    <w:rPr>
      <w:b/>
      <w:sz w:val="21"/>
    </w:rPr>
  </w:style>
  <w:style w:type="paragraph" w:customStyle="1" w:styleId="30">
    <w:name w:val="表内容"/>
    <w:basedOn w:val="1"/>
    <w:qFormat/>
    <w:uiPriority w:val="0"/>
    <w:pPr>
      <w:spacing w:line="240" w:lineRule="auto"/>
      <w:ind w:left="0" w:right="0" w:firstLine="0" w:firstLineChars="0"/>
      <w:jc w:val="both"/>
    </w:pPr>
    <w:rPr>
      <w:sz w:val="21"/>
    </w:rPr>
  </w:style>
  <w:style w:type="paragraph" w:customStyle="1" w:styleId="31">
    <w:name w:val="表格正本"/>
    <w:basedOn w:val="1"/>
    <w:qFormat/>
    <w:uiPriority w:val="1"/>
    <w:pPr>
      <w:spacing w:line="360" w:lineRule="auto"/>
      <w:ind w:firstLine="480" w:firstLineChars="200"/>
      <w:jc w:val="both"/>
    </w:pPr>
  </w:style>
  <w:style w:type="paragraph" w:customStyle="1" w:styleId="32">
    <w:name w:val="正文1"/>
    <w:basedOn w:val="1"/>
    <w:qFormat/>
    <w:uiPriority w:val="0"/>
    <w:pPr>
      <w:spacing w:line="360" w:lineRule="auto"/>
      <w:ind w:firstLine="723" w:firstLineChars="200"/>
    </w:pPr>
    <w:rPr>
      <w:rFonts w:ascii="Times New Roman" w:hAnsi="Times New Roman"/>
      <w:sz w:val="24"/>
    </w:rPr>
  </w:style>
  <w:style w:type="paragraph" w:customStyle="1" w:styleId="33">
    <w:name w:val="Normal"/>
    <w:qFormat/>
    <w:uiPriority w:val="0"/>
    <w:pPr>
      <w:jc w:val="both"/>
    </w:pPr>
    <w:rPr>
      <w:rFonts w:ascii="Times New Roman" w:hAnsi="Times New Roman" w:eastAsia="宋体" w:cs="Times New Roman"/>
      <w:kern w:val="2"/>
      <w:sz w:val="21"/>
      <w:szCs w:val="21"/>
      <w:lang w:val="en-US" w:eastAsia="zh-CN" w:bidi="ar-SA"/>
    </w:rPr>
  </w:style>
  <w:style w:type="character" w:customStyle="1" w:styleId="34">
    <w:name w:val="图标标题 Char"/>
    <w:link w:val="35"/>
    <w:qFormat/>
    <w:uiPriority w:val="0"/>
    <w:rPr>
      <w:color w:val="000000"/>
      <w:sz w:val="21"/>
      <w:szCs w:val="21"/>
    </w:rPr>
  </w:style>
  <w:style w:type="paragraph" w:customStyle="1" w:styleId="35">
    <w:name w:val="图标标题"/>
    <w:basedOn w:val="36"/>
    <w:link w:val="34"/>
    <w:qFormat/>
    <w:uiPriority w:val="0"/>
    <w:rPr>
      <w:color w:val="000000"/>
      <w:sz w:val="21"/>
      <w:szCs w:val="21"/>
    </w:rPr>
  </w:style>
  <w:style w:type="paragraph" w:customStyle="1" w:styleId="36">
    <w:name w:val="图表标题"/>
    <w:next w:val="1"/>
    <w:qFormat/>
    <w:uiPriority w:val="0"/>
    <w:pPr>
      <w:spacing w:line="360" w:lineRule="auto"/>
      <w:jc w:val="center"/>
    </w:pPr>
    <w:rPr>
      <w:rFonts w:ascii="Times New Roman" w:hAnsi="Times New Roman" w:eastAsia="黑体" w:cs="Times New Roman"/>
      <w:kern w:val="2"/>
      <w:sz w:val="24"/>
      <w:szCs w:val="22"/>
      <w:lang w:val="en-US" w:eastAsia="zh-CN" w:bidi="ar-SA"/>
    </w:rPr>
  </w:style>
  <w:style w:type="paragraph" w:customStyle="1" w:styleId="37">
    <w:name w:val="报告书正文"/>
    <w:basedOn w:val="1"/>
    <w:qFormat/>
    <w:uiPriority w:val="0"/>
    <w:pPr>
      <w:spacing w:line="360" w:lineRule="auto"/>
      <w:ind w:firstLine="200" w:firstLineChars="200"/>
    </w:pPr>
    <w:rPr>
      <w:kern w:val="0"/>
      <w:sz w:val="24"/>
    </w:rPr>
  </w:style>
  <w:style w:type="paragraph" w:customStyle="1" w:styleId="38">
    <w:name w:val="报告正文"/>
    <w:basedOn w:val="1"/>
    <w:qFormat/>
    <w:uiPriority w:val="0"/>
    <w:pPr>
      <w:adjustRightInd w:val="0"/>
      <w:snapToGrid w:val="0"/>
      <w:spacing w:line="360" w:lineRule="auto"/>
      <w:ind w:firstLine="200" w:firstLineChars="200"/>
    </w:pPr>
    <w:rPr>
      <w:sz w:val="24"/>
      <w:szCs w:val="20"/>
    </w:rPr>
  </w:style>
  <w:style w:type="paragraph" w:customStyle="1" w:styleId="39">
    <w:name w:val="0正文"/>
    <w:basedOn w:val="1"/>
    <w:qFormat/>
    <w:uiPriority w:val="0"/>
    <w:pPr>
      <w:spacing w:line="360" w:lineRule="auto"/>
      <w:ind w:firstLine="1040" w:firstLineChars="200"/>
    </w:pPr>
    <w:rPr>
      <w:rFonts w:hint="default" w:ascii="Times New Roman" w:hAnsi="Times New Roman"/>
      <w:sz w:val="24"/>
    </w:rPr>
  </w:style>
  <w:style w:type="paragraph" w:customStyle="1" w:styleId="40">
    <w:name w:val="正文文本 全"/>
    <w:basedOn w:val="3"/>
    <w:qFormat/>
    <w:uiPriority w:val="0"/>
    <w:pPr>
      <w:spacing w:before="0" w:after="0" w:line="360" w:lineRule="auto"/>
      <w:ind w:right="0" w:firstLine="200" w:firstLineChars="200"/>
    </w:pPr>
    <w:rPr>
      <w:sz w:val="21"/>
    </w:rPr>
  </w:style>
  <w:style w:type="paragraph" w:customStyle="1" w:styleId="41">
    <w:name w:val="11111表土"/>
    <w:basedOn w:val="1"/>
    <w:qFormat/>
    <w:uiPriority w:val="0"/>
    <w:pPr>
      <w:widowControl/>
      <w:adjustRightInd w:val="0"/>
      <w:snapToGrid w:val="0"/>
      <w:jc w:val="center"/>
    </w:pPr>
    <w:rPr>
      <w:rFonts w:ascii="Times New Roman" w:hAnsi="Times New Roman" w:eastAsia="黑体"/>
      <w:kern w:val="0"/>
      <w:sz w:val="24"/>
      <w:szCs w:val="24"/>
    </w:rPr>
  </w:style>
  <w:style w:type="paragraph" w:customStyle="1" w:styleId="42">
    <w:name w:val="表标题"/>
    <w:basedOn w:val="1"/>
    <w:next w:val="1"/>
    <w:qFormat/>
    <w:uiPriority w:val="0"/>
    <w:pPr>
      <w:jc w:val="center"/>
    </w:pPr>
    <w:rPr>
      <w:rFonts w:ascii="Times New Roman" w:hAnsi="Times New Roman"/>
      <w:b/>
    </w:rPr>
  </w:style>
  <w:style w:type="paragraph" w:customStyle="1" w:styleId="43">
    <w:name w:val="表格文字"/>
    <w:basedOn w:val="10"/>
    <w:next w:val="1"/>
    <w:qFormat/>
    <w:uiPriority w:val="0"/>
    <w:pPr>
      <w:adjustRightInd w:val="0"/>
      <w:spacing w:line="340" w:lineRule="exact"/>
      <w:ind w:firstLine="0" w:firstLineChars="0"/>
      <w:jc w:val="center"/>
    </w:pPr>
    <w:rPr>
      <w:kern w:val="0"/>
      <w:sz w:val="21"/>
      <w:szCs w:val="21"/>
    </w:rPr>
  </w:style>
  <w:style w:type="paragraph" w:customStyle="1" w:styleId="44">
    <w:name w:val="正文 首行缩进"/>
    <w:basedOn w:val="1"/>
    <w:qFormat/>
    <w:uiPriority w:val="0"/>
    <w:pPr>
      <w:spacing w:line="360" w:lineRule="auto"/>
      <w:ind w:firstLine="200" w:firstLineChars="200"/>
    </w:pPr>
    <w:rPr>
      <w:rFonts w:cs="宋体"/>
      <w:kern w:val="0"/>
      <w:szCs w:val="20"/>
    </w:rPr>
  </w:style>
  <w:style w:type="paragraph" w:customStyle="1" w:styleId="45">
    <w:name w:val="表头"/>
    <w:basedOn w:val="28"/>
    <w:next w:val="46"/>
    <w:qFormat/>
    <w:uiPriority w:val="0"/>
    <w:pPr>
      <w:spacing w:line="360" w:lineRule="auto"/>
    </w:pPr>
    <w:rPr>
      <w:b/>
    </w:rPr>
  </w:style>
  <w:style w:type="paragraph" w:customStyle="1" w:styleId="46">
    <w:name w:val="5号居中"/>
    <w:basedOn w:val="1"/>
    <w:qFormat/>
    <w:uiPriority w:val="0"/>
    <w:pPr>
      <w:adjustRightInd w:val="0"/>
      <w:snapToGrid w:val="0"/>
      <w:jc w:val="center"/>
    </w:pPr>
    <w:rPr>
      <w:rFonts w:ascii="Times New Roman" w:hAnsi="Times New Roman" w:cs="宋体"/>
      <w:sz w:val="21"/>
      <w:szCs w:val="21"/>
    </w:rPr>
  </w:style>
  <w:style w:type="paragraph" w:customStyle="1" w:styleId="47">
    <w:name w:val="表字体"/>
    <w:basedOn w:val="1"/>
    <w:next w:val="1"/>
    <w:qFormat/>
    <w:uiPriority w:val="0"/>
    <w:pPr>
      <w:jc w:val="center"/>
    </w:pPr>
    <w:rPr>
      <w:rFonts w:ascii="Times New Roman" w:hAnsi="Times New Roman"/>
    </w:rPr>
  </w:style>
  <w:style w:type="paragraph" w:customStyle="1" w:styleId="48">
    <w:name w:val="正文 首行缩进:  2 字符"/>
    <w:basedOn w:val="1"/>
    <w:qFormat/>
    <w:uiPriority w:val="0"/>
    <w:pPr>
      <w:ind w:firstLine="579" w:firstLineChars="200"/>
    </w:pPr>
    <w:rPr>
      <w:sz w:val="28"/>
      <w:szCs w:val="20"/>
    </w:rPr>
  </w:style>
  <w:style w:type="paragraph" w:customStyle="1" w:styleId="49">
    <w:name w:val="表题"/>
    <w:basedOn w:val="1"/>
    <w:qFormat/>
    <w:uiPriority w:val="0"/>
    <w:pPr>
      <w:widowControl/>
      <w:autoSpaceDE w:val="0"/>
      <w:autoSpaceDN w:val="0"/>
      <w:adjustRightInd w:val="0"/>
      <w:spacing w:line="480" w:lineRule="atLeast"/>
      <w:jc w:val="center"/>
      <w:textAlignment w:val="baseline"/>
    </w:pPr>
    <w:rPr>
      <w:rFonts w:ascii="黑体" w:hAnsi="宋体" w:eastAsia="黑体" w:cs="宋体"/>
      <w:kern w:val="16"/>
      <w:sz w:val="24"/>
      <w:szCs w:val="20"/>
    </w:rPr>
  </w:style>
  <w:style w:type="paragraph" w:customStyle="1" w:styleId="50">
    <w:name w:val="表格内容"/>
    <w:basedOn w:val="1"/>
    <w:next w:val="1"/>
    <w:qFormat/>
    <w:uiPriority w:val="0"/>
    <w:pPr>
      <w:spacing w:line="240" w:lineRule="auto"/>
      <w:ind w:firstLine="0" w:firstLineChars="0"/>
      <w:jc w:val="center"/>
    </w:pPr>
    <w:rPr>
      <w:rFonts w:ascii="Times New Roman" w:hAnsi="Times New Roman"/>
      <w:bCs/>
      <w:sz w:val="21"/>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endnotes" Target="endnotes.xml"/><Relationship Id="rId3" Type="http://schemas.openxmlformats.org/officeDocument/2006/relationships/footnotes" Target="footnotes.xml"/><Relationship Id="rId23" Type="http://schemas.openxmlformats.org/officeDocument/2006/relationships/fontTable" Target="fontTable.xml"/><Relationship Id="rId22" Type="http://schemas.openxmlformats.org/officeDocument/2006/relationships/numbering" Target="numbering.xml"/><Relationship Id="rId21" Type="http://schemas.openxmlformats.org/officeDocument/2006/relationships/customXml" Target="../customXml/item1.xml"/><Relationship Id="rId20" Type="http://schemas.openxmlformats.org/officeDocument/2006/relationships/image" Target="media/image13.png"/><Relationship Id="rId2" Type="http://schemas.openxmlformats.org/officeDocument/2006/relationships/settings" Target="settings.xml"/><Relationship Id="rId19" Type="http://schemas.openxmlformats.org/officeDocument/2006/relationships/image" Target="media/image12.png"/><Relationship Id="rId18" Type="http://schemas.openxmlformats.org/officeDocument/2006/relationships/image" Target="media/image11.png"/><Relationship Id="rId17" Type="http://schemas.openxmlformats.org/officeDocument/2006/relationships/image" Target="media/image10.png"/><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24</Pages>
  <Words>13563</Words>
  <Characters>14832</Characters>
  <Lines>0</Lines>
  <Paragraphs>0</Paragraphs>
  <TotalTime>1</TotalTime>
  <ScaleCrop>false</ScaleCrop>
  <LinksUpToDate>false</LinksUpToDate>
  <CharactersWithSpaces>15012</CharactersWithSpaces>
  <Application>WPS Office_12.1.0.15712_F1E327BC-269C-435d-A152-05C5408002CA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2023-10-03T05:37:00Z</dcterms:created>
  <dc:creator>94804</dc:creator>
  <cp:lastModifiedBy>A</cp:lastModifiedBy>
  <dcterms:modified xsi:type="dcterms:W3CDTF">2023-10-27T12:45:21Z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2052-12.1.0.15712</vt:lpwstr>
  </property>
  <property fmtid="{D5CDD505-2E9C-101B-9397-08002B2CF9AE}" pid="3" name="ICV">
    <vt:lpwstr>116249C7522F4D4ABEE7E36C3907CBFF_13</vt:lpwstr>
  </property>
</Properties>
</file>